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E6CCE">
      <w:pPr>
        <w:pStyle w:val="1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b w:val="0"/>
          <w:bCs w:val="0"/>
        </w:rPr>
      </w:pPr>
    </w:p>
    <w:p w14:paraId="092E1026">
      <w:pPr>
        <w:pStyle w:val="1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济宁市兖州区工业和信息化局</w:t>
      </w:r>
    </w:p>
    <w:p w14:paraId="40E2C58F">
      <w:pPr>
        <w:pStyle w:val="1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202</w:t>
      </w:r>
      <w:r>
        <w:rPr>
          <w:rFonts w:hint="eastAsia" w:ascii="Times New Roman" w:hAnsi="Times New Roman" w:eastAsia="方正小标宋简体" w:cs="方正小标宋简体"/>
          <w:b/>
          <w:bCs/>
          <w:sz w:val="44"/>
          <w:szCs w:val="44"/>
          <w:lang w:val="en-US" w:eastAsia="zh-CN"/>
        </w:rPr>
        <w:t>4</w:t>
      </w:r>
      <w:r>
        <w:rPr>
          <w:rFonts w:hint="eastAsia" w:ascii="Times New Roman" w:hAnsi="Times New Roman" w:eastAsia="方正小标宋简体" w:cs="方正小标宋简体"/>
          <w:b/>
          <w:bCs/>
          <w:sz w:val="44"/>
          <w:szCs w:val="44"/>
        </w:rPr>
        <w:t>年政府信息公开工作年度报告</w:t>
      </w:r>
    </w:p>
    <w:p w14:paraId="707E1494">
      <w:pPr>
        <w:pStyle w:val="16"/>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b/>
          <w:bCs/>
        </w:rPr>
      </w:pPr>
    </w:p>
    <w:p w14:paraId="37CF68FC">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ascii="Times New Roman" w:hAnsi="Times New Roman"/>
          <w:b/>
          <w:bCs/>
        </w:rPr>
      </w:pPr>
      <w:r>
        <w:rPr>
          <w:rFonts w:hint="default" w:ascii="Times New Roman" w:hAnsi="Times New Roman"/>
          <w:b/>
          <w:bCs/>
        </w:rPr>
        <w:t>本报告由济宁市兖州区工业和信息化局按照《中华人民共和国政府信息公开条例》（以下简称《条例》）和《中华人民共和国政府信息公开工作年度报告格式》（国办公开办函〔2021〕30号）要求编制。</w:t>
      </w:r>
    </w:p>
    <w:p w14:paraId="1CAA1703">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rPr>
      </w:pPr>
      <w:r>
        <w:rPr>
          <w:rFonts w:hint="default" w:ascii="Times New Roman" w:hAnsi="Times New Roman"/>
          <w:b/>
          <w:bCs/>
        </w:rPr>
        <w:t>本报告内容包括总体情况、主动公开政府信息情况、收到和处理政府信息公开申请情况、政府信息公开行政复议和行政诉讼情况、存在的主要问题及改进情况、其他需要报告的事项等六部分内容。</w:t>
      </w:r>
    </w:p>
    <w:p w14:paraId="3F1FABFD">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rPr>
      </w:pPr>
      <w:r>
        <w:rPr>
          <w:rFonts w:hint="default" w:ascii="Times New Roman" w:hAnsi="Times New Roman"/>
          <w:b/>
          <w:bCs/>
        </w:rPr>
        <w:t>本报告所列数据的统计期限自202</w:t>
      </w:r>
      <w:r>
        <w:rPr>
          <w:rFonts w:hint="eastAsia" w:ascii="Times New Roman" w:hAnsi="Times New Roman"/>
          <w:b/>
          <w:bCs/>
          <w:lang w:val="en-US" w:eastAsia="zh-CN"/>
        </w:rPr>
        <w:t>4</w:t>
      </w:r>
      <w:r>
        <w:rPr>
          <w:rFonts w:hint="default" w:ascii="Times New Roman" w:hAnsi="Times New Roman"/>
          <w:b/>
          <w:bCs/>
        </w:rPr>
        <w:t>年1月1日起至202</w:t>
      </w:r>
      <w:r>
        <w:rPr>
          <w:rFonts w:hint="eastAsia" w:ascii="Times New Roman" w:hAnsi="Times New Roman"/>
          <w:b/>
          <w:bCs/>
          <w:lang w:val="en-US" w:eastAsia="zh-CN"/>
        </w:rPr>
        <w:t>4</w:t>
      </w:r>
      <w:r>
        <w:rPr>
          <w:rFonts w:hint="default" w:ascii="Times New Roman" w:hAnsi="Times New Roman"/>
          <w:b/>
          <w:bCs/>
        </w:rPr>
        <w:t>年12月31日止。本报告电子版可在“中国·兖州”政府门户网站（www.yanzhou.gov.cn）查阅或下载。如对本报告有疑问，请与济宁市兖州区工业和信息化局联系（地址：济宁市兖州区九州中路88号九州方圆行政办公中心A区12楼，联系电话：0537-659390</w:t>
      </w:r>
      <w:r>
        <w:rPr>
          <w:rFonts w:hint="eastAsia" w:ascii="Times New Roman" w:hAnsi="Times New Roman"/>
          <w:b/>
          <w:bCs/>
          <w:lang w:val="en-US" w:eastAsia="zh-CN"/>
        </w:rPr>
        <w:t>1</w:t>
      </w:r>
      <w:r>
        <w:rPr>
          <w:rFonts w:hint="default" w:ascii="Times New Roman" w:hAnsi="Times New Roman"/>
          <w:b/>
          <w:bCs/>
        </w:rPr>
        <w:t>）。</w:t>
      </w:r>
    </w:p>
    <w:p w14:paraId="42CE855E">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bCs/>
          <w:color w:val="000000"/>
          <w:kern w:val="0"/>
          <w:sz w:val="32"/>
          <w:szCs w:val="32"/>
          <w:highlight w:val="none"/>
          <w:lang w:val="en-US" w:eastAsia="zh-CN" w:bidi="ar-SA"/>
        </w:rPr>
      </w:pPr>
      <w:r>
        <w:rPr>
          <w:rFonts w:hint="default" w:ascii="Times New Roman" w:hAnsi="Times New Roman" w:eastAsia="方正黑体简体" w:cs="Times New Roman"/>
          <w:b/>
          <w:bCs/>
          <w:color w:val="000000"/>
          <w:kern w:val="0"/>
          <w:sz w:val="32"/>
          <w:szCs w:val="32"/>
          <w:highlight w:val="none"/>
          <w:lang w:val="en-US" w:eastAsia="zh-CN" w:bidi="ar-SA"/>
        </w:rPr>
        <w:t>一、总体情况</w:t>
      </w:r>
    </w:p>
    <w:p w14:paraId="779C8419">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highlight w:val="none"/>
          <w:lang w:eastAsia="zh-CN"/>
        </w:rPr>
      </w:pPr>
      <w:r>
        <w:rPr>
          <w:rFonts w:hint="default" w:ascii="Times New Roman" w:hAnsi="Times New Roman"/>
          <w:b/>
          <w:bCs/>
          <w:highlight w:val="none"/>
        </w:rPr>
        <w:t>202</w:t>
      </w:r>
      <w:r>
        <w:rPr>
          <w:rFonts w:hint="eastAsia" w:ascii="Times New Roman" w:hAnsi="Times New Roman"/>
          <w:b/>
          <w:bCs/>
          <w:highlight w:val="none"/>
          <w:lang w:val="en-US" w:eastAsia="zh-CN"/>
        </w:rPr>
        <w:t>4</w:t>
      </w:r>
      <w:r>
        <w:rPr>
          <w:rFonts w:hint="default" w:ascii="Times New Roman" w:hAnsi="Times New Roman"/>
          <w:b/>
          <w:bCs/>
          <w:highlight w:val="none"/>
        </w:rPr>
        <w:t>年，兖州区</w:t>
      </w:r>
      <w:r>
        <w:rPr>
          <w:rFonts w:hint="eastAsia" w:ascii="Times New Roman" w:hAnsi="Times New Roman"/>
          <w:b/>
          <w:bCs/>
          <w:highlight w:val="none"/>
          <w:lang w:val="en-US" w:eastAsia="zh-CN"/>
        </w:rPr>
        <w:t>工信</w:t>
      </w:r>
      <w:r>
        <w:rPr>
          <w:rFonts w:hint="default" w:ascii="Times New Roman" w:hAnsi="Times New Roman"/>
          <w:b/>
          <w:bCs/>
          <w:highlight w:val="none"/>
        </w:rPr>
        <w:t>局根据《中华人民共和国政府信息公开条例》及省、市、区政府信息公开规定，立足规范有序运作，着力提升工作质量，不断规范政务公开形式和内容。</w:t>
      </w:r>
    </w:p>
    <w:p w14:paraId="5F786DEB">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cs="方正楷体简体"/>
          <w:b/>
          <w:bCs/>
        </w:rPr>
      </w:pPr>
      <w:r>
        <w:rPr>
          <w:rFonts w:hint="default" w:ascii="Times New Roman" w:hAnsi="Times New Roman" w:eastAsia="方正楷体简体" w:cs="方正楷体简体"/>
          <w:b/>
          <w:bCs/>
        </w:rPr>
        <w:t>（一</w:t>
      </w:r>
      <w:r>
        <w:rPr>
          <w:rFonts w:hint="eastAsia" w:ascii="Times New Roman" w:hAnsi="Times New Roman" w:eastAsia="方正楷体简体" w:cs="方正楷体简体"/>
          <w:b/>
          <w:bCs/>
          <w:lang w:eastAsia="zh-CN"/>
        </w:rPr>
        <w:t>）</w:t>
      </w:r>
      <w:r>
        <w:rPr>
          <w:rFonts w:hint="eastAsia" w:ascii="Times New Roman" w:hAnsi="Times New Roman" w:eastAsia="方正楷体简体" w:cs="方正楷体简体"/>
          <w:b/>
          <w:bCs/>
          <w:lang w:val="en-US" w:eastAsia="zh-CN"/>
        </w:rPr>
        <w:t>主动公开情况</w:t>
      </w:r>
    </w:p>
    <w:p w14:paraId="29A26D93">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b/>
          <w:bCs/>
          <w:highlight w:val="none"/>
          <w:lang w:val="en-US" w:eastAsia="zh-CN"/>
        </w:rPr>
      </w:pPr>
      <w:r>
        <w:rPr>
          <w:rFonts w:hint="eastAsia" w:ascii="Times New Roman" w:hAnsi="Times New Roman"/>
          <w:b/>
          <w:bCs/>
          <w:highlight w:val="none"/>
          <w:lang w:val="en-US" w:eastAsia="zh-CN"/>
        </w:rPr>
        <w:drawing>
          <wp:inline distT="0" distB="0" distL="114300" distR="114300">
            <wp:extent cx="5537200" cy="4203065"/>
            <wp:effectExtent l="0" t="0" r="6350" b="6985"/>
            <wp:docPr id="3" name="图片 3" descr="202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4001"/>
                    <pic:cNvPicPr>
                      <a:picLocks noChangeAspect="1"/>
                    </pic:cNvPicPr>
                  </pic:nvPicPr>
                  <pic:blipFill>
                    <a:blip r:embed="rId6"/>
                    <a:stretch>
                      <a:fillRect/>
                    </a:stretch>
                  </pic:blipFill>
                  <pic:spPr>
                    <a:xfrm>
                      <a:off x="0" y="0"/>
                      <a:ext cx="5537200" cy="4203065"/>
                    </a:xfrm>
                    <a:prstGeom prst="rect">
                      <a:avLst/>
                    </a:prstGeom>
                  </pic:spPr>
                </pic:pic>
              </a:graphicData>
            </a:graphic>
          </wp:inline>
        </w:drawing>
      </w:r>
    </w:p>
    <w:p w14:paraId="1D6D7BF5">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highlight w:val="green"/>
        </w:rPr>
      </w:pPr>
      <w:r>
        <w:rPr>
          <w:rFonts w:hint="eastAsia" w:ascii="Times New Roman" w:hAnsi="Times New Roman"/>
          <w:b/>
          <w:bCs/>
          <w:highlight w:val="none"/>
          <w:lang w:val="en-US" w:eastAsia="zh-CN"/>
        </w:rPr>
        <w:t>本年度</w:t>
      </w:r>
      <w:r>
        <w:rPr>
          <w:rFonts w:hint="default" w:ascii="Times New Roman" w:hAnsi="Times New Roman"/>
          <w:b/>
          <w:bCs/>
          <w:highlight w:val="none"/>
        </w:rPr>
        <w:t>兖州区工业和信息化局主动公开政府信息</w:t>
      </w:r>
      <w:r>
        <w:rPr>
          <w:rFonts w:hint="eastAsia" w:ascii="Times New Roman" w:hAnsi="Times New Roman"/>
          <w:b/>
          <w:bCs/>
          <w:highlight w:val="none"/>
          <w:lang w:eastAsia="zh-CN"/>
        </w:rPr>
        <w:t>数据</w:t>
      </w:r>
      <w:r>
        <w:rPr>
          <w:rFonts w:hint="eastAsia" w:ascii="Times New Roman" w:hAnsi="Times New Roman"/>
          <w:b/>
          <w:bCs/>
          <w:highlight w:val="none"/>
          <w:lang w:val="en-US" w:eastAsia="zh-CN"/>
        </w:rPr>
        <w:t>110</w:t>
      </w:r>
      <w:r>
        <w:rPr>
          <w:rFonts w:hint="default" w:ascii="Times New Roman" w:hAnsi="Times New Roman"/>
          <w:b/>
          <w:bCs/>
          <w:highlight w:val="none"/>
        </w:rPr>
        <w:t>条，其中</w:t>
      </w:r>
      <w:r>
        <w:rPr>
          <w:rFonts w:hint="eastAsia" w:ascii="Times New Roman" w:hAnsi="Times New Roman"/>
          <w:b/>
          <w:bCs/>
          <w:highlight w:val="none"/>
          <w:lang w:val="en-US" w:eastAsia="zh-CN"/>
        </w:rPr>
        <w:t>公开部门动态28条；政策文件3条；应急管理1条；</w:t>
      </w:r>
      <w:r>
        <w:rPr>
          <w:rFonts w:hint="default" w:ascii="Times New Roman" w:hAnsi="Times New Roman"/>
          <w:b/>
          <w:bCs/>
          <w:highlight w:val="none"/>
          <w:lang w:val="en-US" w:eastAsia="zh-CN"/>
        </w:rPr>
        <w:t>财政</w:t>
      </w:r>
      <w:r>
        <w:rPr>
          <w:rFonts w:hint="eastAsia" w:ascii="Times New Roman" w:hAnsi="Times New Roman"/>
          <w:b/>
          <w:bCs/>
          <w:highlight w:val="none"/>
          <w:lang w:val="en-US" w:eastAsia="zh-CN"/>
        </w:rPr>
        <w:t>预算决</w:t>
      </w:r>
      <w:r>
        <w:rPr>
          <w:rFonts w:hint="default" w:ascii="Times New Roman" w:hAnsi="Times New Roman"/>
          <w:b/>
          <w:bCs/>
          <w:highlight w:val="none"/>
          <w:lang w:val="en-US" w:eastAsia="zh-CN"/>
        </w:rPr>
        <w:t>算</w:t>
      </w:r>
      <w:r>
        <w:rPr>
          <w:rFonts w:hint="eastAsia" w:ascii="Times New Roman" w:hAnsi="Times New Roman"/>
          <w:b/>
          <w:bCs/>
          <w:highlight w:val="none"/>
          <w:lang w:val="en-US" w:eastAsia="zh-CN"/>
        </w:rPr>
        <w:t>6</w:t>
      </w:r>
      <w:r>
        <w:rPr>
          <w:rFonts w:hint="default" w:ascii="Times New Roman" w:hAnsi="Times New Roman"/>
          <w:b/>
          <w:bCs/>
          <w:highlight w:val="none"/>
        </w:rPr>
        <w:t>条；招考录用2条；公示公告</w:t>
      </w:r>
      <w:r>
        <w:rPr>
          <w:rFonts w:hint="eastAsia" w:ascii="Times New Roman" w:hAnsi="Times New Roman"/>
          <w:b/>
          <w:bCs/>
          <w:highlight w:val="none"/>
          <w:lang w:val="en-US" w:eastAsia="zh-CN"/>
        </w:rPr>
        <w:t>14</w:t>
      </w:r>
      <w:r>
        <w:rPr>
          <w:rFonts w:hint="default" w:ascii="Times New Roman" w:hAnsi="Times New Roman"/>
          <w:b/>
          <w:bCs/>
          <w:highlight w:val="none"/>
        </w:rPr>
        <w:t>条；行政权力运行公开</w:t>
      </w:r>
      <w:r>
        <w:rPr>
          <w:rFonts w:hint="eastAsia" w:ascii="Times New Roman" w:hAnsi="Times New Roman"/>
          <w:b/>
          <w:bCs/>
          <w:highlight w:val="none"/>
          <w:lang w:val="en-US" w:eastAsia="zh-CN"/>
        </w:rPr>
        <w:t>18</w:t>
      </w:r>
      <w:r>
        <w:rPr>
          <w:rFonts w:hint="default" w:ascii="Times New Roman" w:hAnsi="Times New Roman"/>
          <w:b/>
          <w:bCs/>
          <w:highlight w:val="none"/>
        </w:rPr>
        <w:t>条；</w:t>
      </w:r>
      <w:r>
        <w:rPr>
          <w:rFonts w:hint="eastAsia" w:ascii="Times New Roman" w:hAnsi="Times New Roman"/>
          <w:b/>
          <w:bCs/>
          <w:highlight w:val="none"/>
          <w:lang w:val="en-US" w:eastAsia="zh-CN"/>
        </w:rPr>
        <w:t>重点领域信息30条；主动公开目录1条；组织管理5条；政府信息公开制度2条；无</w:t>
      </w:r>
      <w:r>
        <w:rPr>
          <w:rFonts w:hint="default" w:ascii="Times New Roman" w:hAnsi="Times New Roman"/>
          <w:b/>
          <w:bCs/>
          <w:highlight w:val="none"/>
        </w:rPr>
        <w:t>微信公众</w:t>
      </w:r>
      <w:r>
        <w:rPr>
          <w:rFonts w:hint="eastAsia" w:ascii="Times New Roman" w:hAnsi="Times New Roman"/>
          <w:b/>
          <w:bCs/>
          <w:highlight w:val="none"/>
          <w:lang w:val="en-US" w:eastAsia="zh-CN"/>
        </w:rPr>
        <w:t>号和</w:t>
      </w:r>
      <w:r>
        <w:rPr>
          <w:rFonts w:hint="default" w:ascii="Times New Roman" w:hAnsi="Times New Roman"/>
          <w:b/>
          <w:bCs/>
          <w:highlight w:val="none"/>
        </w:rPr>
        <w:t>政务微博。</w:t>
      </w:r>
    </w:p>
    <w:p w14:paraId="60560D14">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eastAsia="方正楷体简体" w:cs="方正楷体简体"/>
          <w:b/>
          <w:bCs/>
          <w:highlight w:val="none"/>
          <w:lang w:val="en-US" w:eastAsia="zh-CN"/>
        </w:rPr>
      </w:pPr>
      <w:r>
        <w:rPr>
          <w:rFonts w:hint="default" w:ascii="Times New Roman" w:hAnsi="Times New Roman" w:eastAsia="方正楷体简体" w:cs="方正楷体简体"/>
          <w:b/>
          <w:bCs/>
          <w:highlight w:val="none"/>
        </w:rPr>
        <w:t>（二）依申请公开</w:t>
      </w:r>
      <w:r>
        <w:rPr>
          <w:rFonts w:hint="eastAsia" w:eastAsia="方正楷体简体" w:cs="方正楷体简体"/>
          <w:b/>
          <w:bCs/>
          <w:highlight w:val="none"/>
          <w:lang w:eastAsia="zh-CN"/>
        </w:rPr>
        <w:t>情况</w:t>
      </w:r>
    </w:p>
    <w:p w14:paraId="6EE007CD">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b/>
          <w:bCs/>
          <w:highlight w:val="none"/>
          <w:lang w:val="en-US" w:eastAsia="zh-CN"/>
        </w:rPr>
      </w:pPr>
      <w:r>
        <w:rPr>
          <w:rFonts w:hint="eastAsia" w:ascii="Times New Roman" w:hAnsi="Times New Roman"/>
          <w:b/>
          <w:bCs/>
          <w:highlight w:val="none"/>
          <w:lang w:val="en-US" w:eastAsia="zh-CN"/>
        </w:rPr>
        <w:t>2024年，累计办理依申请信息公开0件。</w:t>
      </w:r>
    </w:p>
    <w:p w14:paraId="1F28694B">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cs="方正楷体简体"/>
          <w:b/>
          <w:bCs/>
          <w:highlight w:val="none"/>
          <w:lang w:val="en-US" w:eastAsia="zh-CN"/>
        </w:rPr>
      </w:pPr>
      <w:r>
        <w:rPr>
          <w:rFonts w:hint="default" w:ascii="Times New Roman" w:hAnsi="Times New Roman" w:eastAsia="方正楷体简体" w:cs="方正楷体简体"/>
          <w:b/>
          <w:bCs/>
          <w:highlight w:val="none"/>
        </w:rPr>
        <w:t>（三）</w:t>
      </w:r>
      <w:r>
        <w:rPr>
          <w:rFonts w:hint="default" w:ascii="Times New Roman" w:hAnsi="Times New Roman" w:eastAsia="方正楷体简体" w:cs="方正楷体简体"/>
          <w:b/>
          <w:bCs/>
          <w:highlight w:val="none"/>
          <w:lang w:val="en-US" w:eastAsia="zh-CN"/>
        </w:rPr>
        <w:t>政府信息管理</w:t>
      </w:r>
      <w:r>
        <w:rPr>
          <w:rFonts w:hint="eastAsia" w:eastAsia="方正楷体简体" w:cs="方正楷体简体"/>
          <w:b/>
          <w:bCs/>
          <w:highlight w:val="none"/>
          <w:lang w:val="en-US" w:eastAsia="zh-CN"/>
        </w:rPr>
        <w:t>情况</w:t>
      </w:r>
    </w:p>
    <w:p w14:paraId="6B340057">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highlight w:val="none"/>
        </w:rPr>
      </w:pPr>
      <w:bookmarkStart w:id="10" w:name="_GoBack"/>
      <w:r>
        <w:rPr>
          <w:rFonts w:hint="default" w:ascii="Times New Roman" w:hAnsi="Times New Roman"/>
          <w:b/>
          <w:bCs/>
          <w:highlight w:val="none"/>
        </w:rPr>
        <w:t>2024年，区工信局进一步健全政府信息发布保密审查机制，严格坚持</w:t>
      </w:r>
      <w:r>
        <w:rPr>
          <w:rFonts w:hint="eastAsia"/>
          <w:b/>
          <w:bCs/>
          <w:highlight w:val="none"/>
          <w:lang w:eastAsia="zh-CN"/>
        </w:rPr>
        <w:t>政府信息公开保密审查</w:t>
      </w:r>
      <w:r>
        <w:rPr>
          <w:rFonts w:hint="default" w:ascii="Times New Roman" w:hAnsi="Times New Roman"/>
          <w:b/>
          <w:bCs/>
          <w:highlight w:val="none"/>
        </w:rPr>
        <w:t>，要求公开信息必须经过科室分管、办公室经办、主要领导确认等内部审核流程，并不断完善工作流程。</w:t>
      </w:r>
    </w:p>
    <w:bookmarkEnd w:id="10"/>
    <w:p w14:paraId="0F810654">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eastAsia="方正楷体简体" w:cs="方正楷体简体"/>
          <w:b/>
          <w:bCs/>
          <w:highlight w:val="none"/>
          <w:lang w:eastAsia="zh-CN"/>
        </w:rPr>
      </w:pPr>
      <w:r>
        <w:rPr>
          <w:rFonts w:hint="default" w:ascii="Times New Roman" w:hAnsi="Times New Roman" w:eastAsia="方正楷体简体" w:cs="方正楷体简体"/>
          <w:b/>
          <w:bCs/>
          <w:highlight w:val="none"/>
        </w:rPr>
        <w:t>（四）政府信息公开平台建设</w:t>
      </w:r>
      <w:r>
        <w:rPr>
          <w:rFonts w:hint="eastAsia" w:eastAsia="方正楷体简体" w:cs="方正楷体简体"/>
          <w:b/>
          <w:bCs/>
          <w:highlight w:val="none"/>
          <w:lang w:eastAsia="zh-CN"/>
        </w:rPr>
        <w:t>情况</w:t>
      </w:r>
    </w:p>
    <w:p w14:paraId="7D09A7B7">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highlight w:val="none"/>
        </w:rPr>
      </w:pPr>
      <w:r>
        <w:rPr>
          <w:rFonts w:hint="default" w:ascii="Times New Roman" w:hAnsi="Times New Roman"/>
          <w:b/>
          <w:bCs/>
          <w:highlight w:val="none"/>
          <w:lang w:val="en-US" w:eastAsia="zh-CN"/>
        </w:rPr>
        <w:t>本年度区工信局不断加强</w:t>
      </w:r>
      <w:r>
        <w:rPr>
          <w:rFonts w:hint="eastAsia"/>
          <w:b/>
          <w:bCs/>
          <w:highlight w:val="none"/>
          <w:lang w:val="en-US" w:eastAsia="zh-CN"/>
        </w:rPr>
        <w:t>区</w:t>
      </w:r>
      <w:r>
        <w:rPr>
          <w:rFonts w:hint="default" w:ascii="Times New Roman" w:hAnsi="Times New Roman"/>
          <w:b/>
          <w:bCs/>
          <w:highlight w:val="none"/>
          <w:lang w:val="en-US" w:eastAsia="zh-CN"/>
        </w:rPr>
        <w:t>政府</w:t>
      </w:r>
      <w:r>
        <w:rPr>
          <w:rFonts w:hint="eastAsia"/>
          <w:b/>
          <w:bCs/>
          <w:highlight w:val="none"/>
          <w:lang w:val="en-US" w:eastAsia="zh-CN"/>
        </w:rPr>
        <w:t>门户</w:t>
      </w:r>
      <w:r>
        <w:rPr>
          <w:rFonts w:hint="default" w:ascii="Times New Roman" w:hAnsi="Times New Roman"/>
          <w:b/>
          <w:bCs/>
          <w:highlight w:val="none"/>
          <w:lang w:val="en-US" w:eastAsia="zh-CN"/>
        </w:rPr>
        <w:t>网站的信息公开建设，切实履行法定公开义务，对法定主动公开内容逐条逐项进行梳理，确保公开内容不遗漏、不缺失。</w:t>
      </w:r>
      <w:r>
        <w:rPr>
          <w:rFonts w:hint="eastAsia" w:ascii="Times New Roman" w:hAnsi="Times New Roman"/>
          <w:b/>
          <w:bCs/>
          <w:highlight w:val="none"/>
          <w:lang w:val="en-US" w:eastAsia="zh-CN"/>
        </w:rPr>
        <w:t>区工信局</w:t>
      </w:r>
      <w:r>
        <w:rPr>
          <w:rFonts w:hint="default" w:ascii="Times New Roman" w:hAnsi="Times New Roman"/>
          <w:b/>
          <w:bCs/>
          <w:highlight w:val="none"/>
        </w:rPr>
        <w:t>全年通过区政府门户网站公开发布信息</w:t>
      </w:r>
      <w:r>
        <w:rPr>
          <w:rFonts w:hint="eastAsia" w:ascii="Times New Roman" w:hAnsi="Times New Roman"/>
          <w:b/>
          <w:bCs/>
          <w:highlight w:val="none"/>
          <w:lang w:val="en-US" w:eastAsia="zh-CN"/>
        </w:rPr>
        <w:t>110</w:t>
      </w:r>
      <w:r>
        <w:rPr>
          <w:rFonts w:hint="default" w:ascii="Times New Roman" w:hAnsi="Times New Roman"/>
          <w:b/>
          <w:bCs/>
          <w:highlight w:val="none"/>
        </w:rPr>
        <w:t>条。</w:t>
      </w:r>
    </w:p>
    <w:p w14:paraId="260EAD26">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eastAsia="方正楷体简体" w:cs="方正楷体简体"/>
          <w:b/>
          <w:bCs/>
          <w:highlight w:val="none"/>
          <w:lang w:val="en-US" w:eastAsia="zh-CN"/>
        </w:rPr>
      </w:pPr>
      <w:r>
        <w:rPr>
          <w:rFonts w:hint="default" w:ascii="Times New Roman" w:hAnsi="Times New Roman" w:eastAsia="方正楷体简体" w:cs="方正楷体简体"/>
          <w:b/>
          <w:bCs/>
          <w:highlight w:val="none"/>
        </w:rPr>
        <w:t>（五）监督保障</w:t>
      </w:r>
      <w:r>
        <w:rPr>
          <w:rFonts w:hint="eastAsia" w:eastAsia="方正楷体简体" w:cs="方正楷体简体"/>
          <w:b/>
          <w:bCs/>
          <w:highlight w:val="none"/>
          <w:lang w:eastAsia="zh-CN"/>
        </w:rPr>
        <w:t>情况</w:t>
      </w:r>
    </w:p>
    <w:p w14:paraId="1302898B">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b/>
          <w:bCs/>
          <w:highlight w:val="none"/>
          <w:lang w:val="en-US" w:eastAsia="zh-CN"/>
        </w:rPr>
      </w:pPr>
      <w:r>
        <w:rPr>
          <w:rFonts w:hint="eastAsia" w:ascii="Times New Roman" w:hAnsi="Times New Roman"/>
          <w:b/>
          <w:bCs/>
          <w:highlight w:val="none"/>
          <w:lang w:val="en-US" w:eastAsia="zh-CN"/>
        </w:rPr>
        <w:t>结合我局工作实际，严格落实信息公开保密责任制，切实做到保密审查工作有分管领导分管、有机构管理、有专人负责，做到公开的不涉密，涉密的不公开。此外，同时采取多元化的监督方式，鼓励领导干部和公众积极参与到政务公开监督工作，主动回应关切。</w:t>
      </w:r>
    </w:p>
    <w:p w14:paraId="28ADD968">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bCs/>
          <w:color w:val="000000"/>
          <w:kern w:val="0"/>
          <w:sz w:val="32"/>
          <w:szCs w:val="32"/>
          <w:lang w:val="en-US" w:eastAsia="zh-CN" w:bidi="ar-SA"/>
        </w:rPr>
      </w:pPr>
      <w:r>
        <w:rPr>
          <w:rFonts w:hint="default" w:ascii="Times New Roman" w:hAnsi="Times New Roman" w:eastAsia="方正黑体简体" w:cs="Times New Roman"/>
          <w:b/>
          <w:bCs/>
          <w:color w:val="000000"/>
          <w:kern w:val="0"/>
          <w:sz w:val="32"/>
          <w:szCs w:val="32"/>
          <w:lang w:val="en-US" w:eastAsia="zh-CN" w:bidi="ar-SA"/>
        </w:rPr>
        <w:t>二、主动公开政府信息情况</w:t>
      </w:r>
    </w:p>
    <w:tbl>
      <w:tblPr>
        <w:tblStyle w:val="8"/>
        <w:tblW w:w="5000" w:type="pct"/>
        <w:tblInd w:w="0" w:type="dxa"/>
        <w:tblLayout w:type="autofit"/>
        <w:tblCellMar>
          <w:top w:w="0" w:type="dxa"/>
          <w:left w:w="108" w:type="dxa"/>
          <w:bottom w:w="0" w:type="dxa"/>
          <w:right w:w="108" w:type="dxa"/>
        </w:tblCellMar>
      </w:tblPr>
      <w:tblGrid>
        <w:gridCol w:w="2237"/>
        <w:gridCol w:w="2237"/>
        <w:gridCol w:w="2237"/>
        <w:gridCol w:w="2237"/>
      </w:tblGrid>
      <w:tr w14:paraId="193185E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5CF53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宋体"/>
                <w:b w:val="0"/>
                <w:bCs w:val="0"/>
                <w:color w:val="000000"/>
                <w:kern w:val="0"/>
                <w:sz w:val="21"/>
                <w:szCs w:val="21"/>
              </w:rPr>
            </w:pPr>
            <w:r>
              <w:rPr>
                <w:rFonts w:hint="eastAsia" w:ascii="Times New Roman" w:hAnsi="Times New Roman" w:eastAsia="黑体" w:cs="宋体"/>
                <w:b w:val="0"/>
                <w:bCs w:val="0"/>
                <w:color w:val="000000"/>
                <w:kern w:val="0"/>
                <w:sz w:val="21"/>
                <w:szCs w:val="21"/>
              </w:rPr>
              <w:t>第二十条第（一）项</w:t>
            </w:r>
          </w:p>
        </w:tc>
      </w:tr>
      <w:tr w14:paraId="2E91C3B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C6A5F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信息内容</w:t>
            </w:r>
          </w:p>
        </w:tc>
        <w:tc>
          <w:tcPr>
            <w:tcW w:w="1250" w:type="pct"/>
            <w:tcBorders>
              <w:top w:val="nil"/>
              <w:left w:val="nil"/>
              <w:bottom w:val="single" w:color="auto" w:sz="8" w:space="0"/>
              <w:right w:val="single" w:color="auto" w:sz="8" w:space="0"/>
            </w:tcBorders>
            <w:noWrap w:val="0"/>
            <w:vAlign w:val="center"/>
          </w:tcPr>
          <w:p w14:paraId="4C0EDF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本年制发件数</w:t>
            </w:r>
          </w:p>
        </w:tc>
        <w:tc>
          <w:tcPr>
            <w:tcW w:w="1250" w:type="pct"/>
            <w:tcBorders>
              <w:top w:val="nil"/>
              <w:left w:val="nil"/>
              <w:bottom w:val="single" w:color="auto" w:sz="8" w:space="0"/>
              <w:right w:val="single" w:color="auto" w:sz="8" w:space="0"/>
            </w:tcBorders>
            <w:noWrap w:val="0"/>
            <w:vAlign w:val="center"/>
          </w:tcPr>
          <w:p w14:paraId="565F74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本年废止件数</w:t>
            </w:r>
          </w:p>
        </w:tc>
        <w:tc>
          <w:tcPr>
            <w:tcW w:w="1250" w:type="pct"/>
            <w:tcBorders>
              <w:top w:val="nil"/>
              <w:left w:val="nil"/>
              <w:bottom w:val="single" w:color="auto" w:sz="8" w:space="0"/>
              <w:right w:val="single" w:color="auto" w:sz="8" w:space="0"/>
            </w:tcBorders>
            <w:noWrap w:val="0"/>
            <w:vAlign w:val="center"/>
          </w:tcPr>
          <w:p w14:paraId="7A7D20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现行有效件数</w:t>
            </w:r>
          </w:p>
        </w:tc>
      </w:tr>
      <w:tr w14:paraId="3F777F6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C30CF9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规章</w:t>
            </w:r>
          </w:p>
        </w:tc>
        <w:tc>
          <w:tcPr>
            <w:tcW w:w="1250" w:type="pct"/>
            <w:tcBorders>
              <w:top w:val="nil"/>
              <w:left w:val="nil"/>
              <w:bottom w:val="single" w:color="auto" w:sz="8" w:space="0"/>
              <w:right w:val="single" w:color="auto" w:sz="8" w:space="0"/>
            </w:tcBorders>
            <w:noWrap w:val="0"/>
            <w:vAlign w:val="center"/>
          </w:tcPr>
          <w:p w14:paraId="10E145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val="0"/>
                <w:bCs w:val="0"/>
                <w:color w:val="000000"/>
                <w:kern w:val="0"/>
                <w:sz w:val="21"/>
                <w:szCs w:val="21"/>
                <w:lang w:val="en-US" w:eastAsia="zh-CN"/>
              </w:rPr>
            </w:pPr>
            <w:r>
              <w:rPr>
                <w:rFonts w:hint="eastAsia" w:ascii="Times New Roman" w:hAnsi="Times New Roman" w:eastAsia="仿宋_GB2312" w:cs="宋体"/>
                <w:b w:val="0"/>
                <w:bCs w:val="0"/>
                <w:color w:val="000000"/>
                <w:kern w:val="0"/>
                <w:sz w:val="21"/>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24CCAE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val="0"/>
                <w:bCs w:val="0"/>
                <w:color w:val="000000"/>
                <w:kern w:val="0"/>
                <w:sz w:val="21"/>
                <w:szCs w:val="21"/>
                <w:lang w:val="en-US" w:eastAsia="zh-CN"/>
              </w:rPr>
            </w:pPr>
            <w:r>
              <w:rPr>
                <w:rFonts w:hint="eastAsia" w:ascii="Times New Roman" w:hAnsi="Times New Roman" w:eastAsia="仿宋_GB2312" w:cs="宋体"/>
                <w:b w:val="0"/>
                <w:bCs w:val="0"/>
                <w:color w:val="000000"/>
                <w:kern w:val="0"/>
                <w:sz w:val="21"/>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58E913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Calibri"/>
                <w:b w:val="0"/>
                <w:bCs w:val="0"/>
                <w:color w:val="000000"/>
                <w:kern w:val="0"/>
                <w:sz w:val="21"/>
                <w:szCs w:val="21"/>
                <w:lang w:val="en-US" w:eastAsia="zh-CN"/>
              </w:rPr>
            </w:pPr>
            <w:r>
              <w:rPr>
                <w:rFonts w:hint="eastAsia" w:ascii="Times New Roman" w:hAnsi="Times New Roman" w:eastAsia="仿宋_GB2312" w:cs="Calibri"/>
                <w:b w:val="0"/>
                <w:bCs w:val="0"/>
                <w:color w:val="000000"/>
                <w:kern w:val="0"/>
                <w:sz w:val="21"/>
                <w:szCs w:val="21"/>
                <w:lang w:val="en-US" w:eastAsia="zh-CN"/>
              </w:rPr>
              <w:t>0</w:t>
            </w:r>
          </w:p>
        </w:tc>
      </w:tr>
      <w:tr w14:paraId="127C67A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6D5516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行政规范性文件</w:t>
            </w:r>
          </w:p>
        </w:tc>
        <w:tc>
          <w:tcPr>
            <w:tcW w:w="2237" w:type="dxa"/>
            <w:tcBorders>
              <w:top w:val="nil"/>
              <w:left w:val="nil"/>
              <w:bottom w:val="single" w:color="auto" w:sz="8" w:space="0"/>
              <w:right w:val="single" w:color="auto" w:sz="8" w:space="0"/>
            </w:tcBorders>
            <w:noWrap w:val="0"/>
            <w:vAlign w:val="center"/>
          </w:tcPr>
          <w:p w14:paraId="37FF02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lang w:val="en-US" w:eastAsia="zh-CN"/>
              </w:rPr>
              <w:t>0</w:t>
            </w:r>
          </w:p>
        </w:tc>
        <w:tc>
          <w:tcPr>
            <w:tcW w:w="2237" w:type="dxa"/>
            <w:tcBorders>
              <w:top w:val="nil"/>
              <w:left w:val="nil"/>
              <w:bottom w:val="single" w:color="auto" w:sz="8" w:space="0"/>
              <w:right w:val="single" w:color="auto" w:sz="8" w:space="0"/>
            </w:tcBorders>
            <w:noWrap w:val="0"/>
            <w:vAlign w:val="center"/>
          </w:tcPr>
          <w:p w14:paraId="60A4BB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lang w:val="en-US" w:eastAsia="zh-CN"/>
              </w:rPr>
              <w:t>0</w:t>
            </w:r>
          </w:p>
        </w:tc>
        <w:tc>
          <w:tcPr>
            <w:tcW w:w="2237" w:type="dxa"/>
            <w:tcBorders>
              <w:top w:val="nil"/>
              <w:left w:val="nil"/>
              <w:bottom w:val="single" w:color="auto" w:sz="8" w:space="0"/>
              <w:right w:val="single" w:color="auto" w:sz="8" w:space="0"/>
            </w:tcBorders>
            <w:noWrap w:val="0"/>
            <w:vAlign w:val="center"/>
          </w:tcPr>
          <w:p w14:paraId="12420C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Calibri"/>
                <w:b w:val="0"/>
                <w:bCs w:val="0"/>
                <w:color w:val="000000"/>
                <w:kern w:val="0"/>
                <w:sz w:val="21"/>
                <w:szCs w:val="21"/>
              </w:rPr>
            </w:pPr>
            <w:r>
              <w:rPr>
                <w:rFonts w:hint="eastAsia" w:ascii="Times New Roman" w:hAnsi="Times New Roman" w:eastAsia="仿宋_GB2312" w:cs="Calibri"/>
                <w:b w:val="0"/>
                <w:bCs w:val="0"/>
                <w:color w:val="000000"/>
                <w:kern w:val="0"/>
                <w:sz w:val="21"/>
                <w:szCs w:val="21"/>
                <w:lang w:val="en-US" w:eastAsia="zh-CN"/>
              </w:rPr>
              <w:t>0</w:t>
            </w:r>
          </w:p>
        </w:tc>
      </w:tr>
      <w:tr w14:paraId="3A3A3A1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3C6E3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宋体"/>
                <w:b w:val="0"/>
                <w:bCs w:val="0"/>
                <w:color w:val="000000"/>
                <w:kern w:val="0"/>
                <w:sz w:val="21"/>
                <w:szCs w:val="21"/>
              </w:rPr>
            </w:pPr>
            <w:r>
              <w:rPr>
                <w:rFonts w:hint="eastAsia" w:ascii="Times New Roman" w:hAnsi="Times New Roman" w:eastAsia="黑体" w:cs="宋体"/>
                <w:b w:val="0"/>
                <w:bCs w:val="0"/>
                <w:color w:val="000000"/>
                <w:kern w:val="0"/>
                <w:sz w:val="21"/>
                <w:szCs w:val="21"/>
              </w:rPr>
              <w:t>第二十条第（五）项</w:t>
            </w:r>
          </w:p>
        </w:tc>
      </w:tr>
      <w:tr w14:paraId="7FD4588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CDC5E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62BD8D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本年处理决定数量</w:t>
            </w:r>
          </w:p>
        </w:tc>
      </w:tr>
      <w:tr w14:paraId="4739897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2527A2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3BA8D6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Calibri"/>
                <w:b w:val="0"/>
                <w:bCs w:val="0"/>
                <w:color w:val="000000"/>
                <w:kern w:val="0"/>
                <w:sz w:val="21"/>
                <w:szCs w:val="21"/>
                <w:lang w:val="en-US" w:eastAsia="zh-CN"/>
              </w:rPr>
            </w:pPr>
            <w:r>
              <w:rPr>
                <w:rFonts w:hint="eastAsia" w:ascii="Times New Roman" w:hAnsi="Times New Roman" w:eastAsia="仿宋_GB2312" w:cs="Calibri"/>
                <w:b w:val="0"/>
                <w:bCs w:val="0"/>
                <w:color w:val="000000"/>
                <w:kern w:val="0"/>
                <w:sz w:val="21"/>
                <w:szCs w:val="21"/>
                <w:lang w:val="en-US" w:eastAsia="zh-CN"/>
              </w:rPr>
              <w:t>0</w:t>
            </w:r>
          </w:p>
        </w:tc>
      </w:tr>
      <w:tr w14:paraId="6A804966">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55ED9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宋体"/>
                <w:b w:val="0"/>
                <w:bCs w:val="0"/>
                <w:color w:val="000000"/>
                <w:kern w:val="0"/>
                <w:sz w:val="21"/>
                <w:szCs w:val="21"/>
              </w:rPr>
            </w:pPr>
            <w:r>
              <w:rPr>
                <w:rFonts w:hint="eastAsia" w:ascii="Times New Roman" w:hAnsi="Times New Roman" w:eastAsia="黑体" w:cs="宋体"/>
                <w:b w:val="0"/>
                <w:bCs w:val="0"/>
                <w:color w:val="000000"/>
                <w:kern w:val="0"/>
                <w:sz w:val="21"/>
                <w:szCs w:val="21"/>
              </w:rPr>
              <w:t>第二十条第（六）项</w:t>
            </w:r>
          </w:p>
        </w:tc>
      </w:tr>
      <w:tr w14:paraId="4D49509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6298DC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0753E6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本年处理决定数量</w:t>
            </w:r>
          </w:p>
        </w:tc>
      </w:tr>
      <w:tr w14:paraId="10B0869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B5D85D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2E9B63A5">
            <w:pPr>
              <w:keepNext w:val="0"/>
              <w:keepLines w:val="0"/>
              <w:pageBreakBefore w:val="0"/>
              <w:widowControl w:val="0"/>
              <w:tabs>
                <w:tab w:val="center" w:pos="3247"/>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宋体"/>
                <w:b w:val="0"/>
                <w:bCs w:val="0"/>
                <w:color w:val="000000"/>
                <w:kern w:val="0"/>
                <w:sz w:val="21"/>
                <w:szCs w:val="21"/>
                <w:lang w:val="en-US" w:eastAsia="zh-CN"/>
              </w:rPr>
            </w:pPr>
            <w:r>
              <w:rPr>
                <w:rFonts w:hint="eastAsia" w:ascii="Times New Roman" w:hAnsi="Times New Roman" w:eastAsia="仿宋_GB2312" w:cs="宋体"/>
                <w:b w:val="0"/>
                <w:bCs w:val="0"/>
                <w:color w:val="000000"/>
                <w:kern w:val="0"/>
                <w:sz w:val="21"/>
                <w:szCs w:val="21"/>
                <w:lang w:val="en-US" w:eastAsia="zh-CN"/>
              </w:rPr>
              <w:t>0</w:t>
            </w:r>
          </w:p>
        </w:tc>
      </w:tr>
      <w:tr w14:paraId="6B5F3E1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5EE3BB1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0DC395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宋体"/>
                <w:b w:val="0"/>
                <w:bCs w:val="0"/>
                <w:color w:val="000000"/>
                <w:kern w:val="0"/>
                <w:sz w:val="21"/>
                <w:szCs w:val="21"/>
                <w:lang w:val="en-US" w:eastAsia="zh-CN"/>
              </w:rPr>
            </w:pPr>
            <w:r>
              <w:rPr>
                <w:rFonts w:hint="eastAsia" w:ascii="Times New Roman" w:hAnsi="Times New Roman" w:eastAsia="仿宋_GB2312" w:cs="宋体"/>
                <w:b w:val="0"/>
                <w:bCs w:val="0"/>
                <w:color w:val="000000"/>
                <w:kern w:val="0"/>
                <w:sz w:val="21"/>
                <w:szCs w:val="21"/>
                <w:lang w:val="en-US" w:eastAsia="zh-CN"/>
              </w:rPr>
              <w:t>0</w:t>
            </w:r>
          </w:p>
        </w:tc>
      </w:tr>
      <w:tr w14:paraId="29761F73">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D10C7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宋体"/>
                <w:b w:val="0"/>
                <w:bCs w:val="0"/>
                <w:color w:val="000000"/>
                <w:kern w:val="0"/>
                <w:sz w:val="21"/>
                <w:szCs w:val="21"/>
              </w:rPr>
            </w:pPr>
            <w:r>
              <w:rPr>
                <w:rFonts w:hint="eastAsia" w:ascii="Times New Roman" w:hAnsi="Times New Roman" w:eastAsia="黑体" w:cs="宋体"/>
                <w:b w:val="0"/>
                <w:bCs w:val="0"/>
                <w:color w:val="000000"/>
                <w:kern w:val="0"/>
                <w:sz w:val="21"/>
                <w:szCs w:val="21"/>
              </w:rPr>
              <w:t>第二十条第（八）项</w:t>
            </w:r>
          </w:p>
        </w:tc>
      </w:tr>
      <w:tr w14:paraId="7D981C6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6C6CB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52E34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本年收费金额（单位：万元）</w:t>
            </w:r>
          </w:p>
        </w:tc>
      </w:tr>
      <w:tr w14:paraId="5E07074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D32261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38935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Calibri"/>
                <w:b w:val="0"/>
                <w:bCs w:val="0"/>
                <w:color w:val="000000"/>
                <w:kern w:val="0"/>
                <w:sz w:val="21"/>
                <w:szCs w:val="21"/>
                <w:lang w:val="en-US" w:eastAsia="zh-CN"/>
              </w:rPr>
            </w:pPr>
            <w:r>
              <w:rPr>
                <w:rFonts w:hint="eastAsia" w:ascii="Times New Roman" w:hAnsi="Times New Roman" w:eastAsia="仿宋_GB2312" w:cs="Calibri"/>
                <w:b w:val="0"/>
                <w:bCs w:val="0"/>
                <w:color w:val="000000"/>
                <w:kern w:val="0"/>
                <w:sz w:val="21"/>
                <w:szCs w:val="21"/>
                <w:lang w:val="en-US" w:eastAsia="zh-CN"/>
              </w:rPr>
              <w:t>0</w:t>
            </w:r>
          </w:p>
        </w:tc>
      </w:tr>
    </w:tbl>
    <w:p w14:paraId="6FAC2A9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黑体简体" w:cs="Times New Roman"/>
          <w:b/>
          <w:bCs/>
          <w:color w:val="000000"/>
          <w:kern w:val="0"/>
          <w:sz w:val="32"/>
          <w:szCs w:val="32"/>
          <w:lang w:val="en-US" w:eastAsia="zh-CN" w:bidi="ar-SA"/>
        </w:rPr>
      </w:pPr>
      <w:r>
        <w:rPr>
          <w:rFonts w:hint="default" w:ascii="Times New Roman" w:hAnsi="Times New Roman" w:eastAsia="方正黑体简体" w:cs="Times New Roman"/>
          <w:b/>
          <w:bCs/>
          <w:color w:val="000000"/>
          <w:kern w:val="0"/>
          <w:sz w:val="32"/>
          <w:szCs w:val="32"/>
          <w:lang w:val="en-US" w:eastAsia="zh-CN" w:bidi="ar-SA"/>
        </w:rPr>
        <w:t>三、收到和处理政府信息公开申请情况</w:t>
      </w:r>
    </w:p>
    <w:tbl>
      <w:tblPr>
        <w:tblStyle w:val="8"/>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992E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42A87E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s="Times New Roman"/>
                <w:b w:val="0"/>
                <w:bCs w:val="0"/>
                <w:kern w:val="0"/>
                <w:sz w:val="21"/>
                <w:szCs w:val="21"/>
              </w:rPr>
            </w:pPr>
            <w:r>
              <w:rPr>
                <w:rFonts w:hint="eastAsia" w:ascii="Times New Roman" w:hAnsi="Times New Roman" w:eastAsia="楷体_GB2312" w:cs="Times New Roman"/>
                <w:b w:val="0"/>
                <w:bCs w:val="0"/>
                <w:kern w:val="0"/>
                <w:sz w:val="21"/>
                <w:szCs w:val="21"/>
              </w:rPr>
              <w:t>（本列数据的勾稽关系为：第一项加第二项之和，</w:t>
            </w:r>
          </w:p>
          <w:p w14:paraId="1BF8BB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楷体_GB2312" w:cs="Times New Roman"/>
                <w:b w:val="0"/>
                <w:bCs w:val="0"/>
                <w:kern w:val="0"/>
                <w:sz w:val="21"/>
                <w:szCs w:val="21"/>
              </w:rPr>
              <w:t>等于第三项加第四项之和）</w:t>
            </w:r>
          </w:p>
        </w:tc>
        <w:tc>
          <w:tcPr>
            <w:tcW w:w="4820" w:type="dxa"/>
            <w:gridSpan w:val="7"/>
            <w:noWrap w:val="0"/>
            <w:tcMar>
              <w:left w:w="108" w:type="dxa"/>
              <w:right w:w="108" w:type="dxa"/>
            </w:tcMar>
            <w:vAlign w:val="center"/>
          </w:tcPr>
          <w:p w14:paraId="04382E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申请人情况</w:t>
            </w:r>
          </w:p>
        </w:tc>
      </w:tr>
      <w:tr w14:paraId="0D90C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2CAADD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p>
        </w:tc>
        <w:tc>
          <w:tcPr>
            <w:tcW w:w="829" w:type="dxa"/>
            <w:vMerge w:val="restart"/>
            <w:noWrap w:val="0"/>
            <w:tcMar>
              <w:left w:w="108" w:type="dxa"/>
              <w:right w:w="108" w:type="dxa"/>
            </w:tcMar>
            <w:vAlign w:val="center"/>
          </w:tcPr>
          <w:p w14:paraId="21C3C4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自然人</w:t>
            </w:r>
          </w:p>
        </w:tc>
        <w:tc>
          <w:tcPr>
            <w:tcW w:w="3140" w:type="dxa"/>
            <w:gridSpan w:val="5"/>
            <w:noWrap w:val="0"/>
            <w:tcMar>
              <w:left w:w="108" w:type="dxa"/>
              <w:right w:w="108" w:type="dxa"/>
            </w:tcMar>
            <w:vAlign w:val="center"/>
          </w:tcPr>
          <w:p w14:paraId="2599DF3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法人或其他组织</w:t>
            </w:r>
          </w:p>
        </w:tc>
        <w:tc>
          <w:tcPr>
            <w:tcW w:w="851" w:type="dxa"/>
            <w:vMerge w:val="restart"/>
            <w:noWrap w:val="0"/>
            <w:tcMar>
              <w:left w:w="108" w:type="dxa"/>
              <w:right w:w="108" w:type="dxa"/>
            </w:tcMar>
            <w:vAlign w:val="center"/>
          </w:tcPr>
          <w:p w14:paraId="5DD3EE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总计</w:t>
            </w:r>
          </w:p>
        </w:tc>
      </w:tr>
      <w:tr w14:paraId="52DE4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7C2043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p>
        </w:tc>
        <w:tc>
          <w:tcPr>
            <w:tcW w:w="829" w:type="dxa"/>
            <w:vMerge w:val="continue"/>
            <w:noWrap w:val="0"/>
            <w:tcMar>
              <w:left w:w="108" w:type="dxa"/>
              <w:right w:w="108" w:type="dxa"/>
            </w:tcMar>
            <w:vAlign w:val="center"/>
          </w:tcPr>
          <w:p w14:paraId="317848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1"/>
              </w:rPr>
            </w:pPr>
          </w:p>
        </w:tc>
        <w:tc>
          <w:tcPr>
            <w:tcW w:w="567" w:type="dxa"/>
            <w:noWrap w:val="0"/>
            <w:tcMar>
              <w:left w:w="108" w:type="dxa"/>
              <w:right w:w="108" w:type="dxa"/>
            </w:tcMar>
            <w:vAlign w:val="center"/>
          </w:tcPr>
          <w:p w14:paraId="0E52591C">
            <w:pPr>
              <w:keepNext w:val="0"/>
              <w:keepLines w:val="0"/>
              <w:pageBreakBefore w:val="0"/>
              <w:widowControl w:val="0"/>
              <w:kinsoku/>
              <w:wordWrap/>
              <w:overflowPunct/>
              <w:topLinePunct w:val="0"/>
              <w:autoSpaceDE/>
              <w:autoSpaceDN/>
              <w:bidi w:val="0"/>
              <w:adjustRightInd/>
              <w:snapToGrid/>
              <w:spacing w:line="320" w:lineRule="exact"/>
              <w:ind w:left="-162" w:leftChars="-51" w:right="-163" w:rightChars="-51" w:hanging="1"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商业企业</w:t>
            </w:r>
          </w:p>
        </w:tc>
        <w:tc>
          <w:tcPr>
            <w:tcW w:w="567" w:type="dxa"/>
            <w:noWrap w:val="0"/>
            <w:tcMar>
              <w:left w:w="108" w:type="dxa"/>
              <w:right w:w="108" w:type="dxa"/>
            </w:tcMar>
            <w:vAlign w:val="center"/>
          </w:tcPr>
          <w:p w14:paraId="023FEB09">
            <w:pPr>
              <w:keepNext w:val="0"/>
              <w:keepLines w:val="0"/>
              <w:pageBreakBefore w:val="0"/>
              <w:widowControl w:val="0"/>
              <w:kinsoku/>
              <w:wordWrap/>
              <w:overflowPunct/>
              <w:topLinePunct w:val="0"/>
              <w:autoSpaceDE/>
              <w:autoSpaceDN/>
              <w:bidi w:val="0"/>
              <w:adjustRightInd/>
              <w:snapToGrid/>
              <w:spacing w:line="320" w:lineRule="exact"/>
              <w:ind w:left="-163" w:leftChars="-51" w:right="-163" w:rightChars="-51"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科研机构</w:t>
            </w:r>
          </w:p>
        </w:tc>
        <w:tc>
          <w:tcPr>
            <w:tcW w:w="731" w:type="dxa"/>
            <w:noWrap w:val="0"/>
            <w:tcMar>
              <w:left w:w="108" w:type="dxa"/>
              <w:right w:w="108" w:type="dxa"/>
            </w:tcMar>
            <w:vAlign w:val="center"/>
          </w:tcPr>
          <w:p w14:paraId="4575C303">
            <w:pPr>
              <w:keepNext w:val="0"/>
              <w:keepLines w:val="0"/>
              <w:pageBreakBefore w:val="0"/>
              <w:widowControl w:val="0"/>
              <w:kinsoku/>
              <w:wordWrap/>
              <w:overflowPunct/>
              <w:topLinePunct w:val="0"/>
              <w:autoSpaceDE/>
              <w:autoSpaceDN/>
              <w:bidi w:val="0"/>
              <w:adjustRightInd/>
              <w:snapToGrid/>
              <w:spacing w:line="320" w:lineRule="exact"/>
              <w:ind w:left="-163" w:leftChars="-51" w:right="-163" w:rightChars="-51"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社会公益组织</w:t>
            </w:r>
          </w:p>
        </w:tc>
        <w:tc>
          <w:tcPr>
            <w:tcW w:w="708" w:type="dxa"/>
            <w:noWrap w:val="0"/>
            <w:tcMar>
              <w:left w:w="108" w:type="dxa"/>
              <w:right w:w="108" w:type="dxa"/>
            </w:tcMar>
            <w:vAlign w:val="center"/>
          </w:tcPr>
          <w:p w14:paraId="76521C93">
            <w:pPr>
              <w:keepNext w:val="0"/>
              <w:keepLines w:val="0"/>
              <w:pageBreakBefore w:val="0"/>
              <w:widowControl w:val="0"/>
              <w:kinsoku/>
              <w:wordWrap/>
              <w:overflowPunct/>
              <w:topLinePunct w:val="0"/>
              <w:autoSpaceDE/>
              <w:autoSpaceDN/>
              <w:bidi w:val="0"/>
              <w:adjustRightInd/>
              <w:snapToGrid/>
              <w:spacing w:line="320" w:lineRule="exact"/>
              <w:ind w:left="-162" w:leftChars="-51" w:right="-163" w:rightChars="-51" w:hanging="1"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法律服务机构</w:t>
            </w:r>
          </w:p>
        </w:tc>
        <w:tc>
          <w:tcPr>
            <w:tcW w:w="567" w:type="dxa"/>
            <w:noWrap w:val="0"/>
            <w:tcMar>
              <w:left w:w="108" w:type="dxa"/>
              <w:right w:w="108" w:type="dxa"/>
            </w:tcMar>
            <w:vAlign w:val="center"/>
          </w:tcPr>
          <w:p w14:paraId="242A6DE3">
            <w:pPr>
              <w:keepNext w:val="0"/>
              <w:keepLines w:val="0"/>
              <w:pageBreakBefore w:val="0"/>
              <w:widowControl w:val="0"/>
              <w:kinsoku/>
              <w:wordWrap/>
              <w:overflowPunct/>
              <w:topLinePunct w:val="0"/>
              <w:autoSpaceDE/>
              <w:autoSpaceDN/>
              <w:bidi w:val="0"/>
              <w:adjustRightInd/>
              <w:snapToGrid/>
              <w:spacing w:line="360" w:lineRule="exact"/>
              <w:ind w:left="-96" w:leftChars="-30" w:right="-205" w:rightChars="-64"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其他</w:t>
            </w:r>
          </w:p>
        </w:tc>
        <w:tc>
          <w:tcPr>
            <w:tcW w:w="851" w:type="dxa"/>
            <w:vMerge w:val="continue"/>
            <w:noWrap w:val="0"/>
            <w:tcMar>
              <w:left w:w="108" w:type="dxa"/>
              <w:right w:w="108" w:type="dxa"/>
            </w:tcMar>
            <w:vAlign w:val="center"/>
          </w:tcPr>
          <w:p w14:paraId="2A902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p>
        </w:tc>
      </w:tr>
      <w:tr w14:paraId="582AD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2A534A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一、</w:t>
            </w:r>
            <w:bookmarkStart w:id="0" w:name="_Hlk66973412"/>
            <w:r>
              <w:rPr>
                <w:rFonts w:hint="eastAsia" w:ascii="Times New Roman" w:hAnsi="Times New Roman" w:eastAsia="黑体" w:cs="Times New Roman"/>
                <w:b w:val="0"/>
                <w:bCs w:val="0"/>
                <w:kern w:val="0"/>
                <w:sz w:val="21"/>
                <w:szCs w:val="21"/>
              </w:rPr>
              <w:t>本年新收政府信息公开申请数量</w:t>
            </w:r>
            <w:bookmarkEnd w:id="0"/>
          </w:p>
        </w:tc>
        <w:tc>
          <w:tcPr>
            <w:tcW w:w="829" w:type="dxa"/>
            <w:noWrap w:val="0"/>
            <w:tcMar>
              <w:left w:w="108" w:type="dxa"/>
              <w:right w:w="108" w:type="dxa"/>
            </w:tcMar>
            <w:vAlign w:val="center"/>
          </w:tcPr>
          <w:p w14:paraId="715E04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1605B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666DD7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577BF8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17C3D0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C8CBB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39EFEF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r>
      <w:tr w14:paraId="23722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2146BA9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二、上年结转政府信息公开申请数量</w:t>
            </w:r>
          </w:p>
        </w:tc>
        <w:tc>
          <w:tcPr>
            <w:tcW w:w="829" w:type="dxa"/>
            <w:noWrap w:val="0"/>
            <w:tcMar>
              <w:left w:w="108" w:type="dxa"/>
              <w:right w:w="108" w:type="dxa"/>
            </w:tcMar>
            <w:vAlign w:val="center"/>
          </w:tcPr>
          <w:p w14:paraId="335EE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1100FF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23C32A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055E3B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1BD887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DDE85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319F75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57692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06F00EB7">
            <w:pPr>
              <w:keepNext w:val="0"/>
              <w:keepLines w:val="0"/>
              <w:pageBreakBefore w:val="0"/>
              <w:widowControl w:val="0"/>
              <w:kinsoku/>
              <w:wordWrap/>
              <w:overflowPunct/>
              <w:topLinePunct w:val="0"/>
              <w:autoSpaceDE/>
              <w:autoSpaceDN/>
              <w:bidi w:val="0"/>
              <w:adjustRightInd/>
              <w:snapToGrid/>
              <w:spacing w:after="180" w:line="240" w:lineRule="auto"/>
              <w:ind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三、本年度办理结果</w:t>
            </w:r>
          </w:p>
        </w:tc>
        <w:tc>
          <w:tcPr>
            <w:tcW w:w="4677" w:type="dxa"/>
            <w:gridSpan w:val="2"/>
            <w:noWrap w:val="0"/>
            <w:tcMar>
              <w:left w:w="108" w:type="dxa"/>
              <w:right w:w="108" w:type="dxa"/>
            </w:tcMar>
            <w:vAlign w:val="center"/>
          </w:tcPr>
          <w:p w14:paraId="4CCB5B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（一）予以公开</w:t>
            </w:r>
          </w:p>
        </w:tc>
        <w:tc>
          <w:tcPr>
            <w:tcW w:w="829" w:type="dxa"/>
            <w:noWrap w:val="0"/>
            <w:tcMar>
              <w:left w:w="108" w:type="dxa"/>
              <w:right w:w="108" w:type="dxa"/>
            </w:tcMar>
            <w:vAlign w:val="center"/>
          </w:tcPr>
          <w:p w14:paraId="14D7B1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E8868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0F5DDC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2204F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6ED4EC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21C155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243FFD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2541D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E58CF5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4677" w:type="dxa"/>
            <w:gridSpan w:val="2"/>
            <w:noWrap w:val="0"/>
            <w:tcMar>
              <w:left w:w="108" w:type="dxa"/>
              <w:right w:w="108" w:type="dxa"/>
            </w:tcMar>
            <w:vAlign w:val="center"/>
          </w:tcPr>
          <w:p w14:paraId="26D064B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（二）部分公开（</w:t>
            </w:r>
            <w:bookmarkStart w:id="1" w:name="_Hlk66973981"/>
            <w:r>
              <w:rPr>
                <w:rFonts w:hint="eastAsia" w:ascii="Times New Roman" w:hAnsi="Times New Roman" w:eastAsia="黑体" w:cs="Times New Roman"/>
                <w:b w:val="0"/>
                <w:bCs w:val="0"/>
                <w:kern w:val="0"/>
                <w:sz w:val="21"/>
                <w:szCs w:val="21"/>
              </w:rPr>
              <w:t>区分处理的，只计这一情形，不计其他情形</w:t>
            </w:r>
            <w:bookmarkEnd w:id="1"/>
            <w:r>
              <w:rPr>
                <w:rFonts w:hint="eastAsia" w:ascii="Times New Roman" w:hAnsi="Times New Roman" w:eastAsia="黑体" w:cs="Times New Roman"/>
                <w:b w:val="0"/>
                <w:bCs w:val="0"/>
                <w:kern w:val="0"/>
                <w:sz w:val="21"/>
                <w:szCs w:val="21"/>
              </w:rPr>
              <w:t>）</w:t>
            </w:r>
          </w:p>
        </w:tc>
        <w:tc>
          <w:tcPr>
            <w:tcW w:w="829" w:type="dxa"/>
            <w:noWrap w:val="0"/>
            <w:tcMar>
              <w:left w:w="108" w:type="dxa"/>
              <w:right w:w="108" w:type="dxa"/>
            </w:tcMar>
            <w:vAlign w:val="center"/>
          </w:tcPr>
          <w:p w14:paraId="2C43FA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3190D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7AD598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4BB8D5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2B4A6B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283A8C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6F5239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4CCF7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E6C23D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restart"/>
            <w:noWrap w:val="0"/>
            <w:tcMar>
              <w:left w:w="108" w:type="dxa"/>
              <w:right w:w="108" w:type="dxa"/>
            </w:tcMar>
            <w:vAlign w:val="center"/>
          </w:tcPr>
          <w:p w14:paraId="28EE6DCB">
            <w:pPr>
              <w:keepNext w:val="0"/>
              <w:keepLines w:val="0"/>
              <w:pageBreakBefore w:val="0"/>
              <w:widowControl w:val="0"/>
              <w:kinsoku/>
              <w:wordWrap/>
              <w:overflowPunct/>
              <w:topLinePunct w:val="0"/>
              <w:autoSpaceDE/>
              <w:autoSpaceDN/>
              <w:bidi w:val="0"/>
              <w:adjustRightInd/>
              <w:snapToGrid/>
              <w:spacing w:line="300" w:lineRule="exact"/>
              <w:ind w:left="-163" w:leftChars="-51"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（三）不予公开</w:t>
            </w:r>
          </w:p>
        </w:tc>
        <w:tc>
          <w:tcPr>
            <w:tcW w:w="2976" w:type="dxa"/>
            <w:noWrap w:val="0"/>
            <w:tcMar>
              <w:left w:w="108" w:type="dxa"/>
              <w:right w:w="108" w:type="dxa"/>
            </w:tcMar>
            <w:vAlign w:val="center"/>
          </w:tcPr>
          <w:p w14:paraId="6AD85E7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1.属于国家秘密</w:t>
            </w:r>
          </w:p>
        </w:tc>
        <w:tc>
          <w:tcPr>
            <w:tcW w:w="829" w:type="dxa"/>
            <w:noWrap w:val="0"/>
            <w:tcMar>
              <w:left w:w="108" w:type="dxa"/>
              <w:right w:w="108" w:type="dxa"/>
            </w:tcMar>
            <w:vAlign w:val="center"/>
          </w:tcPr>
          <w:p w14:paraId="79B82E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75450D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231B5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4CC5AE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4AF6F4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ED4BD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3E1DF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18061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DA06D2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0049063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4FA5ED2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2.</w:t>
            </w:r>
            <w:bookmarkStart w:id="2" w:name="_Hlk66974104"/>
            <w:r>
              <w:rPr>
                <w:rFonts w:hint="eastAsia" w:ascii="Times New Roman" w:hAnsi="Times New Roman" w:eastAsia="仿宋_GB2312" w:cs="Times New Roman"/>
                <w:b w:val="0"/>
                <w:bCs w:val="0"/>
                <w:kern w:val="0"/>
                <w:sz w:val="21"/>
                <w:szCs w:val="21"/>
              </w:rPr>
              <w:t>其他法律行政法规禁止公开</w:t>
            </w:r>
            <w:bookmarkEnd w:id="2"/>
          </w:p>
        </w:tc>
        <w:tc>
          <w:tcPr>
            <w:tcW w:w="829" w:type="dxa"/>
            <w:noWrap w:val="0"/>
            <w:tcMar>
              <w:left w:w="108" w:type="dxa"/>
              <w:right w:w="108" w:type="dxa"/>
            </w:tcMar>
            <w:vAlign w:val="center"/>
          </w:tcPr>
          <w:p w14:paraId="30BD28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06094A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14146B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42F8D2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498AEC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6393EE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1273E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1C71C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EF3853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5F2C24C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3AF91CE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3.危及“三安全一稳定”</w:t>
            </w:r>
          </w:p>
        </w:tc>
        <w:tc>
          <w:tcPr>
            <w:tcW w:w="829" w:type="dxa"/>
            <w:noWrap w:val="0"/>
            <w:tcMar>
              <w:left w:w="108" w:type="dxa"/>
              <w:right w:w="108" w:type="dxa"/>
            </w:tcMar>
            <w:vAlign w:val="center"/>
          </w:tcPr>
          <w:p w14:paraId="2B95BD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4C5C5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00C6F7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1354A6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3BC874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6B4DD6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5B4F60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60FE8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1585B3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7653160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4CF558D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4.</w:t>
            </w:r>
            <w:bookmarkStart w:id="3" w:name="_Hlk66974290"/>
            <w:r>
              <w:rPr>
                <w:rFonts w:hint="eastAsia" w:ascii="Times New Roman" w:hAnsi="Times New Roman" w:eastAsia="仿宋_GB2312" w:cs="Times New Roman"/>
                <w:b w:val="0"/>
                <w:bCs w:val="0"/>
                <w:kern w:val="0"/>
                <w:sz w:val="21"/>
                <w:szCs w:val="21"/>
              </w:rPr>
              <w:t>保护第三方合法权益</w:t>
            </w:r>
            <w:bookmarkEnd w:id="3"/>
          </w:p>
        </w:tc>
        <w:tc>
          <w:tcPr>
            <w:tcW w:w="829" w:type="dxa"/>
            <w:noWrap w:val="0"/>
            <w:tcMar>
              <w:left w:w="108" w:type="dxa"/>
              <w:right w:w="108" w:type="dxa"/>
            </w:tcMar>
            <w:vAlign w:val="center"/>
          </w:tcPr>
          <w:p w14:paraId="6AB2E7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1966A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30F1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581870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0F9E77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2D1DB7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0D43E5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3E239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2C538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3FA4419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3002389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5.属于三类内部事务信息</w:t>
            </w:r>
          </w:p>
        </w:tc>
        <w:tc>
          <w:tcPr>
            <w:tcW w:w="829" w:type="dxa"/>
            <w:noWrap w:val="0"/>
            <w:tcMar>
              <w:left w:w="108" w:type="dxa"/>
              <w:right w:w="108" w:type="dxa"/>
            </w:tcMar>
            <w:vAlign w:val="center"/>
          </w:tcPr>
          <w:p w14:paraId="6F5AEA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65D0FC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6EA8CB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6901A0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36CC36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0DE6F4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61236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09C19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FEF73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41D4E26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27C4862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6.</w:t>
            </w:r>
            <w:bookmarkStart w:id="4" w:name="_Hlk66974555"/>
            <w:r>
              <w:rPr>
                <w:rFonts w:hint="eastAsia" w:ascii="Times New Roman" w:hAnsi="Times New Roman" w:eastAsia="仿宋_GB2312" w:cs="Times New Roman"/>
                <w:b w:val="0"/>
                <w:bCs w:val="0"/>
                <w:kern w:val="0"/>
                <w:sz w:val="21"/>
                <w:szCs w:val="21"/>
              </w:rPr>
              <w:t>属于四类过程性信息</w:t>
            </w:r>
            <w:bookmarkEnd w:id="4"/>
          </w:p>
        </w:tc>
        <w:tc>
          <w:tcPr>
            <w:tcW w:w="829" w:type="dxa"/>
            <w:noWrap w:val="0"/>
            <w:tcMar>
              <w:left w:w="108" w:type="dxa"/>
              <w:right w:w="108" w:type="dxa"/>
            </w:tcMar>
            <w:vAlign w:val="center"/>
          </w:tcPr>
          <w:p w14:paraId="683E2F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30486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397AA9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04405F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6CDC6E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6B8AD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761FBD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73D57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E0835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5BA62EC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5F2453B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7.属于行政执法案卷</w:t>
            </w:r>
          </w:p>
        </w:tc>
        <w:tc>
          <w:tcPr>
            <w:tcW w:w="829" w:type="dxa"/>
            <w:noWrap w:val="0"/>
            <w:tcMar>
              <w:left w:w="108" w:type="dxa"/>
              <w:right w:w="108" w:type="dxa"/>
            </w:tcMar>
            <w:vAlign w:val="center"/>
          </w:tcPr>
          <w:p w14:paraId="1C6C34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63E9C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960C4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2A223D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72A9C6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06285A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5216FD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15693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2ACE04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1CD57ED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19D4D1A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8.</w:t>
            </w:r>
            <w:bookmarkStart w:id="5" w:name="_Hlk66975211"/>
            <w:r>
              <w:rPr>
                <w:rFonts w:hint="eastAsia" w:ascii="Times New Roman" w:hAnsi="Times New Roman" w:eastAsia="仿宋_GB2312" w:cs="Times New Roman"/>
                <w:b w:val="0"/>
                <w:bCs w:val="0"/>
                <w:kern w:val="0"/>
                <w:sz w:val="21"/>
                <w:szCs w:val="21"/>
              </w:rPr>
              <w:t>属于行政查询事项</w:t>
            </w:r>
            <w:bookmarkEnd w:id="5"/>
          </w:p>
        </w:tc>
        <w:tc>
          <w:tcPr>
            <w:tcW w:w="829" w:type="dxa"/>
            <w:noWrap w:val="0"/>
            <w:tcMar>
              <w:left w:w="108" w:type="dxa"/>
              <w:right w:w="108" w:type="dxa"/>
            </w:tcMar>
            <w:vAlign w:val="center"/>
          </w:tcPr>
          <w:p w14:paraId="5D291D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3A616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73B993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046618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4D7791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721B6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60EEEF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6C496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961868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restart"/>
            <w:noWrap w:val="0"/>
            <w:tcMar>
              <w:left w:w="108" w:type="dxa"/>
              <w:right w:w="108" w:type="dxa"/>
            </w:tcMar>
            <w:vAlign w:val="center"/>
          </w:tcPr>
          <w:p w14:paraId="55F6C340">
            <w:pPr>
              <w:keepNext w:val="0"/>
              <w:keepLines w:val="0"/>
              <w:pageBreakBefore w:val="0"/>
              <w:widowControl w:val="0"/>
              <w:kinsoku/>
              <w:wordWrap/>
              <w:overflowPunct/>
              <w:topLinePunct w:val="0"/>
              <w:autoSpaceDE/>
              <w:autoSpaceDN/>
              <w:bidi w:val="0"/>
              <w:adjustRightInd/>
              <w:snapToGrid/>
              <w:spacing w:line="300" w:lineRule="exact"/>
              <w:ind w:left="-163" w:leftChars="-51"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（四）无法提供</w:t>
            </w:r>
          </w:p>
        </w:tc>
        <w:tc>
          <w:tcPr>
            <w:tcW w:w="2976" w:type="dxa"/>
            <w:noWrap w:val="0"/>
            <w:tcMar>
              <w:left w:w="108" w:type="dxa"/>
              <w:right w:w="108" w:type="dxa"/>
            </w:tcMar>
            <w:vAlign w:val="center"/>
          </w:tcPr>
          <w:p w14:paraId="40BFDD7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1.本机关不掌握相关政府信息</w:t>
            </w:r>
          </w:p>
        </w:tc>
        <w:tc>
          <w:tcPr>
            <w:tcW w:w="829" w:type="dxa"/>
            <w:noWrap w:val="0"/>
            <w:tcMar>
              <w:left w:w="108" w:type="dxa"/>
              <w:right w:w="108" w:type="dxa"/>
            </w:tcMar>
            <w:vAlign w:val="center"/>
          </w:tcPr>
          <w:p w14:paraId="0D7886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677382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721518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117463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4FD7C9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A2191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212119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0EEE1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7C915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6CA971B0">
            <w:pPr>
              <w:keepNext w:val="0"/>
              <w:keepLines w:val="0"/>
              <w:pageBreakBefore w:val="0"/>
              <w:widowControl w:val="0"/>
              <w:kinsoku/>
              <w:wordWrap/>
              <w:overflowPunct/>
              <w:topLinePunct w:val="0"/>
              <w:autoSpaceDE/>
              <w:autoSpaceDN/>
              <w:bidi w:val="0"/>
              <w:adjustRightInd/>
              <w:snapToGrid/>
              <w:spacing w:line="300" w:lineRule="exact"/>
              <w:ind w:left="-163" w:leftChars="-51"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2E2C10E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2.</w:t>
            </w:r>
            <w:bookmarkStart w:id="6" w:name="_Hlk66975392"/>
            <w:r>
              <w:rPr>
                <w:rFonts w:hint="eastAsia" w:ascii="Times New Roman" w:hAnsi="Times New Roman" w:eastAsia="仿宋_GB2312" w:cs="Times New Roman"/>
                <w:b w:val="0"/>
                <w:bCs w:val="0"/>
                <w:kern w:val="0"/>
                <w:sz w:val="21"/>
                <w:szCs w:val="21"/>
              </w:rPr>
              <w:t>没有现成信息需要另行制作</w:t>
            </w:r>
            <w:bookmarkEnd w:id="6"/>
          </w:p>
        </w:tc>
        <w:tc>
          <w:tcPr>
            <w:tcW w:w="829" w:type="dxa"/>
            <w:noWrap w:val="0"/>
            <w:tcMar>
              <w:left w:w="108" w:type="dxa"/>
              <w:right w:w="108" w:type="dxa"/>
            </w:tcMar>
            <w:vAlign w:val="center"/>
          </w:tcPr>
          <w:p w14:paraId="7FA153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742AC9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114779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19E847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38B892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18114E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2B56D0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494295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FFCDCD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59B8E84B">
            <w:pPr>
              <w:keepNext w:val="0"/>
              <w:keepLines w:val="0"/>
              <w:pageBreakBefore w:val="0"/>
              <w:widowControl w:val="0"/>
              <w:kinsoku/>
              <w:wordWrap/>
              <w:overflowPunct/>
              <w:topLinePunct w:val="0"/>
              <w:autoSpaceDE/>
              <w:autoSpaceDN/>
              <w:bidi w:val="0"/>
              <w:adjustRightInd/>
              <w:snapToGrid/>
              <w:spacing w:line="300" w:lineRule="exact"/>
              <w:ind w:left="-163" w:leftChars="-51"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672A54D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3.</w:t>
            </w:r>
            <w:bookmarkStart w:id="7" w:name="_Hlk66975466"/>
            <w:r>
              <w:rPr>
                <w:rFonts w:hint="eastAsia" w:ascii="Times New Roman" w:hAnsi="Times New Roman" w:eastAsia="仿宋_GB2312" w:cs="Times New Roman"/>
                <w:b w:val="0"/>
                <w:bCs w:val="0"/>
                <w:kern w:val="0"/>
                <w:sz w:val="21"/>
                <w:szCs w:val="21"/>
              </w:rPr>
              <w:t>补正后申请内容仍不明确</w:t>
            </w:r>
            <w:bookmarkEnd w:id="7"/>
          </w:p>
        </w:tc>
        <w:tc>
          <w:tcPr>
            <w:tcW w:w="829" w:type="dxa"/>
            <w:noWrap w:val="0"/>
            <w:tcMar>
              <w:left w:w="108" w:type="dxa"/>
              <w:right w:w="108" w:type="dxa"/>
            </w:tcMar>
            <w:vAlign w:val="center"/>
          </w:tcPr>
          <w:p w14:paraId="7A254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DCA3A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295F0A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725DE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1D3243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CC27B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70CCCD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2C81B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F9692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restart"/>
            <w:noWrap w:val="0"/>
            <w:tcMar>
              <w:left w:w="108" w:type="dxa"/>
              <w:right w:w="108" w:type="dxa"/>
            </w:tcMar>
            <w:vAlign w:val="center"/>
          </w:tcPr>
          <w:p w14:paraId="77453448">
            <w:pPr>
              <w:keepNext w:val="0"/>
              <w:keepLines w:val="0"/>
              <w:pageBreakBefore w:val="0"/>
              <w:widowControl w:val="0"/>
              <w:kinsoku/>
              <w:wordWrap/>
              <w:overflowPunct/>
              <w:topLinePunct w:val="0"/>
              <w:autoSpaceDE/>
              <w:autoSpaceDN/>
              <w:bidi w:val="0"/>
              <w:adjustRightInd/>
              <w:snapToGrid/>
              <w:spacing w:line="300" w:lineRule="exact"/>
              <w:ind w:left="-163" w:leftChars="-51"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（五）不予处理</w:t>
            </w:r>
          </w:p>
        </w:tc>
        <w:tc>
          <w:tcPr>
            <w:tcW w:w="2976" w:type="dxa"/>
            <w:noWrap w:val="0"/>
            <w:tcMar>
              <w:left w:w="108" w:type="dxa"/>
              <w:right w:w="108" w:type="dxa"/>
            </w:tcMar>
            <w:vAlign w:val="center"/>
          </w:tcPr>
          <w:p w14:paraId="28CDCC6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1.</w:t>
            </w:r>
            <w:bookmarkStart w:id="8" w:name="_Hlk66975537"/>
            <w:r>
              <w:rPr>
                <w:rFonts w:hint="eastAsia" w:ascii="Times New Roman" w:hAnsi="Times New Roman" w:eastAsia="仿宋_GB2312" w:cs="Times New Roman"/>
                <w:b w:val="0"/>
                <w:bCs w:val="0"/>
                <w:kern w:val="0"/>
                <w:sz w:val="21"/>
                <w:szCs w:val="21"/>
              </w:rPr>
              <w:t>信访举报投诉类申请</w:t>
            </w:r>
            <w:bookmarkEnd w:id="8"/>
          </w:p>
        </w:tc>
        <w:tc>
          <w:tcPr>
            <w:tcW w:w="829" w:type="dxa"/>
            <w:noWrap w:val="0"/>
            <w:tcMar>
              <w:left w:w="108" w:type="dxa"/>
              <w:right w:w="108" w:type="dxa"/>
            </w:tcMar>
            <w:vAlign w:val="center"/>
          </w:tcPr>
          <w:p w14:paraId="689AD9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F6C8C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1B9C1F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53EA5D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0E757F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2EE37F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042E43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14210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7D11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6D01185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6749D29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2.重复申请</w:t>
            </w:r>
          </w:p>
        </w:tc>
        <w:tc>
          <w:tcPr>
            <w:tcW w:w="829" w:type="dxa"/>
            <w:noWrap w:val="0"/>
            <w:tcMar>
              <w:left w:w="108" w:type="dxa"/>
              <w:right w:w="108" w:type="dxa"/>
            </w:tcMar>
            <w:vAlign w:val="center"/>
          </w:tcPr>
          <w:p w14:paraId="7D117A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67B25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94B20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17C91C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22CE70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217D17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2B2C25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6BA7B8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FF0F7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3787D48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013284EB">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kern w:val="0"/>
                <w:sz w:val="21"/>
                <w:szCs w:val="21"/>
              </w:rPr>
              <w:t>3.要求提供公开出版物</w:t>
            </w:r>
          </w:p>
        </w:tc>
        <w:tc>
          <w:tcPr>
            <w:tcW w:w="829" w:type="dxa"/>
            <w:noWrap w:val="0"/>
            <w:tcMar>
              <w:left w:w="108" w:type="dxa"/>
              <w:right w:w="108" w:type="dxa"/>
            </w:tcMar>
            <w:vAlign w:val="center"/>
          </w:tcPr>
          <w:p w14:paraId="2DA2CC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2F158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6377BE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501EB1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32C571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8FF46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7C166A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54F41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6ED5C04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38E33F3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00309DA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kern w:val="0"/>
                <w:sz w:val="21"/>
                <w:szCs w:val="21"/>
              </w:rPr>
              <w:t>4.无正当理由大量反复申请</w:t>
            </w:r>
          </w:p>
        </w:tc>
        <w:tc>
          <w:tcPr>
            <w:tcW w:w="829" w:type="dxa"/>
            <w:noWrap w:val="0"/>
            <w:tcMar>
              <w:left w:w="108" w:type="dxa"/>
              <w:right w:w="108" w:type="dxa"/>
            </w:tcMar>
            <w:vAlign w:val="center"/>
          </w:tcPr>
          <w:p w14:paraId="65C61B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1F1152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BAA8D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47D384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4047D8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0D89EF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1D83E8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5C9D4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9B223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10A06C1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14:paraId="1F38954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5.要求行政机关确认或重新</w:t>
            </w:r>
          </w:p>
          <w:p w14:paraId="33008B02">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kern w:val="0"/>
                <w:sz w:val="21"/>
                <w:szCs w:val="21"/>
              </w:rPr>
              <w:t>出具已获取信息</w:t>
            </w:r>
          </w:p>
        </w:tc>
        <w:tc>
          <w:tcPr>
            <w:tcW w:w="829" w:type="dxa"/>
            <w:noWrap w:val="0"/>
            <w:tcMar>
              <w:left w:w="108" w:type="dxa"/>
              <w:right w:w="108" w:type="dxa"/>
            </w:tcMar>
            <w:vAlign w:val="center"/>
          </w:tcPr>
          <w:p w14:paraId="50D273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03A2B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0F76C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2FA7E5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2AC16B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16918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2749B8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12255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37AADC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restart"/>
            <w:noWrap w:val="0"/>
            <w:tcMar>
              <w:left w:w="108" w:type="dxa"/>
              <w:right w:w="108" w:type="dxa"/>
            </w:tcMar>
            <w:vAlign w:val="center"/>
          </w:tcPr>
          <w:p w14:paraId="704A799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kern w:val="0"/>
                <w:sz w:val="21"/>
                <w:szCs w:val="21"/>
              </w:rPr>
            </w:pPr>
            <w:r>
              <w:rPr>
                <w:rFonts w:hint="eastAsia" w:ascii="Times New Roman" w:hAnsi="Times New Roman" w:eastAsia="黑体" w:cs="Times New Roman"/>
                <w:b w:val="0"/>
                <w:bCs w:val="0"/>
                <w:kern w:val="0"/>
                <w:sz w:val="21"/>
                <w:szCs w:val="21"/>
              </w:rPr>
              <w:t>（六）其他处理</w:t>
            </w:r>
          </w:p>
        </w:tc>
        <w:tc>
          <w:tcPr>
            <w:tcW w:w="2976" w:type="dxa"/>
            <w:noWrap w:val="0"/>
            <w:vAlign w:val="center"/>
          </w:tcPr>
          <w:p w14:paraId="2806285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sz w:val="21"/>
                <w:szCs w:val="22"/>
              </w:rPr>
            </w:pPr>
            <w:r>
              <w:rPr>
                <w:rFonts w:hint="eastAsia" w:ascii="Times New Roman" w:hAnsi="Times New Roman" w:eastAsia="仿宋_GB2312" w:cs="Times New Roman"/>
                <w:b w:val="0"/>
                <w:bCs w:val="0"/>
                <w:sz w:val="21"/>
                <w:szCs w:val="22"/>
              </w:rPr>
              <w:t>1.申请人无正当理由逾期不补正、行政机关不再处理其政府信息公开申请</w:t>
            </w:r>
          </w:p>
        </w:tc>
        <w:tc>
          <w:tcPr>
            <w:tcW w:w="829" w:type="dxa"/>
            <w:noWrap w:val="0"/>
            <w:tcMar>
              <w:left w:w="108" w:type="dxa"/>
              <w:right w:w="108" w:type="dxa"/>
            </w:tcMar>
            <w:vAlign w:val="center"/>
          </w:tcPr>
          <w:p w14:paraId="62E421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1074E0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1C0637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53D60E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327A9B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F9DE3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2BDC73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35ED2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B7C33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00D267D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kern w:val="0"/>
                <w:sz w:val="21"/>
                <w:szCs w:val="21"/>
              </w:rPr>
            </w:pPr>
          </w:p>
        </w:tc>
        <w:tc>
          <w:tcPr>
            <w:tcW w:w="2976" w:type="dxa"/>
            <w:noWrap w:val="0"/>
            <w:vAlign w:val="center"/>
          </w:tcPr>
          <w:p w14:paraId="72BEB61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sz w:val="21"/>
                <w:szCs w:val="22"/>
              </w:rPr>
              <w:t>2.申请人逾期未按收费通知要求缴纳费用、行政机关不再处理其政府信息公开申请</w:t>
            </w:r>
          </w:p>
        </w:tc>
        <w:tc>
          <w:tcPr>
            <w:tcW w:w="829" w:type="dxa"/>
            <w:noWrap w:val="0"/>
            <w:tcMar>
              <w:left w:w="108" w:type="dxa"/>
              <w:right w:w="108" w:type="dxa"/>
            </w:tcMar>
            <w:vAlign w:val="center"/>
          </w:tcPr>
          <w:p w14:paraId="138AE2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139AD5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3DF79B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4643E5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470CE0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3B7E36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16FA54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5BB00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6CED2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14:paraId="0C02FDF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kern w:val="0"/>
                <w:sz w:val="21"/>
                <w:szCs w:val="21"/>
              </w:rPr>
            </w:pPr>
          </w:p>
        </w:tc>
        <w:tc>
          <w:tcPr>
            <w:tcW w:w="2976" w:type="dxa"/>
            <w:noWrap w:val="0"/>
            <w:vAlign w:val="center"/>
          </w:tcPr>
          <w:p w14:paraId="240300AB">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sz w:val="21"/>
                <w:szCs w:val="22"/>
              </w:rPr>
              <w:t>3.其他</w:t>
            </w:r>
          </w:p>
        </w:tc>
        <w:tc>
          <w:tcPr>
            <w:tcW w:w="829" w:type="dxa"/>
            <w:noWrap w:val="0"/>
            <w:tcMar>
              <w:left w:w="108" w:type="dxa"/>
              <w:right w:w="108" w:type="dxa"/>
            </w:tcMar>
            <w:vAlign w:val="center"/>
          </w:tcPr>
          <w:p w14:paraId="48974D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4B75DD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730514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16D69E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533F60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6C9A0F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7CC7C4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43040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9F331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4677" w:type="dxa"/>
            <w:gridSpan w:val="2"/>
            <w:noWrap w:val="0"/>
            <w:tcMar>
              <w:left w:w="108" w:type="dxa"/>
              <w:right w:w="108" w:type="dxa"/>
            </w:tcMar>
            <w:vAlign w:val="center"/>
          </w:tcPr>
          <w:p w14:paraId="2681F33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kern w:val="0"/>
                <w:sz w:val="21"/>
                <w:szCs w:val="21"/>
              </w:rPr>
            </w:pPr>
            <w:r>
              <w:rPr>
                <w:rFonts w:hint="eastAsia" w:ascii="Times New Roman" w:hAnsi="Times New Roman" w:eastAsia="黑体" w:cs="Times New Roman"/>
                <w:b w:val="0"/>
                <w:bCs w:val="0"/>
                <w:kern w:val="0"/>
                <w:sz w:val="21"/>
                <w:szCs w:val="21"/>
              </w:rPr>
              <w:t>（七）总计</w:t>
            </w:r>
          </w:p>
        </w:tc>
        <w:tc>
          <w:tcPr>
            <w:tcW w:w="829" w:type="dxa"/>
            <w:noWrap w:val="0"/>
            <w:tcMar>
              <w:left w:w="108" w:type="dxa"/>
              <w:right w:w="108" w:type="dxa"/>
            </w:tcMar>
            <w:vAlign w:val="center"/>
          </w:tcPr>
          <w:p w14:paraId="1C690B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5304B7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3FA6AF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3D4DF8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18DDFA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7EAD11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3CB948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14:paraId="0C7DA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1720FD8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kern w:val="0"/>
                <w:sz w:val="21"/>
                <w:szCs w:val="21"/>
              </w:rPr>
            </w:pPr>
            <w:r>
              <w:rPr>
                <w:rFonts w:hint="eastAsia" w:ascii="Times New Roman" w:hAnsi="Times New Roman" w:eastAsia="黑体" w:cs="Times New Roman"/>
                <w:b w:val="0"/>
                <w:bCs w:val="0"/>
                <w:kern w:val="0"/>
                <w:sz w:val="21"/>
                <w:szCs w:val="21"/>
              </w:rPr>
              <w:t>四、结转下年度继续办理</w:t>
            </w:r>
          </w:p>
        </w:tc>
        <w:tc>
          <w:tcPr>
            <w:tcW w:w="829" w:type="dxa"/>
            <w:noWrap w:val="0"/>
            <w:tcMar>
              <w:left w:w="108" w:type="dxa"/>
              <w:right w:w="108" w:type="dxa"/>
            </w:tcMar>
            <w:vAlign w:val="center"/>
          </w:tcPr>
          <w:p w14:paraId="2301D1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0B5162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6C4A96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14:paraId="29F4CD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14:paraId="16FBEC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14:paraId="0DB254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14:paraId="07489A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bl>
    <w:p w14:paraId="0F0571B6">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bCs/>
          <w:color w:val="000000"/>
          <w:kern w:val="0"/>
          <w:sz w:val="32"/>
          <w:szCs w:val="32"/>
          <w:lang w:val="en-US" w:eastAsia="zh-CN" w:bidi="ar-SA"/>
        </w:rPr>
      </w:pPr>
      <w:r>
        <w:rPr>
          <w:rFonts w:hint="default" w:ascii="Times New Roman" w:hAnsi="Times New Roman" w:eastAsia="方正黑体简体" w:cs="Times New Roman"/>
          <w:b/>
          <w:bCs/>
          <w:color w:val="000000"/>
          <w:kern w:val="0"/>
          <w:sz w:val="32"/>
          <w:szCs w:val="32"/>
          <w:lang w:val="en-US" w:eastAsia="zh-CN" w:bidi="ar-SA"/>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9C354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8471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048F17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行政诉讼</w:t>
            </w:r>
          </w:p>
        </w:tc>
      </w:tr>
      <w:tr w14:paraId="60AE0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24B28FE">
            <w:pPr>
              <w:keepNext w:val="0"/>
              <w:keepLines w:val="0"/>
              <w:pageBreakBefore w:val="0"/>
              <w:widowControl w:val="0"/>
              <w:kinsoku/>
              <w:wordWrap/>
              <w:overflowPunct/>
              <w:topLinePunct w:val="0"/>
              <w:autoSpaceDE/>
              <w:autoSpaceDN/>
              <w:bidi w:val="0"/>
              <w:adjustRightInd/>
              <w:snapToGrid/>
              <w:spacing w:line="240" w:lineRule="auto"/>
              <w:ind w:left="-227" w:leftChars="-71" w:right="-259" w:rightChars="-81"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14:paraId="0E5C3CCB">
            <w:pPr>
              <w:keepNext w:val="0"/>
              <w:keepLines w:val="0"/>
              <w:pageBreakBefore w:val="0"/>
              <w:widowControl w:val="0"/>
              <w:kinsoku/>
              <w:wordWrap/>
              <w:overflowPunct/>
              <w:topLinePunct w:val="0"/>
              <w:autoSpaceDE/>
              <w:autoSpaceDN/>
              <w:bidi w:val="0"/>
              <w:adjustRightInd/>
              <w:snapToGrid/>
              <w:spacing w:line="240" w:lineRule="auto"/>
              <w:ind w:left="-227" w:leftChars="-71" w:right="-259" w:rightChars="-81"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401BDF46">
            <w:pPr>
              <w:keepNext w:val="0"/>
              <w:keepLines w:val="0"/>
              <w:pageBreakBefore w:val="0"/>
              <w:widowControl w:val="0"/>
              <w:kinsoku/>
              <w:wordWrap/>
              <w:overflowPunct/>
              <w:topLinePunct w:val="0"/>
              <w:autoSpaceDE/>
              <w:autoSpaceDN/>
              <w:bidi w:val="0"/>
              <w:adjustRightInd/>
              <w:snapToGrid/>
              <w:spacing w:line="240" w:lineRule="auto"/>
              <w:ind w:left="-66" w:leftChars="-21" w:right="-202" w:rightChars="-63" w:hanging="1"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14:paraId="47F3573D">
            <w:pPr>
              <w:keepNext w:val="0"/>
              <w:keepLines w:val="0"/>
              <w:pageBreakBefore w:val="0"/>
              <w:widowControl w:val="0"/>
              <w:kinsoku/>
              <w:wordWrap/>
              <w:overflowPunct/>
              <w:topLinePunct w:val="0"/>
              <w:autoSpaceDE/>
              <w:autoSpaceDN/>
              <w:bidi w:val="0"/>
              <w:adjustRightInd/>
              <w:snapToGrid/>
              <w:spacing w:line="240" w:lineRule="auto"/>
              <w:ind w:left="-66" w:leftChars="-21" w:right="-202" w:rightChars="-63" w:hanging="1"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CF55E21">
            <w:pPr>
              <w:keepNext w:val="0"/>
              <w:keepLines w:val="0"/>
              <w:pageBreakBefore w:val="0"/>
              <w:widowControl w:val="0"/>
              <w:kinsoku/>
              <w:wordWrap/>
              <w:overflowPunct/>
              <w:topLinePunct w:val="0"/>
              <w:autoSpaceDE/>
              <w:autoSpaceDN/>
              <w:bidi w:val="0"/>
              <w:adjustRightInd/>
              <w:snapToGrid/>
              <w:spacing w:line="240" w:lineRule="auto"/>
              <w:ind w:left="-125" w:leftChars="-39" w:right="-147" w:rightChars="-46"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其他</w:t>
            </w:r>
          </w:p>
          <w:p w14:paraId="01324E41">
            <w:pPr>
              <w:keepNext w:val="0"/>
              <w:keepLines w:val="0"/>
              <w:pageBreakBefore w:val="0"/>
              <w:widowControl w:val="0"/>
              <w:kinsoku/>
              <w:wordWrap/>
              <w:overflowPunct/>
              <w:topLinePunct w:val="0"/>
              <w:autoSpaceDE/>
              <w:autoSpaceDN/>
              <w:bidi w:val="0"/>
              <w:adjustRightInd/>
              <w:snapToGrid/>
              <w:spacing w:line="240" w:lineRule="auto"/>
              <w:ind w:left="-125" w:leftChars="-39" w:right="-147" w:rightChars="-46"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C9227C5">
            <w:pPr>
              <w:keepNext w:val="0"/>
              <w:keepLines w:val="0"/>
              <w:pageBreakBefore w:val="0"/>
              <w:widowControl w:val="0"/>
              <w:kinsoku/>
              <w:wordWrap/>
              <w:overflowPunct/>
              <w:topLinePunct w:val="0"/>
              <w:autoSpaceDE/>
              <w:autoSpaceDN/>
              <w:bidi w:val="0"/>
              <w:adjustRightInd/>
              <w:snapToGrid/>
              <w:spacing w:line="240" w:lineRule="auto"/>
              <w:ind w:left="-179" w:leftChars="-56" w:right="-179" w:rightChars="-56"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尚未</w:t>
            </w:r>
          </w:p>
          <w:p w14:paraId="68EC544E">
            <w:pPr>
              <w:keepNext w:val="0"/>
              <w:keepLines w:val="0"/>
              <w:pageBreakBefore w:val="0"/>
              <w:widowControl w:val="0"/>
              <w:kinsoku/>
              <w:wordWrap/>
              <w:overflowPunct/>
              <w:topLinePunct w:val="0"/>
              <w:autoSpaceDE/>
              <w:autoSpaceDN/>
              <w:bidi w:val="0"/>
              <w:adjustRightInd/>
              <w:snapToGrid/>
              <w:spacing w:line="240" w:lineRule="auto"/>
              <w:ind w:left="-179" w:leftChars="-56" w:right="-179" w:rightChars="-56"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A6667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总</w:t>
            </w:r>
          </w:p>
          <w:p w14:paraId="2B5174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384C8F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A0025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bookmarkStart w:id="9" w:name="_Hlk67039688"/>
            <w:r>
              <w:rPr>
                <w:rFonts w:ascii="Times New Roman" w:hAnsi="Times New Roman" w:eastAsia="黑体" w:cs="Times New Roman"/>
                <w:b w:val="0"/>
                <w:bCs w:val="0"/>
                <w:kern w:val="0"/>
                <w:sz w:val="20"/>
                <w:szCs w:val="20"/>
              </w:rPr>
              <w:t>复议后起诉</w:t>
            </w:r>
            <w:bookmarkEnd w:id="9"/>
          </w:p>
        </w:tc>
      </w:tr>
      <w:tr w14:paraId="6159AC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2CE18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4"/>
                <w:szCs w:val="22"/>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22930B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4"/>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45FC2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4"/>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AD23B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4"/>
                <w:szCs w:val="22"/>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ABA4F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4"/>
                <w:szCs w:val="22"/>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E7E05F8">
            <w:pPr>
              <w:keepNext w:val="0"/>
              <w:keepLines w:val="0"/>
              <w:pageBreakBefore w:val="0"/>
              <w:widowControl w:val="0"/>
              <w:kinsoku/>
              <w:wordWrap/>
              <w:overflowPunct/>
              <w:topLinePunct w:val="0"/>
              <w:autoSpaceDE/>
              <w:autoSpaceDN/>
              <w:bidi w:val="0"/>
              <w:adjustRightInd/>
              <w:snapToGrid/>
              <w:spacing w:line="240" w:lineRule="auto"/>
              <w:ind w:left="-160" w:leftChars="-50" w:right="-192" w:rightChars="-60"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14:paraId="76A54686">
            <w:pPr>
              <w:keepNext w:val="0"/>
              <w:keepLines w:val="0"/>
              <w:pageBreakBefore w:val="0"/>
              <w:widowControl w:val="0"/>
              <w:kinsoku/>
              <w:wordWrap/>
              <w:overflowPunct/>
              <w:topLinePunct w:val="0"/>
              <w:autoSpaceDE/>
              <w:autoSpaceDN/>
              <w:bidi w:val="0"/>
              <w:adjustRightInd/>
              <w:snapToGrid/>
              <w:spacing w:line="240" w:lineRule="auto"/>
              <w:ind w:left="-160" w:leftChars="-50" w:right="-192" w:rightChars="-60"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403888A">
            <w:pPr>
              <w:keepNext w:val="0"/>
              <w:keepLines w:val="0"/>
              <w:pageBreakBefore w:val="0"/>
              <w:widowControl w:val="0"/>
              <w:kinsoku/>
              <w:wordWrap/>
              <w:overflowPunct/>
              <w:topLinePunct w:val="0"/>
              <w:autoSpaceDE/>
              <w:autoSpaceDN/>
              <w:bidi w:val="0"/>
              <w:adjustRightInd/>
              <w:snapToGrid/>
              <w:spacing w:line="240" w:lineRule="auto"/>
              <w:ind w:left="-131" w:leftChars="-41" w:right="-134" w:rightChars="-42"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14:paraId="35134C73">
            <w:pPr>
              <w:keepNext w:val="0"/>
              <w:keepLines w:val="0"/>
              <w:pageBreakBefore w:val="0"/>
              <w:widowControl w:val="0"/>
              <w:kinsoku/>
              <w:wordWrap/>
              <w:overflowPunct/>
              <w:topLinePunct w:val="0"/>
              <w:autoSpaceDE/>
              <w:autoSpaceDN/>
              <w:bidi w:val="0"/>
              <w:adjustRightInd/>
              <w:snapToGrid/>
              <w:spacing w:line="240" w:lineRule="auto"/>
              <w:ind w:left="-131" w:leftChars="-41" w:right="-134" w:rightChars="-42"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410B64E">
            <w:pPr>
              <w:keepNext w:val="0"/>
              <w:keepLines w:val="0"/>
              <w:pageBreakBefore w:val="0"/>
              <w:widowControl w:val="0"/>
              <w:kinsoku/>
              <w:wordWrap/>
              <w:overflowPunct/>
              <w:topLinePunct w:val="0"/>
              <w:autoSpaceDE/>
              <w:autoSpaceDN/>
              <w:bidi w:val="0"/>
              <w:adjustRightInd/>
              <w:snapToGrid/>
              <w:spacing w:line="240" w:lineRule="auto"/>
              <w:ind w:left="-192" w:leftChars="-60" w:right="-208" w:rightChars="-65"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其他</w:t>
            </w:r>
          </w:p>
          <w:p w14:paraId="22E25B42">
            <w:pPr>
              <w:keepNext w:val="0"/>
              <w:keepLines w:val="0"/>
              <w:pageBreakBefore w:val="0"/>
              <w:widowControl w:val="0"/>
              <w:kinsoku/>
              <w:wordWrap/>
              <w:overflowPunct/>
              <w:topLinePunct w:val="0"/>
              <w:autoSpaceDE/>
              <w:autoSpaceDN/>
              <w:bidi w:val="0"/>
              <w:adjustRightInd/>
              <w:snapToGrid/>
              <w:spacing w:line="240" w:lineRule="auto"/>
              <w:ind w:left="-192" w:leftChars="-60" w:right="-208" w:rightChars="-65"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6810B2">
            <w:pPr>
              <w:keepNext w:val="0"/>
              <w:keepLines w:val="0"/>
              <w:pageBreakBefore w:val="0"/>
              <w:widowControl w:val="0"/>
              <w:kinsoku/>
              <w:wordWrap/>
              <w:overflowPunct/>
              <w:topLinePunct w:val="0"/>
              <w:autoSpaceDE/>
              <w:autoSpaceDN/>
              <w:bidi w:val="0"/>
              <w:adjustRightInd/>
              <w:snapToGrid/>
              <w:spacing w:line="240" w:lineRule="auto"/>
              <w:ind w:left="-250" w:leftChars="-78" w:right="-234" w:rightChars="-73"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尚未</w:t>
            </w:r>
          </w:p>
          <w:p w14:paraId="1D28F936">
            <w:pPr>
              <w:keepNext w:val="0"/>
              <w:keepLines w:val="0"/>
              <w:pageBreakBefore w:val="0"/>
              <w:widowControl w:val="0"/>
              <w:kinsoku/>
              <w:wordWrap/>
              <w:overflowPunct/>
              <w:topLinePunct w:val="0"/>
              <w:autoSpaceDE/>
              <w:autoSpaceDN/>
              <w:bidi w:val="0"/>
              <w:adjustRightInd/>
              <w:snapToGrid/>
              <w:spacing w:line="240" w:lineRule="auto"/>
              <w:ind w:left="-250" w:leftChars="-78" w:right="-234" w:rightChars="-73"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D6072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36F87FC">
            <w:pPr>
              <w:keepNext w:val="0"/>
              <w:keepLines w:val="0"/>
              <w:pageBreakBefore w:val="0"/>
              <w:widowControl w:val="0"/>
              <w:kinsoku/>
              <w:wordWrap/>
              <w:overflowPunct/>
              <w:topLinePunct w:val="0"/>
              <w:autoSpaceDE/>
              <w:autoSpaceDN/>
              <w:bidi w:val="0"/>
              <w:adjustRightInd/>
              <w:snapToGrid/>
              <w:spacing w:line="240" w:lineRule="auto"/>
              <w:ind w:left="-150" w:leftChars="-47" w:right="-118" w:rightChars="-37"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14:paraId="2B991243">
            <w:pPr>
              <w:keepNext w:val="0"/>
              <w:keepLines w:val="0"/>
              <w:pageBreakBefore w:val="0"/>
              <w:widowControl w:val="0"/>
              <w:kinsoku/>
              <w:wordWrap/>
              <w:overflowPunct/>
              <w:topLinePunct w:val="0"/>
              <w:autoSpaceDE/>
              <w:autoSpaceDN/>
              <w:bidi w:val="0"/>
              <w:adjustRightInd/>
              <w:snapToGrid/>
              <w:spacing w:line="240" w:lineRule="auto"/>
              <w:ind w:left="-150" w:leftChars="-47" w:right="-118" w:rightChars="-37"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5446524">
            <w:pPr>
              <w:keepNext w:val="0"/>
              <w:keepLines w:val="0"/>
              <w:pageBreakBefore w:val="0"/>
              <w:widowControl w:val="0"/>
              <w:kinsoku/>
              <w:wordWrap/>
              <w:overflowPunct/>
              <w:topLinePunct w:val="0"/>
              <w:autoSpaceDE/>
              <w:autoSpaceDN/>
              <w:bidi w:val="0"/>
              <w:adjustRightInd/>
              <w:snapToGrid/>
              <w:spacing w:line="240" w:lineRule="auto"/>
              <w:ind w:left="-208" w:leftChars="-65" w:right="-189" w:rightChars="-59"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14:paraId="2E60216E">
            <w:pPr>
              <w:keepNext w:val="0"/>
              <w:keepLines w:val="0"/>
              <w:pageBreakBefore w:val="0"/>
              <w:widowControl w:val="0"/>
              <w:kinsoku/>
              <w:wordWrap/>
              <w:overflowPunct/>
              <w:topLinePunct w:val="0"/>
              <w:autoSpaceDE/>
              <w:autoSpaceDN/>
              <w:bidi w:val="0"/>
              <w:adjustRightInd/>
              <w:snapToGrid/>
              <w:spacing w:line="240" w:lineRule="auto"/>
              <w:ind w:left="-208" w:leftChars="-65" w:right="-189" w:rightChars="-59"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7637FA6">
            <w:pPr>
              <w:keepNext w:val="0"/>
              <w:keepLines w:val="0"/>
              <w:pageBreakBefore w:val="0"/>
              <w:widowControl w:val="0"/>
              <w:kinsoku/>
              <w:wordWrap/>
              <w:overflowPunct/>
              <w:topLinePunct w:val="0"/>
              <w:autoSpaceDE/>
              <w:autoSpaceDN/>
              <w:bidi w:val="0"/>
              <w:adjustRightInd/>
              <w:snapToGrid/>
              <w:spacing w:line="240" w:lineRule="auto"/>
              <w:ind w:left="-265" w:leftChars="-83" w:right="-205" w:rightChars="-64" w:hanging="1"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其他</w:t>
            </w:r>
          </w:p>
          <w:p w14:paraId="03A29F91">
            <w:pPr>
              <w:keepNext w:val="0"/>
              <w:keepLines w:val="0"/>
              <w:pageBreakBefore w:val="0"/>
              <w:widowControl w:val="0"/>
              <w:kinsoku/>
              <w:wordWrap/>
              <w:overflowPunct/>
              <w:topLinePunct w:val="0"/>
              <w:autoSpaceDE/>
              <w:autoSpaceDN/>
              <w:bidi w:val="0"/>
              <w:adjustRightInd/>
              <w:snapToGrid/>
              <w:spacing w:line="240" w:lineRule="auto"/>
              <w:ind w:left="-265" w:leftChars="-83" w:right="-205" w:rightChars="-64" w:hanging="1"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DAA0E0">
            <w:pPr>
              <w:keepNext w:val="0"/>
              <w:keepLines w:val="0"/>
              <w:pageBreakBefore w:val="0"/>
              <w:widowControl w:val="0"/>
              <w:kinsoku/>
              <w:wordWrap/>
              <w:overflowPunct/>
              <w:topLinePunct w:val="0"/>
              <w:autoSpaceDE/>
              <w:autoSpaceDN/>
              <w:bidi w:val="0"/>
              <w:adjustRightInd/>
              <w:snapToGrid/>
              <w:spacing w:line="240" w:lineRule="auto"/>
              <w:ind w:left="-104" w:leftChars="-33" w:right="-160" w:rightChars="-50" w:hanging="2" w:hangingChars="1"/>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尚未</w:t>
            </w:r>
          </w:p>
          <w:p w14:paraId="0BF02CAB">
            <w:pPr>
              <w:keepNext w:val="0"/>
              <w:keepLines w:val="0"/>
              <w:pageBreakBefore w:val="0"/>
              <w:widowControl w:val="0"/>
              <w:kinsoku/>
              <w:wordWrap/>
              <w:overflowPunct/>
              <w:topLinePunct w:val="0"/>
              <w:autoSpaceDE/>
              <w:autoSpaceDN/>
              <w:bidi w:val="0"/>
              <w:adjustRightInd/>
              <w:snapToGrid/>
              <w:spacing w:line="240" w:lineRule="auto"/>
              <w:ind w:left="-104" w:leftChars="-33" w:right="-160" w:rightChars="-50" w:hanging="2" w:hangingChars="1"/>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1E4F2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总计</w:t>
            </w:r>
          </w:p>
        </w:tc>
      </w:tr>
      <w:tr w14:paraId="53D0EE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88ADB1">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2AD3D83">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5A0864A">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8CD5A5A">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lang w:bidi="ar"/>
              </w:rPr>
              <w:t>0</w:t>
            </w:r>
            <w:r>
              <w:rPr>
                <w:rFonts w:ascii="Times New Roman" w:hAnsi="Times New Roman" w:eastAsia="方正黑体简体" w:cs="Times New Roman"/>
                <w:b w:val="0"/>
                <w:bCs w:val="0"/>
                <w:kern w:val="0"/>
                <w:sz w:val="21"/>
                <w:szCs w:val="21"/>
                <w:lang w:bidi="ar"/>
              </w:rPr>
              <w:t> </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9A8BDE0">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BE52244">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5F8FDD6">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lang w:bidi="ar"/>
              </w:rPr>
              <w:t>0</w:t>
            </w:r>
            <w:r>
              <w:rPr>
                <w:rFonts w:ascii="Times New Roman" w:hAnsi="Times New Roman" w:eastAsia="方正黑体简体" w:cs="Times New Roman"/>
                <w:b w:val="0"/>
                <w:bCs w:val="0"/>
                <w:kern w:val="0"/>
                <w:sz w:val="21"/>
                <w:szCs w:val="21"/>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8CE36CD">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2C9DBFB">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lang w:bidi="ar"/>
              </w:rPr>
              <w:t>0</w:t>
            </w:r>
            <w:r>
              <w:rPr>
                <w:rFonts w:ascii="Times New Roman" w:hAnsi="Times New Roman" w:eastAsia="方正黑体简体" w:cs="Times New Roman"/>
                <w:b w:val="0"/>
                <w:bCs w:val="0"/>
                <w:kern w:val="0"/>
                <w:sz w:val="21"/>
                <w:szCs w:val="21"/>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C68DF07">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B024F7F">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DC4F4F6">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71FF187">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lang w:bidi="ar"/>
              </w:rPr>
              <w:t>0</w:t>
            </w:r>
            <w:r>
              <w:rPr>
                <w:rFonts w:ascii="Times New Roman" w:hAnsi="Times New Roman" w:eastAsia="方正黑体简体" w:cs="Times New Roman"/>
                <w:b w:val="0"/>
                <w:bCs w:val="0"/>
                <w:kern w:val="0"/>
                <w:sz w:val="21"/>
                <w:szCs w:val="21"/>
                <w:lang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6A8CB22">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lang w:bidi="ar"/>
              </w:rPr>
              <w:t>0</w:t>
            </w:r>
            <w:r>
              <w:rPr>
                <w:rFonts w:ascii="Times New Roman" w:hAnsi="Times New Roman" w:eastAsia="方正黑体简体" w:cs="Times New Roman"/>
                <w:b w:val="0"/>
                <w:bCs w:val="0"/>
                <w:kern w:val="0"/>
                <w:sz w:val="21"/>
                <w:szCs w:val="21"/>
                <w:lang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1180E72E">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rPr>
              <w:t>0</w:t>
            </w:r>
          </w:p>
        </w:tc>
      </w:tr>
    </w:tbl>
    <w:p w14:paraId="1FE3A47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b w:val="0"/>
          <w:bCs w:val="0"/>
          <w:lang w:val="en-US" w:eastAsia="zh-CN"/>
        </w:rPr>
      </w:pPr>
    </w:p>
    <w:p w14:paraId="680D664C">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bCs/>
          <w:color w:val="000000"/>
          <w:kern w:val="0"/>
          <w:sz w:val="32"/>
          <w:szCs w:val="32"/>
          <w:highlight w:val="none"/>
          <w:lang w:val="en-US" w:eastAsia="zh-CN" w:bidi="ar-SA"/>
        </w:rPr>
      </w:pPr>
      <w:r>
        <w:rPr>
          <w:rFonts w:hint="default" w:ascii="Times New Roman" w:hAnsi="Times New Roman" w:eastAsia="方正黑体简体" w:cs="Times New Roman"/>
          <w:b/>
          <w:bCs/>
          <w:color w:val="000000"/>
          <w:kern w:val="0"/>
          <w:sz w:val="32"/>
          <w:szCs w:val="32"/>
          <w:lang w:val="en-US" w:eastAsia="zh-CN" w:bidi="ar-SA"/>
        </w:rPr>
        <w:t>五</w:t>
      </w:r>
      <w:r>
        <w:rPr>
          <w:rFonts w:hint="default" w:ascii="Times New Roman" w:hAnsi="Times New Roman" w:eastAsia="方正黑体简体" w:cs="Times New Roman"/>
          <w:b/>
          <w:bCs/>
          <w:color w:val="000000"/>
          <w:kern w:val="0"/>
          <w:sz w:val="32"/>
          <w:szCs w:val="32"/>
          <w:highlight w:val="none"/>
          <w:lang w:val="en-US" w:eastAsia="zh-CN" w:bidi="ar-SA"/>
        </w:rPr>
        <w:t>、存在的主要问题及改进情况</w:t>
      </w:r>
    </w:p>
    <w:p w14:paraId="02597E4E">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b/>
          <w:bCs/>
          <w:highlight w:val="none"/>
          <w:lang w:eastAsia="zh-CN"/>
        </w:rPr>
      </w:pPr>
      <w:r>
        <w:rPr>
          <w:rFonts w:hint="default" w:ascii="Times New Roman" w:hAnsi="Times New Roman"/>
          <w:b/>
          <w:bCs/>
          <w:highlight w:val="none"/>
        </w:rPr>
        <w:t>存在的主要问题</w:t>
      </w:r>
      <w:r>
        <w:rPr>
          <w:rFonts w:hint="eastAsia" w:ascii="Times New Roman" w:hAnsi="Times New Roman"/>
          <w:b/>
          <w:bCs/>
          <w:highlight w:val="none"/>
          <w:lang w:eastAsia="zh-CN"/>
        </w:rPr>
        <w:t>：</w:t>
      </w:r>
      <w:r>
        <w:rPr>
          <w:rFonts w:hint="eastAsia" w:ascii="Times New Roman" w:hAnsi="Times New Roman"/>
          <w:b/>
          <w:bCs/>
          <w:highlight w:val="none"/>
          <w:lang w:val="en-US" w:eastAsia="zh-CN"/>
        </w:rPr>
        <w:t>一是</w:t>
      </w:r>
      <w:r>
        <w:rPr>
          <w:rFonts w:hint="eastAsia" w:ascii="Times New Roman" w:hAnsi="Times New Roman"/>
          <w:b/>
          <w:bCs/>
          <w:highlight w:val="none"/>
          <w:lang w:eastAsia="zh-CN"/>
        </w:rPr>
        <w:t>部分事项主动公开力度还不够大，公开效率低；二是政务公开信息形式单一，缺少创新。</w:t>
      </w:r>
    </w:p>
    <w:p w14:paraId="4A416A66">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b/>
          <w:bCs/>
          <w:highlight w:val="none"/>
          <w:lang w:val="en-US" w:eastAsia="zh-CN"/>
        </w:rPr>
      </w:pPr>
      <w:r>
        <w:rPr>
          <w:rFonts w:hint="eastAsia" w:ascii="Times New Roman" w:hAnsi="Times New Roman"/>
          <w:b/>
          <w:bCs/>
          <w:highlight w:val="none"/>
          <w:lang w:val="en-US" w:eastAsia="zh-CN"/>
        </w:rPr>
        <w:t>2025年将从以下几个方面重点改进：一是提高</w:t>
      </w:r>
      <w:r>
        <w:rPr>
          <w:rFonts w:hint="eastAsia"/>
          <w:b/>
          <w:bCs/>
          <w:highlight w:val="none"/>
          <w:lang w:val="en-US" w:eastAsia="zh-CN"/>
        </w:rPr>
        <w:t>政府</w:t>
      </w:r>
      <w:r>
        <w:rPr>
          <w:rFonts w:hint="eastAsia" w:ascii="Times New Roman" w:hAnsi="Times New Roman"/>
          <w:b/>
          <w:bCs/>
          <w:highlight w:val="none"/>
          <w:lang w:val="en-US" w:eastAsia="zh-CN"/>
        </w:rPr>
        <w:t>信息公开效率。建立完善信息报送制度，提升工作信息发布的数量与质量，提高信息报送效率。二是加大信息公开创新力度。进一步加大政务公开工作创新方式，强化工作人员业务培训，积极学习借鉴其他地区的先进经验，不断提升业务能力和水平，推动信息公开工作有序开展。</w:t>
      </w:r>
    </w:p>
    <w:p w14:paraId="341CB484">
      <w:pPr>
        <w:pStyle w:val="16"/>
        <w:keepNext w:val="0"/>
        <w:keepLines w:val="0"/>
        <w:pageBreakBefore w:val="0"/>
        <w:widowControl w:val="0"/>
        <w:tabs>
          <w:tab w:val="left" w:pos="8320"/>
        </w:tabs>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bCs/>
          <w:color w:val="000000"/>
          <w:kern w:val="0"/>
          <w:sz w:val="32"/>
          <w:szCs w:val="32"/>
          <w:lang w:val="en-US" w:eastAsia="zh-CN" w:bidi="ar-SA"/>
        </w:rPr>
      </w:pPr>
      <w:r>
        <w:rPr>
          <w:rFonts w:hint="default" w:ascii="Times New Roman" w:hAnsi="Times New Roman" w:eastAsia="方正黑体简体" w:cs="Times New Roman"/>
          <w:b/>
          <w:bCs/>
          <w:color w:val="000000"/>
          <w:kern w:val="0"/>
          <w:sz w:val="32"/>
          <w:szCs w:val="32"/>
          <w:lang w:val="en-US" w:eastAsia="zh-CN" w:bidi="ar-SA"/>
        </w:rPr>
        <w:t>六、其他需要报告的事项</w:t>
      </w:r>
    </w:p>
    <w:p w14:paraId="7E82CA73">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eastAsia="方正楷体简体" w:cs="方正楷体简体"/>
          <w:b/>
          <w:bCs/>
        </w:rPr>
      </w:pPr>
      <w:r>
        <w:rPr>
          <w:rFonts w:hint="eastAsia" w:ascii="Times New Roman" w:hAnsi="Times New Roman" w:eastAsia="方正楷体简体" w:cs="方正楷体简体"/>
          <w:b/>
          <w:bCs/>
        </w:rPr>
        <w:t>（一）依据《政府信息公开信息处理费管理办法》收取信息处理费的情况</w:t>
      </w:r>
    </w:p>
    <w:p w14:paraId="6D72C052">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rPr>
      </w:pPr>
      <w:r>
        <w:rPr>
          <w:rFonts w:hint="default" w:ascii="Times New Roman" w:hAnsi="Times New Roman"/>
          <w:b/>
          <w:bCs/>
        </w:rPr>
        <w:t>202</w:t>
      </w:r>
      <w:r>
        <w:rPr>
          <w:rFonts w:hint="eastAsia" w:ascii="Times New Roman" w:hAnsi="Times New Roman"/>
          <w:b/>
          <w:bCs/>
          <w:lang w:val="en-US" w:eastAsia="zh-CN"/>
        </w:rPr>
        <w:t>4</w:t>
      </w:r>
      <w:r>
        <w:rPr>
          <w:rFonts w:hint="default" w:ascii="Times New Roman" w:hAnsi="Times New Roman"/>
          <w:b/>
          <w:bCs/>
        </w:rPr>
        <w:t>年，区工业和信息化局无收取信息处理费情况。</w:t>
      </w:r>
    </w:p>
    <w:p w14:paraId="4EAE69B1">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cs="方正楷体简体"/>
          <w:b/>
          <w:bCs/>
        </w:rPr>
      </w:pPr>
      <w:r>
        <w:rPr>
          <w:rFonts w:hint="default" w:ascii="Times New Roman" w:hAnsi="Times New Roman" w:eastAsia="方正楷体简体" w:cs="方正楷体简体"/>
          <w:b/>
          <w:bCs/>
        </w:rPr>
        <w:t>（二）落实上级年度政务公开工作要点情况</w:t>
      </w:r>
    </w:p>
    <w:p w14:paraId="488B5BAE">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rPr>
      </w:pPr>
      <w:r>
        <w:rPr>
          <w:rFonts w:hint="default" w:ascii="Times New Roman" w:hAnsi="Times New Roman"/>
          <w:b/>
          <w:bCs/>
        </w:rPr>
        <w:t>202</w:t>
      </w:r>
      <w:r>
        <w:rPr>
          <w:rFonts w:hint="eastAsia" w:ascii="Times New Roman" w:hAnsi="Times New Roman"/>
          <w:b/>
          <w:bCs/>
          <w:lang w:val="en-US" w:eastAsia="zh-CN"/>
        </w:rPr>
        <w:t>4</w:t>
      </w:r>
      <w:r>
        <w:rPr>
          <w:rFonts w:hint="default" w:ascii="Times New Roman" w:hAnsi="Times New Roman"/>
          <w:b/>
          <w:bCs/>
        </w:rPr>
        <w:t>年，区工业和信息化局</w:t>
      </w:r>
      <w:r>
        <w:rPr>
          <w:rFonts w:hint="eastAsia"/>
          <w:b/>
          <w:bCs/>
          <w:lang w:val="en-US" w:eastAsia="zh-CN"/>
        </w:rPr>
        <w:t>按时</w:t>
      </w:r>
      <w:r>
        <w:rPr>
          <w:rFonts w:hint="default" w:ascii="Times New Roman" w:hAnsi="Times New Roman"/>
          <w:b/>
          <w:bCs/>
        </w:rPr>
        <w:t>更新信息公开指南及信息公开年度报告，确保公开内容齐全</w:t>
      </w:r>
      <w:r>
        <w:rPr>
          <w:rFonts w:hint="eastAsia" w:ascii="Times New Roman" w:hAnsi="Times New Roman"/>
          <w:b/>
          <w:bCs/>
          <w:lang w:eastAsia="zh-CN"/>
        </w:rPr>
        <w:t>，</w:t>
      </w:r>
      <w:r>
        <w:rPr>
          <w:rFonts w:hint="default" w:ascii="Times New Roman" w:hAnsi="Times New Roman"/>
          <w:b/>
          <w:bCs/>
        </w:rPr>
        <w:t>及时公开重点工作执行和落实情况</w:t>
      </w:r>
      <w:r>
        <w:rPr>
          <w:rFonts w:hint="eastAsia" w:ascii="Times New Roman" w:hAnsi="Times New Roman"/>
          <w:b/>
          <w:bCs/>
          <w:lang w:eastAsia="zh-CN"/>
        </w:rPr>
        <w:t>、</w:t>
      </w:r>
      <w:r>
        <w:rPr>
          <w:rFonts w:hint="default" w:ascii="Times New Roman" w:hAnsi="Times New Roman"/>
          <w:b/>
          <w:bCs/>
        </w:rPr>
        <w:t>公开建议提案办理情况</w:t>
      </w:r>
      <w:r>
        <w:rPr>
          <w:rFonts w:hint="eastAsia" w:ascii="Times New Roman" w:hAnsi="Times New Roman"/>
          <w:b/>
          <w:bCs/>
          <w:lang w:eastAsia="zh-CN"/>
        </w:rPr>
        <w:t>，</w:t>
      </w:r>
      <w:r>
        <w:rPr>
          <w:rFonts w:hint="default" w:ascii="Times New Roman" w:hAnsi="Times New Roman"/>
          <w:b/>
          <w:bCs/>
        </w:rPr>
        <w:t>不断完善舆情收集、研判、报告和回应机制。</w:t>
      </w:r>
    </w:p>
    <w:p w14:paraId="7D6C17E4">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cs="方正楷体简体"/>
          <w:b/>
          <w:bCs/>
        </w:rPr>
      </w:pPr>
      <w:r>
        <w:rPr>
          <w:rFonts w:hint="default" w:ascii="Times New Roman" w:hAnsi="Times New Roman" w:eastAsia="方正楷体简体" w:cs="方正楷体简体"/>
          <w:b/>
          <w:bCs/>
        </w:rPr>
        <w:t>（三）人大代表建议和政协提案办理结果公开情况</w:t>
      </w:r>
    </w:p>
    <w:p w14:paraId="077B5142">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highlight w:val="none"/>
        </w:rPr>
      </w:pPr>
      <w:r>
        <w:rPr>
          <w:rFonts w:hint="default" w:ascii="Times New Roman" w:hAnsi="Times New Roman"/>
          <w:b/>
          <w:bCs/>
          <w:highlight w:val="none"/>
        </w:rPr>
        <w:t>202</w:t>
      </w:r>
      <w:r>
        <w:rPr>
          <w:rFonts w:hint="eastAsia" w:ascii="Times New Roman" w:hAnsi="Times New Roman"/>
          <w:b/>
          <w:bCs/>
          <w:highlight w:val="none"/>
          <w:lang w:val="en-US" w:eastAsia="zh-CN"/>
        </w:rPr>
        <w:t>4</w:t>
      </w:r>
      <w:r>
        <w:rPr>
          <w:rFonts w:hint="default" w:ascii="Times New Roman" w:hAnsi="Times New Roman"/>
          <w:b/>
          <w:bCs/>
          <w:highlight w:val="none"/>
        </w:rPr>
        <w:t>年，区工业和信息化局共承办政协委员提案</w:t>
      </w:r>
      <w:r>
        <w:rPr>
          <w:rFonts w:hint="eastAsia" w:ascii="Times New Roman" w:hAnsi="Times New Roman"/>
          <w:b/>
          <w:bCs/>
          <w:highlight w:val="none"/>
          <w:lang w:val="en-US" w:eastAsia="zh-CN"/>
        </w:rPr>
        <w:t>4</w:t>
      </w:r>
      <w:r>
        <w:rPr>
          <w:rFonts w:hint="default" w:ascii="Times New Roman" w:hAnsi="Times New Roman"/>
          <w:b/>
          <w:bCs/>
          <w:highlight w:val="none"/>
        </w:rPr>
        <w:t>件、人大代表建议</w:t>
      </w:r>
      <w:r>
        <w:rPr>
          <w:rFonts w:hint="eastAsia" w:ascii="Times New Roman" w:hAnsi="Times New Roman"/>
          <w:b/>
          <w:bCs/>
          <w:highlight w:val="none"/>
          <w:lang w:val="en-US" w:eastAsia="zh-CN"/>
        </w:rPr>
        <w:t>3</w:t>
      </w:r>
      <w:r>
        <w:rPr>
          <w:rFonts w:hint="default" w:ascii="Times New Roman" w:hAnsi="Times New Roman"/>
          <w:b/>
          <w:bCs/>
          <w:highlight w:val="none"/>
        </w:rPr>
        <w:t>件，所有建议、提案均在规定时限内办理完毕。通过区政府门户网站建议提案办理结果公开专栏发布相关办理情况。</w:t>
      </w:r>
    </w:p>
    <w:p w14:paraId="78D82EF4">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cs="方正楷体简体"/>
          <w:b/>
          <w:bCs/>
        </w:rPr>
      </w:pPr>
      <w:r>
        <w:rPr>
          <w:rFonts w:hint="default" w:ascii="Times New Roman" w:hAnsi="Times New Roman" w:eastAsia="方正楷体简体" w:cs="方正楷体简体"/>
          <w:b/>
          <w:bCs/>
        </w:rPr>
        <w:t>（四</w:t>
      </w:r>
      <w:r>
        <w:rPr>
          <w:rFonts w:hint="eastAsia" w:ascii="Times New Roman" w:hAnsi="Times New Roman" w:eastAsia="方正楷体简体" w:cs="方正楷体简体"/>
          <w:b/>
          <w:bCs/>
          <w:lang w:eastAsia="zh-CN"/>
        </w:rPr>
        <w:t>）</w:t>
      </w:r>
      <w:r>
        <w:rPr>
          <w:rFonts w:hint="eastAsia" w:ascii="Times New Roman" w:hAnsi="Times New Roman" w:eastAsia="方正楷体简体" w:cs="方正楷体简体"/>
          <w:b/>
          <w:bCs/>
          <w:lang w:val="en-US" w:eastAsia="zh-CN"/>
        </w:rPr>
        <w:t>2024</w:t>
      </w:r>
      <w:r>
        <w:rPr>
          <w:rFonts w:hint="default" w:ascii="Times New Roman" w:hAnsi="Times New Roman" w:eastAsia="方正楷体简体" w:cs="方正楷体简体"/>
          <w:b/>
          <w:bCs/>
        </w:rPr>
        <w:t>年度政务公开工作创新情况</w:t>
      </w:r>
    </w:p>
    <w:p w14:paraId="192104B6">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b/>
          <w:bCs/>
          <w:lang w:val="en-US" w:eastAsia="zh-CN"/>
        </w:rPr>
      </w:pPr>
      <w:r>
        <w:rPr>
          <w:rFonts w:hint="eastAsia" w:ascii="Times New Roman" w:hAnsi="Times New Roman"/>
          <w:b/>
          <w:bCs/>
          <w:lang w:val="en-US" w:eastAsia="zh-CN"/>
        </w:rPr>
        <w:t>2024年，区工业和信息化局深入实施365惠企服务综合柜员机制，组建涉企服务综合柜员团队，建立完善“首问负责、分级诊疗、闭环推进”3项制度，对全区196家规上工业企业实施台账化管理，为企业量身打造个性化惠企政策包190余份，70余名机关干部累计深入200余家企业“询需问诊”，精准对接企业需求，为中小企业提供政策解读、申报指导等“一站式”服务，定制“一对一、点对点”服务举措。  </w:t>
      </w:r>
    </w:p>
    <w:p w14:paraId="022B92EC">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rPr>
      </w:pPr>
      <w:r>
        <w:rPr>
          <w:rFonts w:hint="default" w:ascii="Times New Roman" w:hAnsi="Times New Roman" w:eastAsia="方正楷体简体" w:cs="方正楷体简体"/>
          <w:b/>
          <w:bCs/>
        </w:rPr>
        <w:t>（五）</w:t>
      </w:r>
      <w:r>
        <w:rPr>
          <w:rFonts w:hint="default" w:ascii="Times New Roman" w:hAnsi="Times New Roman" w:eastAsia="方正楷体简体" w:cs="方正楷体简体"/>
          <w:b/>
          <w:bCs/>
          <w:lang w:val="en-US" w:eastAsia="zh-CN"/>
        </w:rPr>
        <w:t>本行政机关</w:t>
      </w:r>
      <w:r>
        <w:rPr>
          <w:rFonts w:hint="default" w:ascii="Times New Roman" w:hAnsi="Times New Roman" w:eastAsia="方正楷体简体" w:cs="方正楷体简体"/>
          <w:b/>
          <w:bCs/>
        </w:rPr>
        <w:t>政府信息公开工作年度报告数据统计</w:t>
      </w:r>
      <w:r>
        <w:rPr>
          <w:rFonts w:hint="eastAsia" w:ascii="Times New Roman" w:hAnsi="Times New Roman" w:eastAsia="方正楷体简体" w:cs="方正楷体简体"/>
          <w:b/>
          <w:bCs/>
          <w:lang w:val="en-US" w:eastAsia="zh-CN"/>
        </w:rPr>
        <w:t>需要</w:t>
      </w:r>
      <w:r>
        <w:rPr>
          <w:rFonts w:hint="default" w:ascii="Times New Roman" w:hAnsi="Times New Roman" w:eastAsia="方正楷体简体" w:cs="方正楷体简体"/>
          <w:b/>
          <w:bCs/>
        </w:rPr>
        <w:t>说明的事项</w:t>
      </w:r>
      <w:r>
        <w:rPr>
          <w:rFonts w:hint="eastAsia" w:ascii="Times New Roman" w:hAnsi="Times New Roman" w:eastAsia="方正楷体简体" w:cs="方正楷体简体"/>
          <w:b/>
          <w:bCs/>
          <w:lang w:eastAsia="zh-CN"/>
        </w:rPr>
        <w:t>：</w:t>
      </w:r>
      <w:r>
        <w:rPr>
          <w:rFonts w:hint="eastAsia" w:ascii="Times New Roman" w:hAnsi="Times New Roman" w:eastAsia="方正楷体简体" w:cs="方正楷体简体"/>
          <w:b/>
          <w:bCs/>
          <w:lang w:val="en-US" w:eastAsia="zh-CN"/>
        </w:rPr>
        <w:t>无</w:t>
      </w:r>
    </w:p>
    <w:p w14:paraId="18A9BC96">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b/>
          <w:bCs/>
          <w:lang w:val="en-US" w:eastAsia="zh-CN"/>
        </w:rPr>
      </w:pPr>
      <w:r>
        <w:rPr>
          <w:rFonts w:hint="default" w:ascii="Times New Roman" w:hAnsi="Times New Roman" w:eastAsia="方正楷体简体" w:cs="方正楷体简体"/>
          <w:b/>
          <w:bCs/>
        </w:rPr>
        <w:t>（六）</w:t>
      </w:r>
      <w:r>
        <w:rPr>
          <w:rFonts w:hint="eastAsia" w:ascii="Times New Roman" w:hAnsi="Times New Roman" w:eastAsia="方正楷体简体" w:cs="方正楷体简体"/>
          <w:b/>
          <w:bCs/>
          <w:lang w:val="en-US" w:eastAsia="zh-CN"/>
        </w:rPr>
        <w:t>本行政机关认为</w:t>
      </w:r>
      <w:r>
        <w:rPr>
          <w:rFonts w:hint="default" w:ascii="Times New Roman" w:hAnsi="Times New Roman" w:eastAsia="方正楷体简体" w:cs="方正楷体简体"/>
          <w:b/>
          <w:bCs/>
        </w:rPr>
        <w:t>需要报告的其他事项</w:t>
      </w:r>
      <w:r>
        <w:rPr>
          <w:rFonts w:hint="eastAsia" w:ascii="Times New Roman" w:hAnsi="Times New Roman" w:eastAsia="方正楷体简体" w:cs="方正楷体简体"/>
          <w:b/>
          <w:bCs/>
          <w:lang w:eastAsia="zh-CN"/>
        </w:rPr>
        <w:t>：</w:t>
      </w:r>
      <w:r>
        <w:rPr>
          <w:rFonts w:hint="eastAsia" w:ascii="Times New Roman" w:hAnsi="Times New Roman" w:eastAsia="方正楷体简体" w:cs="方正楷体简体"/>
          <w:b/>
          <w:bCs/>
          <w:lang w:val="en-US" w:eastAsia="zh-CN"/>
        </w:rPr>
        <w:t>无</w:t>
      </w:r>
    </w:p>
    <w:p w14:paraId="2489136E">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ascii="Times New Roman" w:hAnsi="Times New Roman"/>
          <w:b/>
          <w:bCs/>
        </w:rPr>
      </w:pPr>
      <w:r>
        <w:rPr>
          <w:rFonts w:hint="default" w:ascii="Times New Roman" w:hAnsi="Times New Roman" w:eastAsia="方正楷体简体" w:cs="方正楷体简体"/>
          <w:b/>
          <w:bCs/>
        </w:rPr>
        <w:t>（七）其他有关文件专门要求通过政府信息公开工作年度报告予以报告的事项</w:t>
      </w:r>
      <w:r>
        <w:rPr>
          <w:rFonts w:hint="eastAsia" w:ascii="Times New Roman" w:hAnsi="Times New Roman" w:eastAsia="方正楷体简体" w:cs="方正楷体简体"/>
          <w:b/>
          <w:bCs/>
          <w:lang w:eastAsia="zh-CN"/>
        </w:rPr>
        <w:t>：</w:t>
      </w:r>
      <w:r>
        <w:rPr>
          <w:rFonts w:hint="eastAsia" w:ascii="Times New Roman" w:hAnsi="Times New Roman" w:eastAsia="方正楷体简体" w:cs="方正楷体简体"/>
          <w:b/>
          <w:bCs/>
          <w:lang w:val="en-US" w:eastAsia="zh-CN"/>
        </w:rPr>
        <w:t>无</w:t>
      </w:r>
    </w:p>
    <w:sectPr>
      <w:pgSz w:w="11906" w:h="16838"/>
      <w:pgMar w:top="2154" w:right="1587" w:bottom="1304" w:left="1587" w:header="1361" w:footer="1417" w:gutter="0"/>
      <w:cols w:space="720" w:num="1"/>
      <w:rtlGutter w:val="0"/>
      <w:docGrid w:type="lines" w:linePitch="6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31FF10-A2AB-4B20-AF75-6A24A64D8B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4135A94-7ADE-415A-9B64-643220B3CCB7}"/>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FF313DC0-C29E-473D-84D0-5382AD1FD38A}"/>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4" w:fontKey="{A9E192AF-0A26-4EB0-AD72-7FB6A17EDD6E}"/>
  </w:font>
  <w:font w:name="仿宋_GB2312">
    <w:panose1 w:val="02010609030101010101"/>
    <w:charset w:val="86"/>
    <w:family w:val="modern"/>
    <w:pitch w:val="default"/>
    <w:sig w:usb0="00000001" w:usb1="080E0000" w:usb2="00000000" w:usb3="00000000" w:csb0="00040000" w:csb1="00000000"/>
    <w:embedRegular r:id="rId5" w:fontKey="{69F8E72E-8440-424A-834A-9195EA7FAFF6}"/>
  </w:font>
  <w:font w:name="楷体_GB2312">
    <w:panose1 w:val="02010609030101010101"/>
    <w:charset w:val="86"/>
    <w:family w:val="modern"/>
    <w:pitch w:val="default"/>
    <w:sig w:usb0="00000001" w:usb1="080E0000" w:usb2="00000000" w:usb3="00000000" w:csb0="00040000" w:csb1="00000000"/>
    <w:embedRegular r:id="rId6" w:fontKey="{BD55A227-3794-44D3-8BF3-E811A223A49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attachedTemplate r:id="rId1"/>
  <w:documentProtection w:enforcement="0"/>
  <w:defaultTabStop w:val="420"/>
  <w:hyphenationZone w:val="360"/>
  <w:drawingGridVerticalSpacing w:val="30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603a7e62-2c66-4a5f-83b2-e60671d945f5"/>
  </w:docVars>
  <w:rsids>
    <w:rsidRoot w:val="66563F98"/>
    <w:rsid w:val="00CA7EEA"/>
    <w:rsid w:val="00FC68AA"/>
    <w:rsid w:val="02A1111E"/>
    <w:rsid w:val="02D23086"/>
    <w:rsid w:val="04784101"/>
    <w:rsid w:val="049C5C0D"/>
    <w:rsid w:val="057A7D39"/>
    <w:rsid w:val="05DE5089"/>
    <w:rsid w:val="05FB4B1F"/>
    <w:rsid w:val="0B955598"/>
    <w:rsid w:val="0BF630F7"/>
    <w:rsid w:val="0C782EF0"/>
    <w:rsid w:val="0D4234FE"/>
    <w:rsid w:val="0EC248F6"/>
    <w:rsid w:val="0EF56A7A"/>
    <w:rsid w:val="10120F66"/>
    <w:rsid w:val="11AC7198"/>
    <w:rsid w:val="11B12A00"/>
    <w:rsid w:val="11E76422"/>
    <w:rsid w:val="11F0547A"/>
    <w:rsid w:val="124C250D"/>
    <w:rsid w:val="12827E73"/>
    <w:rsid w:val="12883761"/>
    <w:rsid w:val="12B71F64"/>
    <w:rsid w:val="12D60970"/>
    <w:rsid w:val="133512FD"/>
    <w:rsid w:val="13BC5DB8"/>
    <w:rsid w:val="14264FE0"/>
    <w:rsid w:val="1816180F"/>
    <w:rsid w:val="1A361CF4"/>
    <w:rsid w:val="1AEC4259"/>
    <w:rsid w:val="1BEF2AA3"/>
    <w:rsid w:val="1D29146A"/>
    <w:rsid w:val="1DC56FB9"/>
    <w:rsid w:val="1F6B2440"/>
    <w:rsid w:val="21472A39"/>
    <w:rsid w:val="21EA6E09"/>
    <w:rsid w:val="2208379E"/>
    <w:rsid w:val="22760EA9"/>
    <w:rsid w:val="249C309C"/>
    <w:rsid w:val="259817F6"/>
    <w:rsid w:val="271C23DB"/>
    <w:rsid w:val="27F751B9"/>
    <w:rsid w:val="28186EDD"/>
    <w:rsid w:val="2ABE3D6C"/>
    <w:rsid w:val="2ED373A2"/>
    <w:rsid w:val="2F4777A0"/>
    <w:rsid w:val="2F5729E1"/>
    <w:rsid w:val="2F8462B2"/>
    <w:rsid w:val="2F9652B7"/>
    <w:rsid w:val="2FE75B13"/>
    <w:rsid w:val="32EB76C8"/>
    <w:rsid w:val="332C7EFA"/>
    <w:rsid w:val="337C6572"/>
    <w:rsid w:val="346C2A8B"/>
    <w:rsid w:val="350C3926"/>
    <w:rsid w:val="371C3EB0"/>
    <w:rsid w:val="38840FBC"/>
    <w:rsid w:val="3A59585F"/>
    <w:rsid w:val="3B1B6E04"/>
    <w:rsid w:val="3D7A6218"/>
    <w:rsid w:val="3E432AAE"/>
    <w:rsid w:val="3E741759"/>
    <w:rsid w:val="3F8E5FAB"/>
    <w:rsid w:val="40267F92"/>
    <w:rsid w:val="414D564E"/>
    <w:rsid w:val="421502BE"/>
    <w:rsid w:val="42500A93"/>
    <w:rsid w:val="439D37F0"/>
    <w:rsid w:val="43F13DEC"/>
    <w:rsid w:val="4545159A"/>
    <w:rsid w:val="465D0485"/>
    <w:rsid w:val="465D106D"/>
    <w:rsid w:val="46B634B5"/>
    <w:rsid w:val="48F549A5"/>
    <w:rsid w:val="491F3934"/>
    <w:rsid w:val="4AB93F11"/>
    <w:rsid w:val="4ABD7744"/>
    <w:rsid w:val="4AFF5FAF"/>
    <w:rsid w:val="4B447E66"/>
    <w:rsid w:val="4C583BC9"/>
    <w:rsid w:val="4E034353"/>
    <w:rsid w:val="4E2F6BAB"/>
    <w:rsid w:val="4EBD7258"/>
    <w:rsid w:val="4F6D44AE"/>
    <w:rsid w:val="508E7FE0"/>
    <w:rsid w:val="50FD6AED"/>
    <w:rsid w:val="51954F77"/>
    <w:rsid w:val="52E53CDC"/>
    <w:rsid w:val="52EA30A1"/>
    <w:rsid w:val="53334A48"/>
    <w:rsid w:val="53373E0C"/>
    <w:rsid w:val="538434F5"/>
    <w:rsid w:val="54105B93"/>
    <w:rsid w:val="552863E9"/>
    <w:rsid w:val="55A03EEB"/>
    <w:rsid w:val="56A30136"/>
    <w:rsid w:val="56DC0F52"/>
    <w:rsid w:val="572753F8"/>
    <w:rsid w:val="576176AA"/>
    <w:rsid w:val="586D09FC"/>
    <w:rsid w:val="58977827"/>
    <w:rsid w:val="59162E41"/>
    <w:rsid w:val="594F3C5E"/>
    <w:rsid w:val="5A2053E3"/>
    <w:rsid w:val="5DB53A61"/>
    <w:rsid w:val="5FB52C88"/>
    <w:rsid w:val="611F2AAF"/>
    <w:rsid w:val="616D69D4"/>
    <w:rsid w:val="61B50D1E"/>
    <w:rsid w:val="61EB4DB2"/>
    <w:rsid w:val="63DF0BB7"/>
    <w:rsid w:val="651B358E"/>
    <w:rsid w:val="65544838"/>
    <w:rsid w:val="65D21007"/>
    <w:rsid w:val="66563F98"/>
    <w:rsid w:val="6789305A"/>
    <w:rsid w:val="68307A21"/>
    <w:rsid w:val="68394457"/>
    <w:rsid w:val="68594CEF"/>
    <w:rsid w:val="696C085C"/>
    <w:rsid w:val="69DF5763"/>
    <w:rsid w:val="6A0C7949"/>
    <w:rsid w:val="6F2D45E9"/>
    <w:rsid w:val="6FBE7BF6"/>
    <w:rsid w:val="705838E8"/>
    <w:rsid w:val="7289422C"/>
    <w:rsid w:val="73EA4857"/>
    <w:rsid w:val="7419338E"/>
    <w:rsid w:val="7590142E"/>
    <w:rsid w:val="76560540"/>
    <w:rsid w:val="766308F1"/>
    <w:rsid w:val="776A1010"/>
    <w:rsid w:val="78000AED"/>
    <w:rsid w:val="7880578A"/>
    <w:rsid w:val="78DB58DC"/>
    <w:rsid w:val="78FB12B4"/>
    <w:rsid w:val="7A813A3B"/>
    <w:rsid w:val="7AF95CC7"/>
    <w:rsid w:val="7BAD0F8C"/>
    <w:rsid w:val="7C640B20"/>
    <w:rsid w:val="7D0B583E"/>
    <w:rsid w:val="7DBE0C9E"/>
    <w:rsid w:val="7EAA7A04"/>
    <w:rsid w:val="7FA04963"/>
    <w:rsid w:val="7FE44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简体" w:cs="Times New Roman"/>
      <w:kern w:val="2"/>
      <w:sz w:val="32"/>
      <w:szCs w:val="32"/>
      <w:lang w:val="en-US" w:eastAsia="zh-CN" w:bidi="ar-SA"/>
    </w:rPr>
  </w:style>
  <w:style w:type="paragraph" w:styleId="2">
    <w:name w:val="heading 1"/>
    <w:basedOn w:val="1"/>
    <w:next w:val="1"/>
    <w:link w:val="15"/>
    <w:qFormat/>
    <w:uiPriority w:val="0"/>
    <w:pPr>
      <w:keepNext/>
      <w:keepLines/>
      <w:spacing w:before="80" w:beforeLines="80" w:after="80" w:afterLines="80" w:line="460" w:lineRule="exact"/>
      <w:ind w:firstLine="800" w:firstLineChars="200"/>
      <w:jc w:val="left"/>
      <w:outlineLvl w:val="0"/>
    </w:pPr>
    <w:rPr>
      <w:rFonts w:ascii="Calibri" w:hAnsi="Calibri" w:eastAsia="方正小标宋简体"/>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qFormat/>
    <w:uiPriority w:val="0"/>
    <w:pPr>
      <w:spacing w:line="460" w:lineRule="exact"/>
      <w:ind w:firstLine="420" w:firstLineChars="200"/>
    </w:pPr>
    <w:rPr>
      <w:rFonts w:ascii="Times New Roman" w:hAnsi="Times New Roman" w:eastAsia="方正仿宋简体" w:cs="Times New Roman"/>
      <w:kern w:val="0"/>
      <w:sz w:val="24"/>
      <w:szCs w:val="24"/>
    </w:rPr>
  </w:style>
  <w:style w:type="paragraph" w:styleId="5">
    <w:name w:val="Body Text Indent"/>
    <w:basedOn w:val="1"/>
    <w:next w:val="3"/>
    <w:unhideWhenUsed/>
    <w:qFormat/>
    <w:uiPriority w:val="99"/>
    <w:pPr>
      <w:spacing w:after="12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next w:val="1"/>
    <w:qFormat/>
    <w:uiPriority w:val="0"/>
    <w:pPr>
      <w:spacing w:after="0"/>
      <w:ind w:firstLine="420" w:firstLineChars="200"/>
    </w:pPr>
  </w:style>
  <w:style w:type="character" w:styleId="10">
    <w:name w:val="Hyperlink"/>
    <w:basedOn w:val="9"/>
    <w:qFormat/>
    <w:uiPriority w:val="0"/>
    <w:rPr>
      <w:color w:val="0000FF"/>
      <w:u w:val="single"/>
    </w:rPr>
  </w:style>
  <w:style w:type="paragraph" w:customStyle="1" w:styleId="11">
    <w:name w:val="大标题"/>
    <w:basedOn w:val="1"/>
    <w:next w:val="1"/>
    <w:qFormat/>
    <w:uiPriority w:val="0"/>
    <w:pPr>
      <w:keepNext/>
      <w:keepLines/>
      <w:spacing w:beforeLines="0" w:afterLines="0" w:line="560" w:lineRule="exact"/>
      <w:ind w:firstLine="643" w:firstLineChars="200"/>
      <w:outlineLvl w:val="0"/>
    </w:pPr>
    <w:rPr>
      <w:rFonts w:ascii="Times New Roman" w:hAnsi="Times New Roman" w:eastAsia="方正小标宋简体"/>
      <w:b/>
      <w:sz w:val="44"/>
    </w:rPr>
  </w:style>
  <w:style w:type="paragraph" w:customStyle="1" w:styleId="12">
    <w:name w:val="一级标题"/>
    <w:basedOn w:val="1"/>
    <w:next w:val="1"/>
    <w:qFormat/>
    <w:uiPriority w:val="0"/>
    <w:pPr>
      <w:keepNext/>
      <w:keepLines/>
      <w:spacing w:beforeLines="0" w:afterLines="0" w:line="560" w:lineRule="exact"/>
      <w:ind w:firstLine="643" w:firstLineChars="200"/>
      <w:outlineLvl w:val="1"/>
    </w:pPr>
    <w:rPr>
      <w:rFonts w:ascii="Times New Roman" w:hAnsi="Times New Roman" w:eastAsia="方正黑体简体"/>
    </w:rPr>
  </w:style>
  <w:style w:type="paragraph" w:customStyle="1" w:styleId="13">
    <w:name w:val="二级标题"/>
    <w:basedOn w:val="1"/>
    <w:next w:val="1"/>
    <w:qFormat/>
    <w:uiPriority w:val="0"/>
    <w:pPr>
      <w:keepNext/>
      <w:keepLines/>
      <w:spacing w:beforeLines="0" w:afterLines="0" w:line="560" w:lineRule="exact"/>
      <w:ind w:firstLine="643" w:firstLineChars="200"/>
      <w:outlineLvl w:val="1"/>
    </w:pPr>
    <w:rPr>
      <w:rFonts w:ascii="Times New Roman" w:hAnsi="Times New Roman" w:eastAsia="方正楷体简体"/>
    </w:rPr>
  </w:style>
  <w:style w:type="paragraph" w:customStyle="1" w:styleId="14">
    <w:name w:val="四级标题"/>
    <w:basedOn w:val="1"/>
    <w:next w:val="1"/>
    <w:qFormat/>
    <w:uiPriority w:val="0"/>
    <w:pPr>
      <w:keepNext/>
      <w:keepLines/>
      <w:spacing w:beforeLines="0" w:afterLines="0" w:line="560" w:lineRule="exact"/>
      <w:ind w:firstLine="643" w:firstLineChars="200"/>
      <w:outlineLvl w:val="1"/>
    </w:pPr>
    <w:rPr>
      <w:rFonts w:ascii="Times New Roman" w:hAnsi="Times New Roman"/>
    </w:rPr>
  </w:style>
  <w:style w:type="character" w:customStyle="1" w:styleId="15">
    <w:name w:val="标题 1 Char"/>
    <w:link w:val="2"/>
    <w:qFormat/>
    <w:uiPriority w:val="0"/>
    <w:rPr>
      <w:rFonts w:ascii="Calibri" w:hAnsi="Calibri" w:eastAsia="方正小标宋简体"/>
      <w:kern w:val="44"/>
      <w:sz w:val="44"/>
      <w:szCs w:val="44"/>
    </w:rPr>
  </w:style>
  <w:style w:type="paragraph" w:customStyle="1" w:styleId="16">
    <w:name w:val="三级标题"/>
    <w:basedOn w:val="1"/>
    <w:next w:val="1"/>
    <w:qFormat/>
    <w:uiPriority w:val="0"/>
    <w:pPr>
      <w:keepNext/>
      <w:keepLines/>
      <w:spacing w:beforeLines="0" w:afterLines="0" w:line="560" w:lineRule="exact"/>
      <w:ind w:firstLine="643" w:firstLineChars="200"/>
      <w:outlineLvl w:val="1"/>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Q\AppData\Roaming\kingsoft\office6\templates\wps\zh_CN\&#23616;&#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局模板.wpt</Template>
  <Pages>7</Pages>
  <Words>2587</Words>
  <Characters>2695</Characters>
  <Lines>0</Lines>
  <Paragraphs>0</Paragraphs>
  <TotalTime>28</TotalTime>
  <ScaleCrop>false</ScaleCrop>
  <LinksUpToDate>false</LinksUpToDate>
  <CharactersWithSpaces>2711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2024-01-10T01:28:00Z</dcterms:created>
  <dc:creator>兖州范进想去成都</dc:creator>
  <cp:lastModifiedBy>宓</cp:lastModifiedBy>
  <dcterms:modified xsi:type="dcterms:W3CDTF">2026-01-20T06:10:19Z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F44C63D887B943DB810A2062F9F4D561_13</vt:lpwstr>
  </property>
  <property fmtid="{D5CDD505-2E9C-101B-9397-08002B2CF9AE}" pid="4" name="KSOTemplateDocerSaveRecord">
    <vt:lpwstr>eyJoZGlkIjoiYzY0MmRhNDEzNzNjMWFmNTFhMTBlZTI3OGE1NzJkNzIiLCJ1c2VySWQiOiIxMjcyMjg2ODg1In0=</vt:lpwstr>
  </property>
</Properties>
</file>