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简体" w:eastAsia="方正小标宋简体" w:cs="仿宋_GB2312"/>
          <w:sz w:val="44"/>
          <w:szCs w:val="44"/>
          <w:highlight w:val="none"/>
          <w:lang w:eastAsia="zh-CN"/>
        </w:rPr>
      </w:pPr>
      <w:bookmarkStart w:id="6" w:name="_GoBack"/>
      <w:r>
        <w:rPr>
          <w:rFonts w:hint="eastAsia" w:ascii="方正小标宋简体" w:eastAsia="方正小标宋简体" w:cs="仿宋_GB2312"/>
          <w:sz w:val="44"/>
          <w:szCs w:val="44"/>
          <w:highlight w:val="none"/>
          <w:lang w:val="en-US" w:eastAsia="zh-CN"/>
        </w:rPr>
        <w:t>济宁市兖州区</w:t>
      </w:r>
      <w:r>
        <w:rPr>
          <w:rFonts w:hint="eastAsia" w:ascii="方正小标宋简体" w:eastAsia="方正小标宋简体" w:cs="仿宋_GB2312"/>
          <w:sz w:val="44"/>
          <w:szCs w:val="44"/>
          <w:highlight w:val="none"/>
        </w:rPr>
        <w:t>烟草制品零售点布局规定</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简体" w:eastAsia="方正小标宋简体" w:cs="仿宋_GB2312"/>
          <w:sz w:val="44"/>
          <w:szCs w:val="44"/>
          <w:highlight w:val="none"/>
          <w:lang w:eastAsia="zh-CN"/>
        </w:rPr>
      </w:pPr>
      <w:r>
        <w:rPr>
          <w:rFonts w:hint="eastAsia" w:ascii="方正小标宋简体" w:eastAsia="方正小标宋简体" w:cs="仿宋_GB2312"/>
          <w:sz w:val="44"/>
          <w:szCs w:val="44"/>
          <w:highlight w:val="none"/>
          <w:lang w:eastAsia="zh-CN"/>
        </w:rPr>
        <w:t>（</w:t>
      </w:r>
      <w:r>
        <w:rPr>
          <w:rFonts w:hint="eastAsia" w:ascii="方正小标宋简体" w:eastAsia="方正小标宋简体" w:cs="仿宋_GB2312"/>
          <w:sz w:val="44"/>
          <w:szCs w:val="44"/>
          <w:highlight w:val="none"/>
          <w:lang w:val="en-US" w:eastAsia="zh-CN"/>
        </w:rPr>
        <w:t>征求意见稿</w:t>
      </w:r>
      <w:r>
        <w:rPr>
          <w:rFonts w:hint="eastAsia" w:ascii="方正小标宋简体" w:eastAsia="方正小标宋简体" w:cs="仿宋_GB2312"/>
          <w:sz w:val="44"/>
          <w:szCs w:val="44"/>
          <w:highlight w:val="none"/>
          <w:lang w:eastAsia="zh-CN"/>
        </w:rPr>
        <w:t>）</w:t>
      </w:r>
    </w:p>
    <w:bookmarkEnd w:id="6"/>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hint="eastAsia" w:ascii="仿宋_GB2312" w:hAnsi="仿宋" w:eastAsia="仿宋_GB2312" w:cs="仿宋_GB2312"/>
          <w:sz w:val="32"/>
          <w:szCs w:val="32"/>
          <w:highlight w:val="none"/>
        </w:rPr>
      </w:pPr>
      <w:r>
        <w:rPr>
          <w:rFonts w:hint="eastAsia" w:ascii="黑体" w:hAnsi="黑体" w:eastAsia="黑体" w:cs="黑体"/>
          <w:sz w:val="32"/>
          <w:szCs w:val="32"/>
          <w:highlight w:val="none"/>
        </w:rPr>
        <w:t xml:space="preserve">第一条 </w:t>
      </w:r>
      <w:r>
        <w:rPr>
          <w:rFonts w:hint="eastAsia" w:ascii="仿宋_GB2312" w:hAnsi="黑体" w:eastAsia="仿宋_GB2312" w:cs="黑体"/>
          <w:sz w:val="32"/>
          <w:szCs w:val="32"/>
          <w:highlight w:val="none"/>
        </w:rPr>
        <w:t xml:space="preserve"> </w:t>
      </w:r>
      <w:r>
        <w:rPr>
          <w:rFonts w:hint="eastAsia" w:ascii="仿宋_GB2312" w:hAnsi="仿宋" w:eastAsia="仿宋_GB2312" w:cs="仿宋_GB2312"/>
          <w:sz w:val="32"/>
          <w:szCs w:val="32"/>
          <w:highlight w:val="none"/>
        </w:rPr>
        <w:t>为维护国家利益和消费者利益，规范烟草制品零售市场经营秩序，进一步优化烟草制品零售点布局，加强烟草专卖零售许可证管理，依据《中华人民共和国烟草专卖法》《中华人民共和国行政许可法》《中华人民共和国未成年人保护法》《中华人民共和国烟草专卖法实施条例》《烟草专卖许可证管理办法》（工信部37号令）《烟草专卖许可证管理办法实施细则》（国烟法〔2020〕205号）等法律法规、规章和规范性文件，结合本区实际，制定本规定。</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黑体" w:hAnsi="黑体" w:eastAsia="黑体" w:cs="仿宋_GB2312"/>
          <w:sz w:val="32"/>
          <w:szCs w:val="32"/>
          <w:highlight w:val="none"/>
        </w:rPr>
        <w:t>第二条</w:t>
      </w:r>
      <w:r>
        <w:rPr>
          <w:rFonts w:hint="eastAsia" w:ascii="仿宋" w:hAnsi="仿宋" w:eastAsia="仿宋" w:cs="仿宋_GB2312"/>
          <w:sz w:val="32"/>
          <w:szCs w:val="32"/>
          <w:highlight w:val="none"/>
        </w:rPr>
        <w:t xml:space="preserve">  </w:t>
      </w:r>
      <w:r>
        <w:rPr>
          <w:rFonts w:hint="eastAsia" w:ascii="仿宋_GB2312" w:hAnsi="黑体" w:eastAsia="仿宋_GB2312" w:cs="黑体"/>
          <w:sz w:val="32"/>
          <w:szCs w:val="32"/>
          <w:highlight w:val="none"/>
        </w:rPr>
        <w:t>本规定所称烟草制品零售点（以下称零售点）是指依法取得烟草专卖零售许可证的公民、法人及其他组织从事烟草制品零售业务的与住所相独立的固定经营场所。</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零售点经营场所地址应当具体明确，具有唯一性，与营业执照登记地址相符。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黑体" w:hAnsi="黑体" w:eastAsia="黑体" w:cs="仿宋_GB2312"/>
          <w:sz w:val="32"/>
          <w:szCs w:val="32"/>
          <w:highlight w:val="none"/>
        </w:rPr>
        <w:t>第三条</w:t>
      </w:r>
      <w:r>
        <w:rPr>
          <w:rFonts w:hint="eastAsia" w:ascii="仿宋" w:hAnsi="仿宋" w:eastAsia="仿宋" w:cs="仿宋_GB2312"/>
          <w:sz w:val="32"/>
          <w:szCs w:val="32"/>
          <w:highlight w:val="none"/>
        </w:rPr>
        <w:t xml:space="preserve">  </w:t>
      </w:r>
      <w:r>
        <w:rPr>
          <w:rFonts w:hint="eastAsia" w:ascii="仿宋_GB2312" w:hAnsi="黑体" w:eastAsia="仿宋_GB2312" w:cs="黑体"/>
          <w:sz w:val="32"/>
          <w:szCs w:val="32"/>
          <w:highlight w:val="none"/>
        </w:rPr>
        <w:t>本规定适用于兖州区行政区划和济宁国家高新区黄屯街道办事处、王因街道办事处管理区域内烟草制品（不含电子烟）零售点的布局管理。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楷体_GB2312" w:eastAsia="楷体_GB2312" w:cs="楷体_GB2312"/>
          <w:bCs/>
          <w:sz w:val="30"/>
          <w:szCs w:val="30"/>
          <w:highlight w:val="none"/>
        </w:rPr>
      </w:pPr>
      <w:r>
        <w:rPr>
          <w:rFonts w:hint="eastAsia" w:ascii="黑体" w:hAnsi="黑体" w:eastAsia="黑体" w:cs="仿宋_GB2312"/>
          <w:sz w:val="32"/>
          <w:szCs w:val="32"/>
          <w:highlight w:val="none"/>
        </w:rPr>
        <w:t>第四条</w:t>
      </w:r>
      <w:r>
        <w:rPr>
          <w:rFonts w:hint="eastAsia" w:ascii="仿宋" w:hAnsi="仿宋" w:eastAsia="仿宋" w:cs="仿宋_GB2312"/>
          <w:sz w:val="32"/>
          <w:szCs w:val="32"/>
          <w:highlight w:val="none"/>
        </w:rPr>
        <w:t xml:space="preserve">  </w:t>
      </w:r>
      <w:r>
        <w:rPr>
          <w:rFonts w:hint="eastAsia" w:ascii="仿宋_GB2312" w:hAnsi="黑体" w:eastAsia="仿宋_GB2312" w:cs="黑体"/>
          <w:sz w:val="32"/>
          <w:szCs w:val="32"/>
          <w:highlight w:val="none"/>
        </w:rPr>
        <w:t>零售点布局管理遵循依法行政、科学规划、服务社会、均衡发展、未成年人保护、控烟履约、信赖保护的原则。</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黑体" w:hAnsi="黑体" w:eastAsia="黑体" w:cs="仿宋_GB2312"/>
          <w:sz w:val="32"/>
          <w:szCs w:val="32"/>
          <w:highlight w:val="none"/>
        </w:rPr>
        <w:t>第五条</w:t>
      </w:r>
      <w:r>
        <w:rPr>
          <w:rFonts w:hint="eastAsia" w:ascii="仿宋" w:hAnsi="仿宋" w:eastAsia="仿宋" w:cs="仿宋_GB2312"/>
          <w:sz w:val="32"/>
          <w:szCs w:val="32"/>
          <w:highlight w:val="none"/>
        </w:rPr>
        <w:t xml:space="preserve">  </w:t>
      </w:r>
      <w:r>
        <w:rPr>
          <w:rFonts w:hint="eastAsia" w:ascii="仿宋_GB2312" w:hAnsi="黑体" w:eastAsia="仿宋_GB2312" w:cs="黑体"/>
          <w:sz w:val="32"/>
          <w:szCs w:val="32"/>
          <w:highlight w:val="none"/>
        </w:rPr>
        <w:t>一个经营场所已经办理了烟草专卖零售许可证的，在许可证有效期内不再审批发放其他烟草专卖零售许可证。</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连锁经营企业在申请烟草专卖零售许可证时，应当由各个分店分别提出申请。</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第六条</w:t>
      </w:r>
      <w:r>
        <w:rPr>
          <w:rFonts w:hint="eastAsia" w:ascii="仿宋_GB2312" w:hAnsi="仿宋_GB2312" w:eastAsia="仿宋_GB2312" w:cs="仿宋_GB2312"/>
          <w:sz w:val="32"/>
          <w:szCs w:val="32"/>
          <w:highlight w:val="none"/>
        </w:rPr>
        <w:t xml:space="preserve">  零售点布局管理以较为稳定、相对独立的区域作为市场单元，量化分析市场单元内经济发展水平、人口数量、消费能力、历史零售点数量、烟草制品经营数据等相关性指标，合理设定零售点规划数量。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第七条</w:t>
      </w:r>
      <w:r>
        <w:rPr>
          <w:rFonts w:hint="eastAsia" w:ascii="仿宋_GB2312" w:hAnsi="仿宋_GB2312" w:eastAsia="仿宋_GB2312" w:cs="仿宋_GB2312"/>
          <w:sz w:val="32"/>
          <w:szCs w:val="32"/>
          <w:highlight w:val="none"/>
        </w:rPr>
        <w:t xml:space="preserve">  烟草专卖局应当在市场单元规划数量内审批零售点。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市场单元内零售点数量已经达到或超过规划上限的，申请人申办烟草专卖零售许可证时可以申请轮候排序。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第八条</w:t>
      </w:r>
      <w:r>
        <w:rPr>
          <w:rFonts w:hint="eastAsia" w:ascii="仿宋_GB2312" w:hAnsi="仿宋_GB2312" w:eastAsia="仿宋_GB2312" w:cs="仿宋_GB2312"/>
          <w:sz w:val="32"/>
          <w:szCs w:val="32"/>
          <w:highlight w:val="none"/>
        </w:rPr>
        <w:t xml:space="preserve">  烟草专卖局应当按照轮候顺序通知申请人提交申请材料，并在市场单元规划数量内根据“退一进一”的原则办理。按照预留联系方式无法联系到申请人的，视为放弃本次申请。</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放弃本次申请或经核查不符合办证条件的，按照轮候顺序通知下一个轮候申请人提交申请材料。</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轮候申请人与实际申请人应当一致，轮候顺序不得调换或转让。</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黑体" w:hAnsi="黑体" w:eastAsia="黑体" w:cs="仿宋_GB2312"/>
          <w:sz w:val="32"/>
          <w:szCs w:val="32"/>
          <w:highlight w:val="none"/>
        </w:rPr>
        <w:t xml:space="preserve">第九条  </w:t>
      </w:r>
      <w:r>
        <w:rPr>
          <w:rFonts w:hint="eastAsia" w:ascii="仿宋_GB2312" w:hAnsi="黑体" w:eastAsia="仿宋_GB2312" w:cs="黑体"/>
          <w:sz w:val="32"/>
          <w:szCs w:val="32"/>
          <w:highlight w:val="none"/>
        </w:rPr>
        <w:t>对市场单元零售点综合运用总量调控、间距控制、人口测控、峰值控制、限制准入等布局模式。</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黑体" w:hAnsi="黑体" w:eastAsia="黑体" w:cs="仿宋_GB2312"/>
          <w:sz w:val="32"/>
          <w:szCs w:val="32"/>
          <w:highlight w:val="none"/>
        </w:rPr>
        <w:t xml:space="preserve">第十条  </w:t>
      </w:r>
      <w:r>
        <w:rPr>
          <w:rFonts w:hint="eastAsia" w:ascii="仿宋_GB2312" w:hAnsi="黑体" w:eastAsia="仿宋_GB2312" w:cs="黑体"/>
          <w:sz w:val="32"/>
          <w:szCs w:val="32"/>
          <w:highlight w:val="none"/>
        </w:rPr>
        <w:t>人口数量、城市规划、乡村建设等出现较大变化时，应当对相关市场单元零售点数量予以保护性冻结或应急性增设。</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黑体" w:hAnsi="黑体" w:eastAsia="黑体" w:cs="仿宋_GB2312"/>
          <w:sz w:val="32"/>
          <w:szCs w:val="32"/>
          <w:highlight w:val="none"/>
        </w:rPr>
        <w:t xml:space="preserve">第十一条  </w:t>
      </w:r>
      <w:r>
        <w:rPr>
          <w:rFonts w:hint="eastAsia" w:ascii="仿宋_GB2312" w:hAnsi="黑体" w:eastAsia="仿宋_GB2312" w:cs="黑体"/>
          <w:sz w:val="32"/>
          <w:szCs w:val="32"/>
          <w:highlight w:val="none"/>
        </w:rPr>
        <w:t>城镇零售点间距根据城市建设用地面积，剔除不宜设置零售点的区域面积，结合辖区内规划零售点数量、零售点覆盖范围、经济繁荣程度等因素综合测定。</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自然村、行政村零售点间距参照城镇间距标准，结合人口数量、经济繁荣程度等因素确定。</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hint="eastAsia" w:ascii="仿宋_GB2312" w:hAnsi="黑体" w:eastAsia="仿宋_GB2312" w:cs="黑体"/>
          <w:sz w:val="32"/>
          <w:szCs w:val="32"/>
          <w:highlight w:val="none"/>
        </w:rPr>
      </w:pPr>
      <w:r>
        <w:rPr>
          <w:rFonts w:hint="eastAsia" w:ascii="黑体" w:hAnsi="黑体" w:eastAsia="黑体" w:cs="仿宋_GB2312"/>
          <w:sz w:val="32"/>
          <w:szCs w:val="32"/>
          <w:highlight w:val="none"/>
        </w:rPr>
        <w:t xml:space="preserve">第十二条  </w:t>
      </w:r>
      <w:r>
        <w:rPr>
          <w:rFonts w:ascii="仿宋_GB2312" w:hAnsi="黑体" w:eastAsia="仿宋_GB2312" w:cs="黑体"/>
          <w:sz w:val="32"/>
          <w:szCs w:val="32"/>
          <w:highlight w:val="none"/>
        </w:rPr>
        <w:t>残疾人</w:t>
      </w:r>
      <w:r>
        <w:rPr>
          <w:rFonts w:hint="eastAsia" w:ascii="仿宋_GB2312" w:hAnsi="黑体" w:eastAsia="仿宋_GB2312" w:cs="黑体"/>
          <w:sz w:val="32"/>
          <w:szCs w:val="32"/>
          <w:highlight w:val="none"/>
        </w:rPr>
        <w:t>、</w:t>
      </w:r>
      <w:r>
        <w:rPr>
          <w:rFonts w:ascii="仿宋_GB2312" w:hAnsi="黑体" w:eastAsia="仿宋_GB2312" w:cs="黑体"/>
          <w:sz w:val="32"/>
          <w:szCs w:val="32"/>
          <w:highlight w:val="none"/>
        </w:rPr>
        <w:t>军烈属</w:t>
      </w:r>
      <w:r>
        <w:rPr>
          <w:rFonts w:hint="eastAsia" w:ascii="仿宋_GB2312" w:hAnsi="黑体" w:eastAsia="仿宋_GB2312" w:cs="黑体"/>
          <w:sz w:val="32"/>
          <w:szCs w:val="32"/>
          <w:highlight w:val="none"/>
        </w:rPr>
        <w:t>、</w:t>
      </w:r>
      <w:r>
        <w:rPr>
          <w:rFonts w:ascii="仿宋_GB2312" w:hAnsi="黑体" w:eastAsia="仿宋_GB2312" w:cs="黑体"/>
          <w:sz w:val="32"/>
          <w:szCs w:val="32"/>
          <w:highlight w:val="none"/>
        </w:rPr>
        <w:t>退役军人</w:t>
      </w:r>
      <w:r>
        <w:rPr>
          <w:rFonts w:hint="eastAsia" w:ascii="仿宋_GB2312" w:hAnsi="黑体" w:eastAsia="仿宋_GB2312" w:cs="黑体"/>
          <w:sz w:val="32"/>
          <w:szCs w:val="32"/>
          <w:highlight w:val="none"/>
        </w:rPr>
        <w:t>等</w:t>
      </w:r>
      <w:bookmarkStart w:id="0" w:name="_Hlk136423895"/>
      <w:r>
        <w:rPr>
          <w:rFonts w:ascii="仿宋_GB2312" w:hAnsi="黑体" w:eastAsia="仿宋_GB2312" w:cs="黑体"/>
          <w:sz w:val="32"/>
          <w:szCs w:val="32"/>
          <w:highlight w:val="none"/>
        </w:rPr>
        <w:t>国家明文给予政策扶持的</w:t>
      </w:r>
      <w:r>
        <w:rPr>
          <w:rFonts w:hint="eastAsia" w:ascii="仿宋_GB2312" w:hAnsi="黑体" w:eastAsia="仿宋_GB2312" w:cs="黑体"/>
          <w:sz w:val="32"/>
          <w:szCs w:val="32"/>
          <w:highlight w:val="none"/>
        </w:rPr>
        <w:t>纾困、优抚对象</w:t>
      </w:r>
      <w:bookmarkEnd w:id="0"/>
      <w:r>
        <w:rPr>
          <w:rFonts w:hint="eastAsia" w:ascii="仿宋_GB2312" w:hAnsi="黑体" w:eastAsia="仿宋_GB2312" w:cs="黑体"/>
          <w:sz w:val="32"/>
          <w:szCs w:val="32"/>
          <w:highlight w:val="none"/>
        </w:rPr>
        <w:t>，首次申请且本人实际经营的，受市场单元零售点规划数量限制，不受间距限制。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第十三条</w:t>
      </w:r>
      <w:r>
        <w:rPr>
          <w:rFonts w:hint="eastAsia" w:ascii="仿宋_GB2312" w:hAnsi="黑体" w:eastAsia="仿宋_GB2312" w:cs="黑体"/>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专属营业区域面积在1000平方米（含）以上的商场、超市，受本规定市场单元零售点规划数量限制，不受本规定市场单元零售点间距的限制。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第十四条</w:t>
      </w:r>
      <w:r>
        <w:rPr>
          <w:rFonts w:hint="eastAsia" w:ascii="仿宋_GB2312" w:hAnsi="仿宋_GB2312" w:eastAsia="仿宋_GB2312" w:cs="仿宋_GB2312"/>
          <w:sz w:val="32"/>
          <w:szCs w:val="32"/>
          <w:highlight w:val="none"/>
          <w:lang w:val="en-US" w:eastAsia="zh-CN"/>
        </w:rPr>
        <w:t xml:space="preserve">  为满足消费，人口达到3000户以上的农村社区、城中村、大型社区的内部街道，以经营烟酒副食为主的便利店，</w:t>
      </w:r>
      <w:r>
        <w:rPr>
          <w:rFonts w:hint="eastAsia" w:ascii="仿宋_GB2312" w:hAnsi="黑体" w:eastAsia="仿宋_GB2312" w:cs="黑体"/>
          <w:sz w:val="32"/>
          <w:szCs w:val="32"/>
          <w:highlight w:val="none"/>
        </w:rPr>
        <w:t>受</w:t>
      </w:r>
      <w:r>
        <w:rPr>
          <w:rFonts w:hint="eastAsia" w:ascii="仿宋_GB2312" w:hAnsi="仿宋_GB2312" w:eastAsia="仿宋_GB2312" w:cs="仿宋_GB2312"/>
          <w:sz w:val="32"/>
          <w:szCs w:val="32"/>
          <w:highlight w:val="none"/>
          <w:lang w:val="en-US" w:eastAsia="zh-CN"/>
        </w:rPr>
        <w:t>本规定</w:t>
      </w:r>
      <w:r>
        <w:rPr>
          <w:rFonts w:hint="eastAsia" w:ascii="仿宋_GB2312" w:hAnsi="黑体" w:eastAsia="仿宋_GB2312" w:cs="黑体"/>
          <w:sz w:val="32"/>
          <w:szCs w:val="32"/>
          <w:highlight w:val="none"/>
        </w:rPr>
        <w:t>市场单元零售点规划数量限制，</w:t>
      </w:r>
      <w:r>
        <w:rPr>
          <w:rFonts w:hint="eastAsia" w:ascii="仿宋_GB2312" w:hAnsi="仿宋_GB2312" w:eastAsia="仿宋_GB2312" w:cs="仿宋_GB2312"/>
          <w:sz w:val="32"/>
          <w:szCs w:val="32"/>
          <w:highlight w:val="none"/>
          <w:lang w:val="en-US" w:eastAsia="zh-CN"/>
        </w:rPr>
        <w:t>零售点间距可放宽至本规定市场单元内零售点间距的50%。</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黑体" w:hAnsi="黑体" w:eastAsia="黑体" w:cs="仿宋_GB2312"/>
          <w:sz w:val="32"/>
          <w:szCs w:val="32"/>
          <w:highlight w:val="none"/>
        </w:rPr>
        <w:t>第十</w:t>
      </w:r>
      <w:r>
        <w:rPr>
          <w:rFonts w:hint="eastAsia" w:ascii="黑体" w:hAnsi="黑体" w:eastAsia="黑体" w:cs="仿宋_GB2312"/>
          <w:sz w:val="32"/>
          <w:szCs w:val="32"/>
          <w:highlight w:val="none"/>
          <w:lang w:val="en-US" w:eastAsia="zh-CN"/>
        </w:rPr>
        <w:t>五</w:t>
      </w:r>
      <w:r>
        <w:rPr>
          <w:rFonts w:hint="eastAsia" w:ascii="黑体" w:hAnsi="黑体" w:eastAsia="黑体" w:cs="仿宋_GB2312"/>
          <w:sz w:val="32"/>
          <w:szCs w:val="32"/>
          <w:highlight w:val="none"/>
        </w:rPr>
        <w:t xml:space="preserve">条  </w:t>
      </w:r>
      <w:r>
        <w:rPr>
          <w:rFonts w:hint="eastAsia" w:ascii="仿宋_GB2312" w:hAnsi="仿宋_GB2312" w:eastAsia="仿宋_GB2312" w:cs="仿宋_GB2312"/>
          <w:sz w:val="32"/>
          <w:szCs w:val="32"/>
          <w:highlight w:val="none"/>
        </w:rPr>
        <w:t>符合下列情形的，不受市场单元零售点规划数量和间距限制：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（一）经营场所位于中小学、幼儿园周围限制区域，持证人在许可证有效期内申请变更到本辖区内其他地址经营的。</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hint="eastAsia" w:ascii="仿宋_GB2312" w:hAnsi="黑体" w:eastAsia="仿宋_GB2312" w:cs="黑体"/>
          <w:sz w:val="32"/>
          <w:szCs w:val="32"/>
          <w:highlight w:val="none"/>
        </w:rPr>
      </w:pPr>
      <w:r>
        <w:rPr>
          <w:rFonts w:hint="eastAsia" w:ascii="仿宋_GB2312" w:hAnsi="黑体" w:eastAsia="仿宋_GB2312" w:cs="黑体"/>
          <w:sz w:val="32"/>
          <w:szCs w:val="32"/>
          <w:highlight w:val="none"/>
        </w:rPr>
        <w:t>（二）因道路规划、城市建设等客观原因造成无法在核定经营地址经营，持证人在许可证有效期内申请变更到本辖区内其他地址经营的。</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黑体" w:hAnsi="黑体" w:eastAsia="黑体" w:cs="仿宋_GB2312"/>
          <w:sz w:val="32"/>
          <w:szCs w:val="32"/>
          <w:highlight w:val="none"/>
        </w:rPr>
        <w:t>第十</w:t>
      </w:r>
      <w:r>
        <w:rPr>
          <w:rFonts w:hint="eastAsia" w:ascii="黑体" w:hAnsi="黑体" w:eastAsia="黑体" w:cs="仿宋_GB2312"/>
          <w:sz w:val="32"/>
          <w:szCs w:val="32"/>
          <w:highlight w:val="none"/>
          <w:lang w:val="en-US" w:eastAsia="zh-CN"/>
        </w:rPr>
        <w:t>六</w:t>
      </w:r>
      <w:r>
        <w:rPr>
          <w:rFonts w:hint="eastAsia" w:ascii="黑体" w:hAnsi="黑体" w:eastAsia="黑体" w:cs="仿宋_GB2312"/>
          <w:sz w:val="32"/>
          <w:szCs w:val="32"/>
          <w:highlight w:val="none"/>
        </w:rPr>
        <w:t xml:space="preserve">条  </w:t>
      </w:r>
      <w:r>
        <w:rPr>
          <w:rFonts w:ascii="仿宋_GB2312" w:hAnsi="黑体" w:eastAsia="仿宋_GB2312" w:cs="黑体"/>
          <w:sz w:val="32"/>
          <w:szCs w:val="32"/>
          <w:highlight w:val="none"/>
        </w:rPr>
        <w:t>申请主体有下列情形之一的，</w:t>
      </w:r>
      <w:bookmarkStart w:id="1" w:name="_Hlk136424880"/>
      <w:r>
        <w:rPr>
          <w:rFonts w:hint="eastAsia" w:ascii="仿宋_GB2312" w:hAnsi="黑体" w:eastAsia="仿宋_GB2312" w:cs="黑体"/>
          <w:sz w:val="32"/>
          <w:szCs w:val="32"/>
          <w:highlight w:val="none"/>
        </w:rPr>
        <w:t>不予核发烟草专卖零售许可证</w:t>
      </w:r>
      <w:bookmarkEnd w:id="1"/>
      <w:r>
        <w:rPr>
          <w:rFonts w:ascii="仿宋_GB2312" w:hAnsi="黑体" w:eastAsia="仿宋_GB2312" w:cs="黑体"/>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（一）未成年人、</w:t>
      </w:r>
      <w:r>
        <w:rPr>
          <w:rFonts w:ascii="仿宋_GB2312" w:hAnsi="黑体" w:eastAsia="仿宋_GB2312" w:cs="黑体"/>
          <w:sz w:val="32"/>
          <w:szCs w:val="32"/>
          <w:highlight w:val="none"/>
        </w:rPr>
        <w:t>无民事行为能力人</w:t>
      </w:r>
      <w:r>
        <w:rPr>
          <w:rFonts w:hint="eastAsia" w:ascii="仿宋_GB2312" w:hAnsi="黑体" w:eastAsia="仿宋_GB2312" w:cs="黑体"/>
          <w:sz w:val="32"/>
          <w:szCs w:val="32"/>
          <w:highlight w:val="none"/>
        </w:rPr>
        <w:t>或者</w:t>
      </w:r>
      <w:r>
        <w:rPr>
          <w:rFonts w:ascii="仿宋_GB2312" w:hAnsi="黑体" w:eastAsia="仿宋_GB2312" w:cs="黑体"/>
          <w:sz w:val="32"/>
          <w:szCs w:val="32"/>
          <w:highlight w:val="none"/>
        </w:rPr>
        <w:t>限制民事行为能力人</w:t>
      </w:r>
      <w:r>
        <w:rPr>
          <w:rFonts w:hint="eastAsia" w:ascii="仿宋_GB2312" w:hAnsi="黑体" w:eastAsia="仿宋_GB2312" w:cs="黑体"/>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（二）</w:t>
      </w:r>
      <w:r>
        <w:rPr>
          <w:rFonts w:ascii="仿宋_GB2312" w:hAnsi="黑体" w:eastAsia="仿宋_GB2312" w:cs="黑体"/>
          <w:sz w:val="32"/>
          <w:szCs w:val="32"/>
          <w:highlight w:val="none"/>
        </w:rPr>
        <w:t>外商投资的商业企业或者个体工商户</w:t>
      </w:r>
      <w:r>
        <w:rPr>
          <w:rFonts w:hint="eastAsia" w:ascii="仿宋_GB2312" w:hAnsi="黑体" w:eastAsia="仿宋_GB2312" w:cs="黑体"/>
          <w:sz w:val="32"/>
          <w:szCs w:val="32"/>
          <w:highlight w:val="none"/>
        </w:rPr>
        <w:t>，或者其</w:t>
      </w:r>
      <w:r>
        <w:rPr>
          <w:rFonts w:ascii="仿宋_GB2312" w:hAnsi="黑体" w:eastAsia="仿宋_GB2312" w:cs="黑体"/>
          <w:sz w:val="32"/>
          <w:szCs w:val="32"/>
          <w:highlight w:val="none"/>
        </w:rPr>
        <w:t>以特许、吸纳加盟</w:t>
      </w:r>
      <w:r>
        <w:rPr>
          <w:rFonts w:hint="eastAsia" w:ascii="仿宋_GB2312" w:hAnsi="黑体" w:eastAsia="仿宋_GB2312" w:cs="黑体"/>
          <w:sz w:val="32"/>
          <w:szCs w:val="32"/>
          <w:highlight w:val="none"/>
        </w:rPr>
        <w:t>店</w:t>
      </w:r>
      <w:r>
        <w:rPr>
          <w:rFonts w:ascii="仿宋_GB2312" w:hAnsi="黑体" w:eastAsia="仿宋_GB2312" w:cs="黑体"/>
          <w:sz w:val="32"/>
          <w:szCs w:val="32"/>
          <w:highlight w:val="none"/>
        </w:rPr>
        <w:t>以及其他再投资等形式变相从事烟草专卖品经营的</w:t>
      </w:r>
      <w:r>
        <w:rPr>
          <w:rFonts w:hint="eastAsia" w:ascii="仿宋_GB2312" w:hAnsi="黑体" w:eastAsia="仿宋_GB2312" w:cs="黑体"/>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（三）</w:t>
      </w:r>
      <w:r>
        <w:rPr>
          <w:rFonts w:ascii="仿宋_GB2312" w:hAnsi="黑体" w:eastAsia="仿宋_GB2312" w:cs="黑体"/>
          <w:sz w:val="32"/>
          <w:szCs w:val="32"/>
          <w:highlight w:val="none"/>
        </w:rPr>
        <w:t>取消从事烟草专卖业务资格不满三年的</w:t>
      </w:r>
      <w:r>
        <w:rPr>
          <w:rFonts w:hint="eastAsia" w:ascii="仿宋_GB2312" w:hAnsi="黑体" w:eastAsia="仿宋_GB2312" w:cs="黑体"/>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（四）</w:t>
      </w:r>
      <w:r>
        <w:rPr>
          <w:rFonts w:ascii="仿宋_GB2312" w:hAnsi="黑体" w:eastAsia="仿宋_GB2312" w:cs="黑体"/>
          <w:sz w:val="32"/>
          <w:szCs w:val="32"/>
          <w:highlight w:val="none"/>
        </w:rPr>
        <w:t>隐瞒有关情况或者提供虚假材料，烟草专卖局作出不予受理或者不予发证决定后，一年内再次提出申请的</w:t>
      </w:r>
      <w:r>
        <w:rPr>
          <w:rFonts w:hint="eastAsia" w:ascii="仿宋_GB2312" w:hAnsi="黑体" w:eastAsia="仿宋_GB2312" w:cs="黑体"/>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（五）</w:t>
      </w:r>
      <w:r>
        <w:rPr>
          <w:rFonts w:ascii="仿宋_GB2312" w:hAnsi="黑体" w:eastAsia="仿宋_GB2312" w:cs="黑体"/>
          <w:sz w:val="32"/>
          <w:szCs w:val="32"/>
          <w:highlight w:val="none"/>
        </w:rPr>
        <w:t>以欺骗、贿赂等不正当手段取得的烟草专卖许可证被撤销后，三年内再次提出申请的</w:t>
      </w:r>
      <w:r>
        <w:rPr>
          <w:rFonts w:hint="eastAsia" w:ascii="仿宋_GB2312" w:hAnsi="黑体" w:eastAsia="仿宋_GB2312" w:cs="黑体"/>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（六）未领取烟草专卖零售许可证经营烟草专卖品业务被追究刑事责任，在三年内申请领取烟草专卖零售许可证的；</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（七）未领取烟草专卖零售许可证经营烟草专卖品业务，并且一年内被执法机关处罚两次以上，在三年内申请领取烟草专卖零售许可证的；</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（八）</w:t>
      </w:r>
      <w:bookmarkStart w:id="2" w:name="_Hlk133072016"/>
      <w:r>
        <w:rPr>
          <w:rFonts w:ascii="仿宋_GB2312" w:hAnsi="黑体" w:eastAsia="仿宋_GB2312" w:cs="黑体"/>
          <w:sz w:val="32"/>
          <w:szCs w:val="32"/>
          <w:highlight w:val="none"/>
        </w:rPr>
        <w:t>其他依法不得从事烟草制品零售业务的情形</w:t>
      </w:r>
      <w:bookmarkEnd w:id="2"/>
      <w:r>
        <w:rPr>
          <w:rFonts w:ascii="仿宋_GB2312" w:hAnsi="黑体" w:eastAsia="仿宋_GB2312" w:cs="黑体"/>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黑体" w:hAnsi="黑体" w:eastAsia="黑体" w:cs="仿宋_GB2312"/>
          <w:sz w:val="32"/>
          <w:szCs w:val="32"/>
          <w:highlight w:val="none"/>
        </w:rPr>
        <w:t>第</w:t>
      </w:r>
      <w:r>
        <w:rPr>
          <w:rFonts w:hint="eastAsia" w:ascii="黑体" w:hAnsi="黑体" w:eastAsia="黑体" w:cs="仿宋_GB2312"/>
          <w:sz w:val="32"/>
          <w:szCs w:val="32"/>
          <w:highlight w:val="none"/>
          <w:lang w:val="en-US" w:eastAsia="zh-CN"/>
        </w:rPr>
        <w:t>十七</w:t>
      </w:r>
      <w:r>
        <w:rPr>
          <w:rFonts w:hint="eastAsia" w:ascii="黑体" w:hAnsi="黑体" w:eastAsia="黑体" w:cs="仿宋_GB2312"/>
          <w:sz w:val="32"/>
          <w:szCs w:val="32"/>
          <w:highlight w:val="none"/>
        </w:rPr>
        <w:t>条</w:t>
      </w:r>
      <w:r>
        <w:rPr>
          <w:rFonts w:hint="eastAsia" w:ascii="仿宋" w:hAnsi="仿宋" w:eastAsia="仿宋" w:cs="仿宋_GB2312"/>
          <w:sz w:val="32"/>
          <w:szCs w:val="32"/>
          <w:highlight w:val="none"/>
        </w:rPr>
        <w:t xml:space="preserve">  </w:t>
      </w:r>
      <w:r>
        <w:rPr>
          <w:rFonts w:hint="eastAsia" w:ascii="仿宋_GB2312" w:hAnsi="黑体" w:eastAsia="仿宋_GB2312" w:cs="黑体"/>
          <w:sz w:val="32"/>
          <w:szCs w:val="32"/>
          <w:highlight w:val="none"/>
        </w:rPr>
        <w:t>经营场所有下列情形之一的，不予核发烟草专卖零售许可证：</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（一）无固定经营场所的；</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（二）经营场所与住所不相独立的；</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（三）</w:t>
      </w:r>
      <w:r>
        <w:rPr>
          <w:rFonts w:ascii="仿宋_GB2312" w:hAnsi="黑体" w:eastAsia="仿宋_GB2312" w:cs="黑体"/>
          <w:sz w:val="32"/>
          <w:szCs w:val="32"/>
          <w:highlight w:val="none"/>
        </w:rPr>
        <w:t>中小学</w:t>
      </w:r>
      <w:r>
        <w:rPr>
          <w:rFonts w:hint="eastAsia" w:ascii="仿宋_GB2312" w:hAnsi="黑体" w:eastAsia="仿宋_GB2312" w:cs="黑体"/>
          <w:sz w:val="32"/>
          <w:szCs w:val="32"/>
          <w:highlight w:val="none"/>
        </w:rPr>
        <w:t>校、</w:t>
      </w:r>
      <w:r>
        <w:rPr>
          <w:rFonts w:ascii="仿宋_GB2312" w:hAnsi="黑体" w:eastAsia="仿宋_GB2312" w:cs="黑体"/>
          <w:sz w:val="32"/>
          <w:szCs w:val="32"/>
          <w:highlight w:val="none"/>
        </w:rPr>
        <w:t>幼儿园</w:t>
      </w:r>
      <w:r>
        <w:rPr>
          <w:rFonts w:hint="eastAsia" w:ascii="仿宋_GB2312" w:hAnsi="黑体" w:eastAsia="仿宋_GB2312" w:cs="黑体"/>
          <w:sz w:val="32"/>
          <w:szCs w:val="32"/>
          <w:highlight w:val="none"/>
        </w:rPr>
        <w:t>内及其进出通道口向外延伸100</w:t>
      </w:r>
      <w:r>
        <w:rPr>
          <w:rFonts w:ascii="仿宋_GB2312" w:hAnsi="黑体" w:eastAsia="仿宋_GB2312" w:cs="黑体"/>
          <w:sz w:val="32"/>
          <w:szCs w:val="32"/>
          <w:highlight w:val="none"/>
        </w:rPr>
        <w:t>米</w:t>
      </w:r>
      <w:r>
        <w:rPr>
          <w:rFonts w:hint="eastAsia" w:ascii="仿宋_GB2312" w:hAnsi="黑体" w:eastAsia="仿宋_GB2312" w:cs="黑体"/>
          <w:sz w:val="32"/>
          <w:szCs w:val="32"/>
          <w:highlight w:val="none"/>
        </w:rPr>
        <w:t>以</w:t>
      </w:r>
      <w:r>
        <w:rPr>
          <w:rFonts w:ascii="仿宋_GB2312" w:hAnsi="黑体" w:eastAsia="仿宋_GB2312" w:cs="黑体"/>
          <w:sz w:val="32"/>
          <w:szCs w:val="32"/>
          <w:highlight w:val="none"/>
        </w:rPr>
        <w:t>内的</w:t>
      </w:r>
      <w:r>
        <w:rPr>
          <w:rFonts w:hint="eastAsia" w:ascii="仿宋_GB2312" w:hAnsi="黑体" w:eastAsia="仿宋_GB2312" w:cs="黑体"/>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（四）位于</w:t>
      </w:r>
      <w:r>
        <w:rPr>
          <w:rFonts w:ascii="仿宋_GB2312" w:hAnsi="黑体" w:eastAsia="仿宋_GB2312" w:cs="黑体"/>
          <w:sz w:val="32"/>
          <w:szCs w:val="32"/>
          <w:highlight w:val="none"/>
        </w:rPr>
        <w:t>党政机关、</w:t>
      </w:r>
      <w:bookmarkStart w:id="3" w:name="_Hlk134774964"/>
      <w:r>
        <w:rPr>
          <w:rFonts w:ascii="仿宋_GB2312" w:hAnsi="黑体" w:eastAsia="仿宋_GB2312" w:cs="黑体"/>
          <w:sz w:val="32"/>
          <w:szCs w:val="32"/>
          <w:highlight w:val="none"/>
        </w:rPr>
        <w:t>医疗机构</w:t>
      </w:r>
      <w:bookmarkEnd w:id="3"/>
      <w:r>
        <w:rPr>
          <w:rFonts w:ascii="仿宋_GB2312" w:hAnsi="黑体" w:eastAsia="仿宋_GB2312" w:cs="黑体"/>
          <w:sz w:val="32"/>
          <w:szCs w:val="32"/>
          <w:highlight w:val="none"/>
        </w:rPr>
        <w:t>内部</w:t>
      </w:r>
      <w:r>
        <w:rPr>
          <w:rFonts w:hint="eastAsia" w:ascii="仿宋_GB2312" w:hAnsi="黑体" w:eastAsia="仿宋_GB2312" w:cs="黑体"/>
          <w:sz w:val="32"/>
          <w:szCs w:val="32"/>
          <w:highlight w:val="none"/>
        </w:rPr>
        <w:t>的；</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（五）已被政府纳入拆迁规划的区域；</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（六）办公楼、写字楼等除首层沿街以外的场所；</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七）爱国主义教育基地、图书馆、青少年宫、儿童活动中心、儿童之家、博物馆、纪念馆、科技馆、展览馆、美术馆、文化馆、社区公益性互联网上网服务场所以及影剧院、体育场馆、动物园、植物园、公园等未成年人活动聚集场所及其附属设施内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（八）母婴用品、文具玩具、青少年培训机构、未成年人游乐场所等容易诱导未成年人关注、购买、吸食烟草制品的场所内部；</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（九）生产、经营、储存有毒有害、易燃易爆易挥发类物质，容易造成烟草制品污染或基于安全因素不适宜经营烟草制品的经营场所；</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（十）申请时不具备商品售卖条件的；</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hint="eastAsia" w:ascii="仿宋_GB2312" w:hAnsi="黑体" w:eastAsia="仿宋_GB2312" w:cs="黑体"/>
          <w:sz w:val="32"/>
          <w:szCs w:val="32"/>
          <w:highlight w:val="none"/>
        </w:rPr>
      </w:pPr>
      <w:r>
        <w:rPr>
          <w:rFonts w:hint="eastAsia" w:ascii="仿宋_GB2312" w:hAnsi="黑体" w:eastAsia="仿宋_GB2312" w:cs="黑体"/>
          <w:sz w:val="32"/>
          <w:szCs w:val="32"/>
          <w:highlight w:val="none"/>
        </w:rPr>
        <w:t>（十一）政府或相关部门明文规定不适宜经营烟草制品的场所；</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（十</w:t>
      </w:r>
      <w:r>
        <w:rPr>
          <w:rFonts w:hint="eastAsia" w:ascii="仿宋_GB2312" w:hAnsi="黑体" w:eastAsia="仿宋_GB2312" w:cs="黑体"/>
          <w:sz w:val="32"/>
          <w:szCs w:val="32"/>
          <w:highlight w:val="none"/>
          <w:lang w:val="en-US" w:eastAsia="zh-CN"/>
        </w:rPr>
        <w:t>二</w:t>
      </w:r>
      <w:r>
        <w:rPr>
          <w:rFonts w:hint="eastAsia" w:ascii="仿宋_GB2312" w:hAnsi="黑体" w:eastAsia="仿宋_GB2312" w:cs="黑体"/>
          <w:sz w:val="32"/>
          <w:szCs w:val="32"/>
          <w:highlight w:val="none"/>
        </w:rPr>
        <w:t>）</w:t>
      </w:r>
      <w:bookmarkStart w:id="4" w:name="_Hlk133072425"/>
      <w:r>
        <w:rPr>
          <w:rFonts w:hint="eastAsia" w:ascii="仿宋_GB2312" w:hAnsi="黑体" w:eastAsia="仿宋_GB2312" w:cs="黑体"/>
          <w:sz w:val="32"/>
          <w:szCs w:val="32"/>
          <w:highlight w:val="none"/>
        </w:rPr>
        <w:t>其他依法不得从事烟草制品零售业务的场所。</w:t>
      </w:r>
      <w:bookmarkEnd w:id="4"/>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黑体" w:hAnsi="黑体" w:eastAsia="黑体" w:cs="仿宋_GB2312"/>
          <w:sz w:val="32"/>
          <w:szCs w:val="32"/>
          <w:highlight w:val="none"/>
        </w:rPr>
        <w:t>第</w:t>
      </w:r>
      <w:r>
        <w:rPr>
          <w:rFonts w:hint="eastAsia" w:ascii="黑体" w:hAnsi="黑体" w:eastAsia="黑体" w:cs="仿宋_GB2312"/>
          <w:sz w:val="32"/>
          <w:szCs w:val="32"/>
          <w:highlight w:val="none"/>
          <w:lang w:val="en-US" w:eastAsia="zh-CN"/>
        </w:rPr>
        <w:t>十八</w:t>
      </w:r>
      <w:r>
        <w:rPr>
          <w:rFonts w:hint="eastAsia" w:ascii="黑体" w:hAnsi="黑体" w:eastAsia="黑体" w:cs="仿宋_GB2312"/>
          <w:sz w:val="32"/>
          <w:szCs w:val="32"/>
          <w:highlight w:val="none"/>
        </w:rPr>
        <w:t xml:space="preserve">条  </w:t>
      </w:r>
      <w:r>
        <w:rPr>
          <w:rFonts w:hint="eastAsia" w:ascii="仿宋_GB2312" w:hAnsi="黑体" w:eastAsia="仿宋_GB2312" w:cs="黑体"/>
          <w:sz w:val="32"/>
          <w:szCs w:val="32"/>
          <w:highlight w:val="none"/>
        </w:rPr>
        <w:t>主营业务为服装鞋帽、药妆医械、物流寄递、电子商品、家用电器、通信器材、美发美容、美甲纹身、保健按摩、汽车维修、办公用品、体育用品、五金化工、鲜花绿植、家居建材、装修装潢</w:t>
      </w:r>
      <w:r>
        <w:rPr>
          <w:rFonts w:hint="eastAsia" w:ascii="仿宋_GB2312" w:hAnsi="黑体" w:eastAsia="仿宋_GB2312" w:cs="黑体"/>
          <w:sz w:val="32"/>
          <w:szCs w:val="32"/>
          <w:highlight w:val="none"/>
          <w:lang w:eastAsia="zh-CN"/>
        </w:rPr>
        <w:t>、</w:t>
      </w:r>
      <w:r>
        <w:rPr>
          <w:rFonts w:hint="eastAsia" w:ascii="仿宋_GB2312" w:hAnsi="黑体" w:eastAsia="仿宋_GB2312" w:cs="黑体"/>
          <w:color w:val="auto"/>
          <w:sz w:val="32"/>
          <w:szCs w:val="32"/>
          <w:highlight w:val="none"/>
          <w:u w:val="none"/>
          <w:lang w:eastAsia="zh-CN"/>
        </w:rPr>
        <w:t>餐饮住宿、娱乐健身、床上用品、金银珠宝、</w:t>
      </w:r>
      <w:r>
        <w:rPr>
          <w:rFonts w:hint="eastAsia" w:ascii="仿宋_GB2312" w:hAnsi="黑体" w:eastAsia="仿宋_GB2312" w:cs="黑体"/>
          <w:color w:val="auto"/>
          <w:sz w:val="32"/>
          <w:szCs w:val="32"/>
          <w:highlight w:val="none"/>
          <w:u w:val="none"/>
          <w:lang w:val="en-US" w:eastAsia="zh-CN"/>
        </w:rPr>
        <w:t>车辆</w:t>
      </w:r>
      <w:r>
        <w:rPr>
          <w:rFonts w:hint="eastAsia" w:ascii="仿宋_GB2312" w:hAnsi="黑体" w:eastAsia="仿宋_GB2312" w:cs="黑体"/>
          <w:color w:val="auto"/>
          <w:sz w:val="32"/>
          <w:szCs w:val="32"/>
          <w:highlight w:val="none"/>
          <w:u w:val="none"/>
          <w:lang w:eastAsia="zh-CN"/>
        </w:rPr>
        <w:t>销售、</w:t>
      </w:r>
      <w:r>
        <w:rPr>
          <w:rFonts w:hint="eastAsia" w:ascii="仿宋_GB2312" w:hAnsi="黑体" w:eastAsia="仿宋_GB2312" w:cs="黑体"/>
          <w:color w:val="auto"/>
          <w:sz w:val="32"/>
          <w:szCs w:val="32"/>
          <w:highlight w:val="none"/>
          <w:u w:val="none"/>
          <w:lang w:val="en-US" w:eastAsia="zh-CN"/>
        </w:rPr>
        <w:t>车辆</w:t>
      </w:r>
      <w:r>
        <w:rPr>
          <w:rFonts w:hint="eastAsia" w:ascii="仿宋_GB2312" w:hAnsi="黑体" w:eastAsia="仿宋_GB2312" w:cs="黑体"/>
          <w:color w:val="auto"/>
          <w:sz w:val="32"/>
          <w:szCs w:val="32"/>
          <w:highlight w:val="none"/>
          <w:u w:val="none"/>
          <w:lang w:eastAsia="zh-CN"/>
        </w:rPr>
        <w:t>服务、中介劳服、寄卖典当、金融证券、彩票销售、农具农资、农畜养殖、照相馆、宠物店、渔具店、旅行社、祭祀用品、小吃店、蛋糕店、水果店、食品加工经营、农副产品、印铸刻字</w:t>
      </w:r>
      <w:r>
        <w:rPr>
          <w:rFonts w:hint="eastAsia" w:ascii="仿宋_GB2312" w:hAnsi="黑体" w:eastAsia="仿宋_GB2312" w:cs="黑体"/>
          <w:sz w:val="32"/>
          <w:szCs w:val="32"/>
          <w:highlight w:val="none"/>
        </w:rPr>
        <w:t>等专业性较强，与烟草制品零售业务没有直接或间接互补营销关系的业态类型不予设置零售点。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黑体" w:hAnsi="黑体" w:eastAsia="黑体" w:cs="仿宋_GB2312"/>
          <w:sz w:val="32"/>
          <w:szCs w:val="32"/>
          <w:highlight w:val="none"/>
        </w:rPr>
        <w:t>第</w:t>
      </w:r>
      <w:r>
        <w:rPr>
          <w:rFonts w:hint="eastAsia" w:ascii="黑体" w:hAnsi="黑体" w:eastAsia="黑体" w:cs="仿宋_GB2312"/>
          <w:sz w:val="32"/>
          <w:szCs w:val="32"/>
          <w:highlight w:val="none"/>
          <w:lang w:val="en-US" w:eastAsia="zh-CN"/>
        </w:rPr>
        <w:t>十九</w:t>
      </w:r>
      <w:r>
        <w:rPr>
          <w:rFonts w:hint="eastAsia" w:ascii="黑体" w:hAnsi="黑体" w:eastAsia="黑体" w:cs="仿宋_GB2312"/>
          <w:sz w:val="32"/>
          <w:szCs w:val="32"/>
          <w:highlight w:val="none"/>
        </w:rPr>
        <w:t xml:space="preserve">条  </w:t>
      </w:r>
      <w:r>
        <w:rPr>
          <w:rFonts w:hint="eastAsia" w:ascii="仿宋_GB2312" w:hAnsi="黑体" w:eastAsia="仿宋_GB2312" w:cs="黑体"/>
          <w:sz w:val="32"/>
          <w:szCs w:val="32"/>
          <w:highlight w:val="none"/>
        </w:rPr>
        <w:t>经营模式有下列情形之一的，不予核发烟草专卖零售许可证：</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（一）</w:t>
      </w:r>
      <w:r>
        <w:rPr>
          <w:rFonts w:ascii="仿宋_GB2312" w:hAnsi="黑体" w:eastAsia="仿宋_GB2312" w:cs="黑体"/>
          <w:sz w:val="32"/>
          <w:szCs w:val="32"/>
          <w:highlight w:val="none"/>
        </w:rPr>
        <w:t>利用自动售货机（柜）</w:t>
      </w:r>
      <w:r>
        <w:rPr>
          <w:rFonts w:hint="eastAsia" w:ascii="仿宋_GB2312" w:hAnsi="黑体" w:eastAsia="仿宋_GB2312" w:cs="黑体"/>
          <w:sz w:val="32"/>
          <w:szCs w:val="32"/>
          <w:highlight w:val="none"/>
        </w:rPr>
        <w:t>或其他自动售货方式</w:t>
      </w:r>
      <w:r>
        <w:rPr>
          <w:rFonts w:ascii="仿宋_GB2312" w:hAnsi="黑体" w:eastAsia="仿宋_GB2312" w:cs="黑体"/>
          <w:sz w:val="32"/>
          <w:szCs w:val="32"/>
          <w:highlight w:val="none"/>
        </w:rPr>
        <w:t>销售烟草制品</w:t>
      </w:r>
      <w:r>
        <w:rPr>
          <w:rFonts w:hint="eastAsia" w:ascii="仿宋_GB2312" w:hAnsi="黑体" w:eastAsia="仿宋_GB2312" w:cs="黑体"/>
          <w:sz w:val="32"/>
          <w:szCs w:val="32"/>
          <w:highlight w:val="none"/>
        </w:rPr>
        <w:t>的；</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bookmarkStart w:id="5" w:name="_Hlk136436710"/>
      <w:r>
        <w:rPr>
          <w:rFonts w:hint="eastAsia" w:ascii="仿宋_GB2312" w:hAnsi="黑体" w:eastAsia="仿宋_GB2312" w:cs="黑体"/>
          <w:sz w:val="32"/>
          <w:szCs w:val="32"/>
          <w:highlight w:val="none"/>
        </w:rPr>
        <w:t>（二）以无人售货等形式销售烟草制品的；</w:t>
      </w:r>
    </w:p>
    <w:bookmarkEnd w:id="5"/>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（三）以游戏、博彩等方式经营烟草制品的；</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（四）</w:t>
      </w:r>
      <w:r>
        <w:rPr>
          <w:rFonts w:ascii="仿宋_GB2312" w:hAnsi="黑体" w:eastAsia="仿宋_GB2312" w:cs="黑体"/>
          <w:sz w:val="32"/>
          <w:szCs w:val="32"/>
          <w:highlight w:val="none"/>
        </w:rPr>
        <w:t>通过信息网络销售烟草制品的</w:t>
      </w:r>
      <w:r>
        <w:rPr>
          <w:rFonts w:hint="eastAsia" w:ascii="仿宋_GB2312" w:hAnsi="黑体" w:eastAsia="仿宋_GB2312" w:cs="黑体"/>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（五）</w:t>
      </w:r>
      <w:r>
        <w:rPr>
          <w:rFonts w:ascii="仿宋_GB2312" w:hAnsi="黑体" w:eastAsia="仿宋_GB2312" w:cs="黑体"/>
          <w:sz w:val="32"/>
          <w:szCs w:val="32"/>
          <w:highlight w:val="none"/>
        </w:rPr>
        <w:t>其他依法不得从事烟草制品零售业务的情形。</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hint="eastAsia" w:ascii="仿宋_GB2312" w:hAnsi="黑体" w:eastAsia="仿宋_GB2312" w:cs="黑体"/>
          <w:sz w:val="32"/>
          <w:szCs w:val="32"/>
          <w:highlight w:val="none"/>
        </w:rPr>
      </w:pPr>
      <w:r>
        <w:rPr>
          <w:rFonts w:hint="eastAsia" w:ascii="黑体" w:hAnsi="黑体" w:eastAsia="黑体" w:cs="仿宋_GB2312"/>
          <w:sz w:val="32"/>
          <w:szCs w:val="32"/>
          <w:highlight w:val="none"/>
        </w:rPr>
        <w:t>第</w:t>
      </w:r>
      <w:r>
        <w:rPr>
          <w:rFonts w:hint="eastAsia" w:ascii="黑体" w:hAnsi="黑体" w:eastAsia="黑体" w:cs="仿宋_GB2312"/>
          <w:sz w:val="32"/>
          <w:szCs w:val="32"/>
          <w:highlight w:val="none"/>
          <w:lang w:val="en-US" w:eastAsia="zh-CN"/>
        </w:rPr>
        <w:t>二十</w:t>
      </w:r>
      <w:r>
        <w:rPr>
          <w:rFonts w:hint="eastAsia" w:ascii="黑体" w:hAnsi="黑体" w:eastAsia="黑体" w:cs="仿宋_GB2312"/>
          <w:sz w:val="32"/>
          <w:szCs w:val="32"/>
          <w:highlight w:val="none"/>
        </w:rPr>
        <w:t xml:space="preserve">条  </w:t>
      </w:r>
      <w:r>
        <w:rPr>
          <w:rFonts w:hint="eastAsia" w:ascii="仿宋_GB2312" w:hAnsi="黑体" w:eastAsia="仿宋_GB2312" w:cs="黑体"/>
          <w:sz w:val="32"/>
          <w:szCs w:val="32"/>
          <w:highlight w:val="none"/>
        </w:rPr>
        <w:t>除经营场所的安全要求和中小学、幼儿园周围的限制规定外，本规定不溯及已持有烟草专卖零售许可证的零售户。</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黑体" w:hAnsi="黑体" w:eastAsia="黑体" w:cs="仿宋_GB2312"/>
          <w:sz w:val="32"/>
          <w:szCs w:val="32"/>
          <w:highlight w:val="none"/>
        </w:rPr>
        <w:t>第</w:t>
      </w:r>
      <w:r>
        <w:rPr>
          <w:rFonts w:hint="eastAsia" w:ascii="黑体" w:hAnsi="黑体" w:eastAsia="黑体" w:cs="仿宋_GB2312"/>
          <w:sz w:val="32"/>
          <w:szCs w:val="32"/>
          <w:highlight w:val="none"/>
          <w:lang w:val="en-US" w:eastAsia="zh-CN"/>
        </w:rPr>
        <w:t>二十一</w:t>
      </w:r>
      <w:r>
        <w:rPr>
          <w:rFonts w:hint="eastAsia" w:ascii="黑体" w:hAnsi="黑体" w:eastAsia="黑体" w:cs="仿宋_GB2312"/>
          <w:sz w:val="32"/>
          <w:szCs w:val="32"/>
          <w:highlight w:val="none"/>
        </w:rPr>
        <w:t>条</w:t>
      </w:r>
      <w:r>
        <w:rPr>
          <w:rFonts w:hint="eastAsia" w:ascii="仿宋" w:hAnsi="仿宋" w:eastAsia="仿宋" w:cs="仿宋_GB2312"/>
          <w:sz w:val="32"/>
          <w:szCs w:val="32"/>
          <w:highlight w:val="none"/>
        </w:rPr>
        <w:t xml:space="preserve">  </w:t>
      </w:r>
      <w:r>
        <w:rPr>
          <w:rFonts w:hint="eastAsia" w:ascii="仿宋_GB2312" w:hAnsi="黑体" w:eastAsia="仿宋_GB2312" w:cs="黑体"/>
          <w:sz w:val="32"/>
          <w:szCs w:val="32"/>
          <w:highlight w:val="none"/>
        </w:rPr>
        <w:t>本规定下列用语的含义：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一）“固定经营场所”，是指用于商品销售、存储的不可移动且合法使用的场所，不包括住宅、公寓或其附属的地下室、储藏室、车库等，也不包含流动摊点（车、棚）、违章建筑、临时建筑物（建筑工地除外）等。但申请人用于存放烟草制品的储藏室、仓库等空间视为经营场所，应当在实地核查时予以明确。</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（二）“与住所相独立”，是指经营场所与生活居住场所在物理空间上隔离且有明确的区域界线。</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（三）“中、小学校”，是指普通中小学、特殊教育学校、中等职业学校、专门学校。</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（四）“幼儿园”，是指经教育行政部门审批注册的对学龄前幼儿实施教育的机构。</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仿宋_GB2312" w:hAnsi="黑体" w:eastAsia="仿宋_GB2312" w:cs="黑体"/>
          <w:sz w:val="32"/>
          <w:szCs w:val="32"/>
          <w:highlight w:val="none"/>
        </w:rPr>
        <w:t>（五）“具备商品售卖条件”，是指已经依法取得营业执照，设置商品展示零售的柜台或货架，明确存储位置或场所，具备正常开展经营活动的条件。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hint="eastAsia" w:ascii="仿宋_GB2312" w:hAnsi="黑体" w:eastAsia="仿宋_GB2312" w:cs="黑体"/>
          <w:sz w:val="32"/>
          <w:szCs w:val="32"/>
          <w:highlight w:val="none"/>
        </w:rPr>
      </w:pPr>
      <w:r>
        <w:rPr>
          <w:rFonts w:hint="eastAsia" w:ascii="仿宋_GB2312" w:hAnsi="黑体" w:eastAsia="仿宋_GB2312" w:cs="黑体"/>
          <w:sz w:val="32"/>
          <w:szCs w:val="32"/>
          <w:highlight w:val="none"/>
        </w:rPr>
        <w:t>（六）“间距”，是指申请点与最近零售点或中小学、幼儿园进出通道口之间依法可通行的最短距离。</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hint="eastAsia" w:ascii="仿宋_GB2312" w:hAnsi="黑体" w:eastAsia="仿宋_GB2312" w:cs="黑体"/>
          <w:sz w:val="32"/>
          <w:szCs w:val="32"/>
          <w:highlight w:val="none"/>
          <w:lang w:eastAsia="zh-CN"/>
        </w:rPr>
      </w:pPr>
      <w:r>
        <w:rPr>
          <w:rFonts w:hint="eastAsia" w:ascii="仿宋_GB2312" w:hAnsi="黑体" w:eastAsia="仿宋_GB2312" w:cs="黑体"/>
          <w:sz w:val="32"/>
          <w:szCs w:val="32"/>
          <w:highlight w:val="none"/>
          <w:lang w:eastAsia="zh-CN"/>
        </w:rPr>
        <w:t>（</w:t>
      </w:r>
      <w:r>
        <w:rPr>
          <w:rFonts w:hint="eastAsia" w:ascii="仿宋_GB2312" w:hAnsi="黑体" w:eastAsia="仿宋_GB2312" w:cs="黑体"/>
          <w:sz w:val="32"/>
          <w:szCs w:val="32"/>
          <w:highlight w:val="none"/>
          <w:lang w:val="en-US" w:eastAsia="zh-CN"/>
        </w:rPr>
        <w:t>七</w:t>
      </w:r>
      <w:r>
        <w:rPr>
          <w:rFonts w:hint="eastAsia" w:ascii="仿宋_GB2312" w:hAnsi="黑体" w:eastAsia="仿宋_GB2312" w:cs="黑体"/>
          <w:sz w:val="32"/>
          <w:szCs w:val="32"/>
          <w:highlight w:val="none"/>
          <w:lang w:eastAsia="zh-CN"/>
        </w:rPr>
        <w:t>）“专属营业面积”，是指营业场所的实际面积，不包括独立的办公、仓储、通道、停车等区域。</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color w:val="auto"/>
          <w:sz w:val="32"/>
          <w:szCs w:val="32"/>
          <w:highlight w:val="none"/>
        </w:rPr>
      </w:pPr>
      <w:r>
        <w:rPr>
          <w:rFonts w:hint="eastAsia" w:ascii="黑体" w:hAnsi="黑体" w:eastAsia="黑体" w:cs="仿宋_GB2312"/>
          <w:color w:val="auto"/>
          <w:sz w:val="32"/>
          <w:szCs w:val="32"/>
          <w:highlight w:val="none"/>
        </w:rPr>
        <w:t>第二十</w:t>
      </w:r>
      <w:r>
        <w:rPr>
          <w:rFonts w:hint="eastAsia" w:ascii="黑体" w:hAnsi="黑体" w:eastAsia="黑体" w:cs="仿宋_GB2312"/>
          <w:color w:val="auto"/>
          <w:sz w:val="32"/>
          <w:szCs w:val="32"/>
          <w:highlight w:val="none"/>
          <w:lang w:val="en-US" w:eastAsia="zh-CN"/>
        </w:rPr>
        <w:t>二</w:t>
      </w:r>
      <w:r>
        <w:rPr>
          <w:rFonts w:hint="eastAsia" w:ascii="黑体" w:hAnsi="黑体" w:eastAsia="黑体" w:cs="仿宋_GB2312"/>
          <w:color w:val="auto"/>
          <w:sz w:val="32"/>
          <w:szCs w:val="32"/>
          <w:highlight w:val="none"/>
        </w:rPr>
        <w:t xml:space="preserve">条  </w:t>
      </w:r>
      <w:r>
        <w:rPr>
          <w:rFonts w:hint="eastAsia" w:ascii="仿宋_GB2312" w:hAnsi="黑体" w:eastAsia="仿宋_GB2312" w:cs="黑体"/>
          <w:color w:val="auto"/>
          <w:sz w:val="32"/>
          <w:szCs w:val="32"/>
          <w:highlight w:val="none"/>
        </w:rPr>
        <w:t>市场单元零售点规划数量、间距标准每年通过</w:t>
      </w:r>
      <w:r>
        <w:rPr>
          <w:rFonts w:hint="eastAsia" w:ascii="仿宋_GB2312" w:hAnsi="黑体" w:eastAsia="仿宋_GB2312" w:cs="黑体"/>
          <w:color w:val="auto"/>
          <w:sz w:val="32"/>
          <w:szCs w:val="32"/>
          <w:highlight w:val="none"/>
          <w:lang w:val="en-US" w:eastAsia="zh-CN"/>
        </w:rPr>
        <w:t>兖州区</w:t>
      </w:r>
      <w:r>
        <w:rPr>
          <w:rFonts w:hint="eastAsia" w:ascii="仿宋_GB2312" w:hAnsi="黑体" w:eastAsia="仿宋_GB2312" w:cs="黑体"/>
          <w:color w:val="auto"/>
          <w:sz w:val="32"/>
          <w:szCs w:val="32"/>
          <w:highlight w:val="none"/>
        </w:rPr>
        <w:t>政务服务大厅公示栏</w:t>
      </w:r>
      <w:r>
        <w:rPr>
          <w:rFonts w:hint="eastAsia" w:ascii="仿宋_GB2312" w:hAnsi="黑体" w:eastAsia="仿宋_GB2312" w:cs="黑体"/>
          <w:color w:val="auto"/>
          <w:sz w:val="32"/>
          <w:szCs w:val="32"/>
          <w:highlight w:val="none"/>
          <w:lang w:val="en-US" w:eastAsia="zh-CN"/>
        </w:rPr>
        <w:t>方式</w:t>
      </w:r>
      <w:r>
        <w:rPr>
          <w:rFonts w:hint="eastAsia" w:ascii="仿宋_GB2312" w:hAnsi="黑体" w:eastAsia="仿宋_GB2312" w:cs="黑体"/>
          <w:color w:val="auto"/>
          <w:sz w:val="32"/>
          <w:szCs w:val="32"/>
          <w:highlight w:val="none"/>
        </w:rPr>
        <w:t>予以公布，可根据实际情况调整公布时间和频次。</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color w:val="auto"/>
          <w:sz w:val="32"/>
          <w:szCs w:val="32"/>
          <w:highlight w:val="none"/>
        </w:rPr>
      </w:pPr>
      <w:r>
        <w:rPr>
          <w:rFonts w:hint="eastAsia" w:ascii="仿宋_GB2312" w:hAnsi="黑体" w:eastAsia="仿宋_GB2312" w:cs="黑体"/>
          <w:color w:val="auto"/>
          <w:sz w:val="32"/>
          <w:szCs w:val="32"/>
          <w:highlight w:val="none"/>
        </w:rPr>
        <w:t>申请人轮候排序情况实时通过</w:t>
      </w:r>
      <w:r>
        <w:rPr>
          <w:rFonts w:hint="eastAsia" w:ascii="仿宋_GB2312" w:hAnsi="黑体" w:eastAsia="仿宋_GB2312" w:cs="黑体"/>
          <w:color w:val="auto"/>
          <w:sz w:val="32"/>
          <w:szCs w:val="32"/>
          <w:highlight w:val="none"/>
          <w:lang w:val="en-US" w:eastAsia="zh-CN"/>
        </w:rPr>
        <w:t>兖州区</w:t>
      </w:r>
      <w:r>
        <w:rPr>
          <w:rFonts w:hint="eastAsia" w:ascii="仿宋_GB2312" w:hAnsi="黑体" w:eastAsia="仿宋_GB2312" w:cs="黑体"/>
          <w:color w:val="auto"/>
          <w:sz w:val="32"/>
          <w:szCs w:val="32"/>
          <w:highlight w:val="none"/>
        </w:rPr>
        <w:t>政务服务大厅公示栏、电子查询系统或互联网等方式予以公示。</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黑体" w:hAnsi="黑体" w:eastAsia="黑体" w:cs="仿宋_GB2312"/>
          <w:sz w:val="32"/>
          <w:szCs w:val="32"/>
          <w:highlight w:val="none"/>
        </w:rPr>
        <w:t>第二十</w:t>
      </w:r>
      <w:r>
        <w:rPr>
          <w:rFonts w:hint="eastAsia" w:ascii="黑体" w:hAnsi="黑体" w:eastAsia="黑体" w:cs="仿宋_GB2312"/>
          <w:sz w:val="32"/>
          <w:szCs w:val="32"/>
          <w:highlight w:val="none"/>
          <w:lang w:val="en-US" w:eastAsia="zh-CN"/>
        </w:rPr>
        <w:t>三</w:t>
      </w:r>
      <w:r>
        <w:rPr>
          <w:rFonts w:hint="eastAsia" w:ascii="黑体" w:hAnsi="黑体" w:eastAsia="黑体" w:cs="仿宋_GB2312"/>
          <w:sz w:val="32"/>
          <w:szCs w:val="32"/>
          <w:highlight w:val="none"/>
        </w:rPr>
        <w:t>条</w:t>
      </w:r>
      <w:r>
        <w:rPr>
          <w:rFonts w:hint="eastAsia" w:ascii="仿宋" w:hAnsi="仿宋" w:eastAsia="仿宋" w:cs="仿宋_GB2312"/>
          <w:sz w:val="32"/>
          <w:szCs w:val="32"/>
          <w:highlight w:val="none"/>
        </w:rPr>
        <w:t xml:space="preserve">  </w:t>
      </w:r>
      <w:r>
        <w:rPr>
          <w:rFonts w:hint="eastAsia" w:ascii="仿宋_GB2312" w:hAnsi="黑体" w:eastAsia="仿宋_GB2312" w:cs="黑体"/>
          <w:sz w:val="32"/>
          <w:szCs w:val="32"/>
          <w:highlight w:val="none"/>
        </w:rPr>
        <w:t>本规定中“以上”、“以内”包括本数，“超过”不包括本数。</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黑体" w:hAnsi="黑体" w:eastAsia="黑体" w:cs="仿宋_GB2312"/>
          <w:sz w:val="32"/>
          <w:szCs w:val="32"/>
          <w:highlight w:val="none"/>
        </w:rPr>
        <w:t>第二十</w:t>
      </w:r>
      <w:r>
        <w:rPr>
          <w:rFonts w:hint="eastAsia" w:ascii="黑体" w:hAnsi="黑体" w:eastAsia="黑体" w:cs="仿宋_GB2312"/>
          <w:sz w:val="32"/>
          <w:szCs w:val="32"/>
          <w:highlight w:val="none"/>
          <w:lang w:val="en-US" w:eastAsia="zh-CN"/>
        </w:rPr>
        <w:t>四</w:t>
      </w:r>
      <w:r>
        <w:rPr>
          <w:rFonts w:hint="eastAsia" w:ascii="黑体" w:hAnsi="黑体" w:eastAsia="黑体" w:cs="仿宋_GB2312"/>
          <w:sz w:val="32"/>
          <w:szCs w:val="32"/>
          <w:highlight w:val="none"/>
        </w:rPr>
        <w:t>条</w:t>
      </w:r>
      <w:r>
        <w:rPr>
          <w:rFonts w:hint="eastAsia" w:ascii="仿宋" w:hAnsi="仿宋" w:eastAsia="仿宋" w:cs="仿宋_GB2312"/>
          <w:sz w:val="32"/>
          <w:szCs w:val="32"/>
          <w:highlight w:val="none"/>
        </w:rPr>
        <w:t xml:space="preserve">  </w:t>
      </w:r>
      <w:r>
        <w:rPr>
          <w:rFonts w:hint="eastAsia" w:ascii="仿宋_GB2312" w:hAnsi="黑体" w:eastAsia="仿宋_GB2312" w:cs="黑体"/>
          <w:sz w:val="32"/>
          <w:szCs w:val="32"/>
          <w:highlight w:val="none"/>
        </w:rPr>
        <w:t>本规定在实施过程中，法律、法规、规章及上级主管部门制定的规范性文件另有规定的，从其规定。</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ascii="仿宋_GB2312" w:hAnsi="黑体" w:eastAsia="仿宋_GB2312" w:cs="黑体"/>
          <w:sz w:val="32"/>
          <w:szCs w:val="32"/>
          <w:highlight w:val="none"/>
        </w:rPr>
      </w:pPr>
      <w:r>
        <w:rPr>
          <w:rFonts w:hint="eastAsia" w:ascii="黑体" w:hAnsi="黑体" w:eastAsia="黑体" w:cs="仿宋_GB2312"/>
          <w:sz w:val="32"/>
          <w:szCs w:val="32"/>
          <w:highlight w:val="none"/>
        </w:rPr>
        <w:t>第二十</w:t>
      </w:r>
      <w:r>
        <w:rPr>
          <w:rFonts w:hint="eastAsia" w:ascii="黑体" w:hAnsi="黑体" w:eastAsia="黑体" w:cs="仿宋_GB2312"/>
          <w:sz w:val="32"/>
          <w:szCs w:val="32"/>
          <w:highlight w:val="none"/>
          <w:lang w:val="en-US" w:eastAsia="zh-CN"/>
        </w:rPr>
        <w:t>五</w:t>
      </w:r>
      <w:r>
        <w:rPr>
          <w:rFonts w:hint="eastAsia" w:ascii="黑体" w:hAnsi="黑体" w:eastAsia="黑体" w:cs="仿宋_GB2312"/>
          <w:sz w:val="32"/>
          <w:szCs w:val="32"/>
          <w:highlight w:val="none"/>
        </w:rPr>
        <w:t>条</w:t>
      </w:r>
      <w:r>
        <w:rPr>
          <w:rFonts w:hint="eastAsia" w:ascii="仿宋" w:hAnsi="仿宋" w:eastAsia="仿宋" w:cs="仿宋_GB2312"/>
          <w:sz w:val="32"/>
          <w:szCs w:val="32"/>
          <w:highlight w:val="none"/>
        </w:rPr>
        <w:t xml:space="preserve">  </w:t>
      </w:r>
      <w:r>
        <w:rPr>
          <w:rFonts w:hint="eastAsia" w:ascii="仿宋_GB2312" w:hAnsi="黑体" w:eastAsia="仿宋_GB2312" w:cs="黑体"/>
          <w:sz w:val="32"/>
          <w:szCs w:val="32"/>
          <w:highlight w:val="none"/>
        </w:rPr>
        <w:t>本规定由</w:t>
      </w:r>
      <w:r>
        <w:rPr>
          <w:rFonts w:hint="eastAsia" w:ascii="仿宋_GB2312" w:hAnsi="黑体" w:eastAsia="仿宋_GB2312" w:cs="黑体"/>
          <w:sz w:val="32"/>
          <w:szCs w:val="32"/>
          <w:highlight w:val="none"/>
          <w:lang w:val="en-US" w:eastAsia="zh-CN"/>
        </w:rPr>
        <w:t>济宁市兖州区</w:t>
      </w:r>
      <w:r>
        <w:rPr>
          <w:rFonts w:hint="eastAsia" w:ascii="仿宋_GB2312" w:hAnsi="黑体" w:eastAsia="仿宋_GB2312" w:cs="黑体"/>
          <w:sz w:val="32"/>
          <w:szCs w:val="32"/>
          <w:highlight w:val="none"/>
        </w:rPr>
        <w:t>烟草专卖局负责解释。</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0" w:firstLineChars="200"/>
        <w:jc w:val="both"/>
        <w:textAlignment w:val="auto"/>
        <w:rPr>
          <w:rFonts w:hint="eastAsia" w:ascii="仿宋_GB2312" w:hAnsi="黑体" w:eastAsia="仿宋_GB2312" w:cs="黑体"/>
          <w:sz w:val="32"/>
          <w:szCs w:val="32"/>
          <w:highlight w:val="none"/>
        </w:rPr>
      </w:pPr>
      <w:r>
        <w:rPr>
          <w:rFonts w:hint="eastAsia" w:ascii="黑体" w:hAnsi="黑体" w:eastAsia="黑体" w:cs="仿宋_GB2312"/>
          <w:sz w:val="32"/>
          <w:szCs w:val="32"/>
          <w:highlight w:val="none"/>
        </w:rPr>
        <w:t>第二十</w:t>
      </w:r>
      <w:r>
        <w:rPr>
          <w:rFonts w:hint="eastAsia" w:ascii="黑体" w:hAnsi="黑体" w:eastAsia="黑体" w:cs="仿宋_GB2312"/>
          <w:sz w:val="32"/>
          <w:szCs w:val="32"/>
          <w:highlight w:val="none"/>
          <w:lang w:val="en-US" w:eastAsia="zh-CN"/>
        </w:rPr>
        <w:t>六</w:t>
      </w:r>
      <w:r>
        <w:rPr>
          <w:rFonts w:hint="eastAsia" w:ascii="黑体" w:hAnsi="黑体" w:eastAsia="黑体" w:cs="仿宋_GB2312"/>
          <w:sz w:val="32"/>
          <w:szCs w:val="32"/>
          <w:highlight w:val="none"/>
        </w:rPr>
        <w:t>条</w:t>
      </w:r>
      <w:r>
        <w:rPr>
          <w:rFonts w:hint="eastAsia" w:ascii="仿宋" w:hAnsi="仿宋" w:eastAsia="仿宋" w:cs="仿宋_GB2312"/>
          <w:sz w:val="32"/>
          <w:szCs w:val="32"/>
          <w:highlight w:val="none"/>
        </w:rPr>
        <w:t xml:space="preserve">  </w:t>
      </w:r>
      <w:r>
        <w:rPr>
          <w:rFonts w:hint="eastAsia" w:ascii="仿宋_GB2312" w:hAnsi="黑体" w:eastAsia="仿宋_GB2312" w:cs="黑体"/>
          <w:sz w:val="32"/>
          <w:szCs w:val="32"/>
          <w:highlight w:val="none"/>
        </w:rPr>
        <w:t>本规定自</w:t>
      </w:r>
      <w:r>
        <w:rPr>
          <w:rFonts w:hint="eastAsia" w:ascii="仿宋_GB2312" w:hAnsi="黑体" w:eastAsia="仿宋_GB2312" w:cs="黑体"/>
          <w:sz w:val="32"/>
          <w:szCs w:val="32"/>
          <w:highlight w:val="none"/>
          <w:lang w:val="en-US" w:eastAsia="zh-CN"/>
        </w:rPr>
        <w:t>*月*</w:t>
      </w:r>
      <w:r>
        <w:rPr>
          <w:rFonts w:hint="eastAsia" w:ascii="仿宋_GB2312" w:hAnsi="黑体" w:eastAsia="仿宋_GB2312" w:cs="黑体"/>
          <w:sz w:val="32"/>
          <w:szCs w:val="32"/>
          <w:highlight w:val="none"/>
        </w:rPr>
        <w:t>日起施行。</w:t>
      </w:r>
      <w:r>
        <w:rPr>
          <w:rFonts w:hint="eastAsia" w:ascii="仿宋_GB2312" w:hAnsi="黑体" w:eastAsia="仿宋_GB2312" w:cs="黑体"/>
          <w:sz w:val="32"/>
          <w:szCs w:val="32"/>
          <w:highlight w:val="none"/>
          <w:lang w:val="en-US" w:eastAsia="zh-CN"/>
        </w:rPr>
        <w:t>2022</w:t>
      </w:r>
      <w:r>
        <w:rPr>
          <w:rFonts w:hint="eastAsia" w:ascii="仿宋_GB2312" w:hAnsi="黑体" w:eastAsia="仿宋_GB2312" w:cs="黑体"/>
          <w:sz w:val="32"/>
          <w:szCs w:val="32"/>
          <w:highlight w:val="none"/>
        </w:rPr>
        <w:t>年</w:t>
      </w:r>
      <w:r>
        <w:rPr>
          <w:rFonts w:hint="eastAsia" w:ascii="仿宋_GB2312" w:hAnsi="黑体" w:eastAsia="仿宋_GB2312" w:cs="黑体"/>
          <w:sz w:val="32"/>
          <w:szCs w:val="32"/>
          <w:highlight w:val="none"/>
          <w:lang w:val="en-US" w:eastAsia="zh-CN"/>
        </w:rPr>
        <w:t>3</w:t>
      </w:r>
      <w:r>
        <w:rPr>
          <w:rFonts w:hint="eastAsia" w:ascii="仿宋_GB2312" w:hAnsi="黑体" w:eastAsia="仿宋_GB2312" w:cs="黑体"/>
          <w:sz w:val="32"/>
          <w:szCs w:val="32"/>
          <w:highlight w:val="none"/>
        </w:rPr>
        <w:t>月</w:t>
      </w:r>
      <w:r>
        <w:rPr>
          <w:rFonts w:hint="eastAsia" w:ascii="仿宋_GB2312" w:hAnsi="黑体" w:eastAsia="仿宋_GB2312" w:cs="黑体"/>
          <w:sz w:val="32"/>
          <w:szCs w:val="32"/>
          <w:highlight w:val="none"/>
          <w:lang w:val="en-US" w:eastAsia="zh-CN"/>
        </w:rPr>
        <w:t>22</w:t>
      </w:r>
      <w:r>
        <w:rPr>
          <w:rFonts w:hint="eastAsia" w:ascii="仿宋_GB2312" w:hAnsi="黑体" w:eastAsia="仿宋_GB2312" w:cs="黑体"/>
          <w:sz w:val="32"/>
          <w:szCs w:val="32"/>
          <w:highlight w:val="none"/>
        </w:rPr>
        <w:t>日施行的《济宁市兖州区烟草制品零售点合理布局规定》（</w:t>
      </w:r>
      <w:r>
        <w:rPr>
          <w:rFonts w:hint="eastAsia" w:ascii="仿宋_GB2312" w:hAnsi="黑体" w:eastAsia="仿宋_GB2312" w:cs="黑体"/>
          <w:sz w:val="32"/>
          <w:szCs w:val="32"/>
          <w:highlight w:val="none"/>
          <w:lang w:val="en-US" w:eastAsia="zh-CN"/>
        </w:rPr>
        <w:t>兖</w:t>
      </w:r>
      <w:r>
        <w:rPr>
          <w:rFonts w:hint="eastAsia" w:ascii="仿宋_GB2312" w:hAnsi="黑体" w:eastAsia="仿宋_GB2312" w:cs="黑体"/>
          <w:sz w:val="32"/>
          <w:szCs w:val="32"/>
          <w:highlight w:val="none"/>
        </w:rPr>
        <w:t>烟</w:t>
      </w:r>
      <w:r>
        <w:rPr>
          <w:rFonts w:hint="eastAsia" w:ascii="仿宋_GB2312" w:hAnsi="黑体" w:eastAsia="仿宋_GB2312" w:cs="黑体"/>
          <w:sz w:val="32"/>
          <w:szCs w:val="32"/>
          <w:highlight w:val="none"/>
          <w:lang w:val="en-US" w:eastAsia="zh-CN"/>
        </w:rPr>
        <w:t>专</w:t>
      </w:r>
      <w:r>
        <w:rPr>
          <w:rFonts w:hint="eastAsia" w:ascii="仿宋_GB2312" w:hAnsi="黑体" w:eastAsia="仿宋_GB2312" w:cs="黑体"/>
          <w:sz w:val="32"/>
          <w:szCs w:val="32"/>
          <w:highlight w:val="none"/>
        </w:rPr>
        <w:t>〔</w:t>
      </w:r>
      <w:r>
        <w:rPr>
          <w:rFonts w:hint="eastAsia" w:ascii="仿宋_GB2312" w:hAnsi="黑体" w:eastAsia="仿宋_GB2312" w:cs="黑体"/>
          <w:sz w:val="32"/>
          <w:szCs w:val="32"/>
          <w:highlight w:val="none"/>
          <w:lang w:val="en-US" w:eastAsia="zh-CN"/>
        </w:rPr>
        <w:t>2022</w:t>
      </w:r>
      <w:r>
        <w:rPr>
          <w:rFonts w:hint="eastAsia" w:ascii="仿宋_GB2312" w:hAnsi="黑体" w:eastAsia="仿宋_GB2312" w:cs="黑体"/>
          <w:sz w:val="32"/>
          <w:szCs w:val="32"/>
          <w:highlight w:val="none"/>
        </w:rPr>
        <w:t>〕</w:t>
      </w:r>
      <w:r>
        <w:rPr>
          <w:rFonts w:hint="eastAsia" w:ascii="仿宋_GB2312" w:hAnsi="黑体" w:eastAsia="仿宋_GB2312" w:cs="黑体"/>
          <w:sz w:val="32"/>
          <w:szCs w:val="32"/>
          <w:highlight w:val="none"/>
          <w:lang w:val="en-US" w:eastAsia="zh-CN"/>
        </w:rPr>
        <w:t>8</w:t>
      </w:r>
      <w:r>
        <w:rPr>
          <w:rFonts w:hint="eastAsia" w:ascii="仿宋_GB2312" w:hAnsi="黑体" w:eastAsia="仿宋_GB2312" w:cs="黑体"/>
          <w:sz w:val="32"/>
          <w:szCs w:val="32"/>
          <w:highlight w:val="none"/>
        </w:rPr>
        <w:t>号）同时废止。</w:t>
      </w:r>
    </w:p>
    <w:p>
      <w:pPr>
        <w:rPr>
          <w:rFonts w:hint="eastAsia" w:ascii="仿宋_GB2312" w:hAnsi="黑体" w:eastAsia="仿宋_GB2312" w:cs="黑体"/>
          <w:sz w:val="32"/>
          <w:szCs w:val="32"/>
          <w:highlight w:val="none"/>
        </w:rPr>
      </w:pPr>
      <w:r>
        <w:rPr>
          <w:rFonts w:hint="eastAsia" w:ascii="仿宋_GB2312" w:hAnsi="黑体" w:eastAsia="仿宋_GB2312" w:cs="黑体"/>
          <w:sz w:val="32"/>
          <w:szCs w:val="32"/>
          <w:highlight w:val="none"/>
        </w:rPr>
        <w:br w:type="page"/>
      </w:r>
    </w:p>
    <w:p>
      <w:pPr>
        <w:keepNext w:val="0"/>
        <w:keepLines w:val="0"/>
        <w:widowControl/>
        <w:suppressLineNumbers w:val="0"/>
        <w:shd w:val="clear" w:fill="FFFFFF"/>
        <w:spacing w:before="0" w:beforeAutospacing="0" w:after="0" w:afterAutospacing="0"/>
        <w:ind w:right="0"/>
        <w:jc w:val="both"/>
        <w:rPr>
          <w:rFonts w:ascii="Calibri" w:hAnsi="Calibri" w:cs="Calibri"/>
          <w:i w:val="0"/>
          <w:iCs w:val="0"/>
          <w:caps w:val="0"/>
          <w:color w:val="333333"/>
          <w:spacing w:val="0"/>
          <w:sz w:val="21"/>
          <w:szCs w:val="21"/>
        </w:rPr>
      </w:pPr>
      <w:r>
        <w:rPr>
          <w:rFonts w:ascii="仿宋_GB2312" w:hAnsi="Calibri" w:eastAsia="仿宋_GB2312" w:cs="仿宋_GB2312"/>
          <w:i w:val="0"/>
          <w:iCs w:val="0"/>
          <w:caps w:val="0"/>
          <w:color w:val="333333"/>
          <w:spacing w:val="0"/>
          <w:kern w:val="0"/>
          <w:sz w:val="32"/>
          <w:szCs w:val="32"/>
          <w:shd w:val="clear" w:fill="FFFFFF"/>
          <w:lang w:val="en-US" w:eastAsia="zh-CN" w:bidi="ar"/>
        </w:rPr>
        <w:t>附件</w:t>
      </w:r>
      <w:r>
        <w:rPr>
          <w:rFonts w:hint="eastAsia" w:ascii="仿宋_GB2312" w:hAnsi="Calibri" w:eastAsia="仿宋_GB2312" w:cs="仿宋_GB2312"/>
          <w:i w:val="0"/>
          <w:iCs w:val="0"/>
          <w:caps w:val="0"/>
          <w:color w:val="333333"/>
          <w:spacing w:val="0"/>
          <w:kern w:val="0"/>
          <w:sz w:val="32"/>
          <w:szCs w:val="32"/>
          <w:shd w:val="clear" w:fill="FFFFFF"/>
          <w:lang w:val="en-US" w:eastAsia="zh-CN" w:bidi="ar"/>
        </w:rPr>
        <w:t>2：</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default" w:ascii="Calibri" w:hAnsi="Calibri" w:cs="Calibri"/>
          <w:i w:val="0"/>
          <w:iCs w:val="0"/>
          <w:caps w:val="0"/>
          <w:color w:val="333333"/>
          <w:spacing w:val="0"/>
          <w:sz w:val="21"/>
          <w:szCs w:val="21"/>
        </w:rPr>
      </w:pPr>
      <w:r>
        <w:rPr>
          <w:rFonts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w:t>
      </w: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济宁市兖州区烟草制品零售点布局规定（征求意见稿）》编制说明</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left"/>
        <w:textAlignment w:val="auto"/>
        <w:rPr>
          <w:rFonts w:hint="default" w:ascii="Calibri" w:hAnsi="Calibri" w:cs="Calibri"/>
          <w:i w:val="0"/>
          <w:iCs w:val="0"/>
          <w:caps w:val="0"/>
          <w:color w:val="333333"/>
          <w:spacing w:val="0"/>
          <w:sz w:val="21"/>
          <w:szCs w:val="21"/>
        </w:rPr>
      </w:pPr>
      <w:r>
        <w:rPr>
          <w:rFonts w:ascii="黑体" w:hAnsi="宋体" w:eastAsia="黑体" w:cs="黑体"/>
          <w:i w:val="0"/>
          <w:iCs w:val="0"/>
          <w:caps w:val="0"/>
          <w:color w:val="333333"/>
          <w:spacing w:val="0"/>
          <w:kern w:val="0"/>
          <w:sz w:val="32"/>
          <w:szCs w:val="32"/>
          <w:shd w:val="clear" w:fill="FFFFFF"/>
          <w:lang w:val="en-US" w:eastAsia="zh-CN" w:bidi="ar"/>
        </w:rPr>
        <w:t>一</w:t>
      </w:r>
      <w:r>
        <w:rPr>
          <w:rFonts w:hint="eastAsia" w:ascii="黑体" w:hAnsi="宋体" w:eastAsia="黑体" w:cs="黑体"/>
          <w:i w:val="0"/>
          <w:iCs w:val="0"/>
          <w:caps w:val="0"/>
          <w:color w:val="333333"/>
          <w:spacing w:val="0"/>
          <w:kern w:val="0"/>
          <w:sz w:val="32"/>
          <w:szCs w:val="32"/>
          <w:shd w:val="clear" w:fill="FFFFFF"/>
          <w:lang w:val="en-US" w:eastAsia="zh-CN" w:bidi="ar"/>
        </w:rPr>
        <w:t>、制定背景</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近年来，随着济宁市经济社会飞速发展，城镇化水平的不断提高，卷烟经营盈利水平呈现较快增长，辖区烟草专卖零售许可证数量激增，许可证增长比率与常住人口增长比率明显失衡，极易形成无序、恶性竞争，也不利于卷烟货源这一有限资源的合理分配，影响了卷烟零售行业的高质量发展。为保持零售户数量稳定，防止零售户无序过快增长，全面贯彻落实山东省烟草专卖局关于加强烟草制品零售点合理布局的相关要求，持续优化辖区烟草制品零售点合理布局，进一步稳定辖区烟草制品零售点总量，控制烟草消费、保障人民健康，维护烟草制品经营者和消费者合法权益，切实维护卷烟市场经营秩序，兖州区烟草专卖局主动适应形势变化，根据《烟草专卖许可证管理办法》第十五条第二款规定，制定了《济宁市兖州区区烟草制品零售点合理布局规定（征求意见稿）》。</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left"/>
        <w:textAlignment w:val="auto"/>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二、制定依据</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left"/>
        <w:textAlignment w:val="auto"/>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烟草制品零售点合理布局规定是《中华人民共和国烟草专卖法实施条例》和《烟草专卖许可证管理办法》赋予县级以上烟草专卖局的法定职权，我局严格依法履责，依据《中华人民共和国行政许可法》《中华人民共和国未成年人保护法》《中华人民共和国烟草专卖法》《中华人民共和国烟草专卖法实施条例》《烟草专卖许可证管理办法》《烟草专卖许可证管理办法实施细则》等法律法规、规章和规范性文件规定，结合辖区人口数量、交通状况、经济发展水平、消费能力、方便满足消费者需求等实际情况，制定本规定。</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left"/>
        <w:textAlignment w:val="auto"/>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三、制定原则</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楷体_GB2312" w:hAnsi="Calibri" w:eastAsia="楷体_GB2312" w:cs="楷体_GB2312"/>
          <w:i w:val="0"/>
          <w:iCs w:val="0"/>
          <w:caps w:val="0"/>
          <w:color w:val="333333"/>
          <w:spacing w:val="0"/>
          <w:kern w:val="0"/>
          <w:sz w:val="32"/>
          <w:szCs w:val="32"/>
          <w:shd w:val="clear" w:fill="FFFFFF"/>
          <w:lang w:val="en-US" w:eastAsia="zh-CN" w:bidi="ar"/>
        </w:rPr>
      </w:pPr>
      <w:r>
        <w:rPr>
          <w:rFonts w:hint="eastAsia" w:ascii="楷体_GB2312" w:hAnsi="Calibri" w:eastAsia="楷体_GB2312" w:cs="楷体_GB2312"/>
          <w:i w:val="0"/>
          <w:iCs w:val="0"/>
          <w:caps w:val="0"/>
          <w:color w:val="333333"/>
          <w:spacing w:val="0"/>
          <w:kern w:val="0"/>
          <w:sz w:val="32"/>
          <w:szCs w:val="32"/>
          <w:shd w:val="clear" w:fill="FFFFFF"/>
          <w:lang w:val="en-US" w:eastAsia="zh-CN" w:bidi="ar"/>
        </w:rPr>
        <w:t>（一）依法行政。</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烟草制品零售点合理布局规定以法律法规规章和国家烟草专卖局规范性文件为依据，保证符合法定条件的行政相对人有依法取得烟草专卖零售许可证的平等权利。</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楷体_GB2312" w:hAnsi="Calibri" w:eastAsia="楷体_GB2312" w:cs="楷体_GB2312"/>
          <w:i w:val="0"/>
          <w:iCs w:val="0"/>
          <w:caps w:val="0"/>
          <w:color w:val="333333"/>
          <w:spacing w:val="0"/>
          <w:kern w:val="0"/>
          <w:sz w:val="32"/>
          <w:szCs w:val="32"/>
          <w:shd w:val="clear" w:fill="FFFFFF"/>
          <w:lang w:val="en-US" w:eastAsia="zh-CN" w:bidi="ar"/>
        </w:rPr>
      </w:pPr>
      <w:r>
        <w:rPr>
          <w:rFonts w:hint="eastAsia" w:ascii="楷体_GB2312" w:hAnsi="Calibri" w:eastAsia="楷体_GB2312" w:cs="楷体_GB2312"/>
          <w:i w:val="0"/>
          <w:iCs w:val="0"/>
          <w:caps w:val="0"/>
          <w:color w:val="333333"/>
          <w:spacing w:val="0"/>
          <w:kern w:val="0"/>
          <w:sz w:val="32"/>
          <w:szCs w:val="32"/>
          <w:shd w:val="clear" w:fill="FFFFFF"/>
          <w:lang w:val="en-US" w:eastAsia="zh-CN" w:bidi="ar"/>
        </w:rPr>
        <w:t>（二）科学规划。</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烟草制品零售点合理布局规定采取“容量管理+间距调整”的模式，以街道、乡镇组合为最小市场单元，充分结合辖区人口数量、交通状况、经济发展水平、消费能力、方便满足消费者需求等实际情况，科学设定单元内的零售点数量指导数并进行动态调整，既便于消费者购买，又保护零售户经营利益，从而有效限制零售点之间无序竞争。</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楷体_GB2312" w:hAnsi="Calibri" w:eastAsia="楷体_GB2312" w:cs="楷体_GB2312"/>
          <w:i w:val="0"/>
          <w:iCs w:val="0"/>
          <w:caps w:val="0"/>
          <w:color w:val="333333"/>
          <w:spacing w:val="0"/>
          <w:kern w:val="0"/>
          <w:sz w:val="32"/>
          <w:szCs w:val="32"/>
          <w:shd w:val="clear" w:fill="FFFFFF"/>
          <w:lang w:val="en-US" w:eastAsia="zh-CN" w:bidi="ar"/>
        </w:rPr>
      </w:pPr>
      <w:r>
        <w:rPr>
          <w:rFonts w:hint="eastAsia" w:ascii="楷体_GB2312" w:hAnsi="Calibri" w:eastAsia="楷体_GB2312" w:cs="楷体_GB2312"/>
          <w:i w:val="0"/>
          <w:iCs w:val="0"/>
          <w:caps w:val="0"/>
          <w:color w:val="333333"/>
          <w:spacing w:val="0"/>
          <w:kern w:val="0"/>
          <w:sz w:val="32"/>
          <w:szCs w:val="32"/>
          <w:shd w:val="clear" w:fill="FFFFFF"/>
          <w:lang w:val="en-US" w:eastAsia="zh-CN" w:bidi="ar"/>
        </w:rPr>
        <w:t>（三）服务社会。</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烟草制品零售点合理布局规定以服务社会为主，统筹考虑我国控烟履约、未成年人权益保护、便利消费者和提升零售户经营利益等因素，关注民生，服务就业与稳定，对社会弱势群体予以重点帮扶和政策倾斜，提高政务服务水平，不断提升行政服务效能。</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楷体_GB2312" w:hAnsi="Calibri" w:eastAsia="楷体_GB2312" w:cs="楷体_GB2312"/>
          <w:i w:val="0"/>
          <w:iCs w:val="0"/>
          <w:caps w:val="0"/>
          <w:color w:val="333333"/>
          <w:spacing w:val="0"/>
          <w:kern w:val="0"/>
          <w:sz w:val="32"/>
          <w:szCs w:val="32"/>
          <w:shd w:val="clear" w:fill="FFFFFF"/>
          <w:lang w:val="en-US" w:eastAsia="zh-CN" w:bidi="ar"/>
        </w:rPr>
      </w:pPr>
      <w:r>
        <w:rPr>
          <w:rFonts w:hint="eastAsia" w:ascii="楷体_GB2312" w:hAnsi="Calibri" w:eastAsia="楷体_GB2312" w:cs="楷体_GB2312"/>
          <w:i w:val="0"/>
          <w:iCs w:val="0"/>
          <w:caps w:val="0"/>
          <w:color w:val="333333"/>
          <w:spacing w:val="0"/>
          <w:kern w:val="0"/>
          <w:sz w:val="32"/>
          <w:szCs w:val="32"/>
          <w:shd w:val="clear" w:fill="FFFFFF"/>
          <w:lang w:val="en-US" w:eastAsia="zh-CN" w:bidi="ar"/>
        </w:rPr>
        <w:t>（四）均衡发展。</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烟草制品零售点合理布局规定坚持均衡发展，保持零售点数量与烟草制品消费需求相适应、零售点分布与卷烟市场区位相协调，维持零售户数量的相对合理稳定，在便利消费的同时坚持零售点数量稍紧平衡。</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楷体_GB2312" w:hAnsi="Calibri" w:eastAsia="楷体_GB2312" w:cs="楷体_GB2312"/>
          <w:i w:val="0"/>
          <w:iCs w:val="0"/>
          <w:caps w:val="0"/>
          <w:color w:val="333333"/>
          <w:spacing w:val="0"/>
          <w:kern w:val="0"/>
          <w:sz w:val="32"/>
          <w:szCs w:val="32"/>
          <w:shd w:val="clear" w:fill="FFFFFF"/>
          <w:lang w:val="en-US" w:eastAsia="zh-CN" w:bidi="ar"/>
        </w:rPr>
      </w:pPr>
      <w:r>
        <w:rPr>
          <w:rFonts w:hint="eastAsia" w:ascii="楷体_GB2312" w:hAnsi="Calibri" w:eastAsia="楷体_GB2312" w:cs="楷体_GB2312"/>
          <w:i w:val="0"/>
          <w:iCs w:val="0"/>
          <w:caps w:val="0"/>
          <w:color w:val="333333"/>
          <w:spacing w:val="0"/>
          <w:kern w:val="0"/>
          <w:sz w:val="32"/>
          <w:szCs w:val="32"/>
          <w:shd w:val="clear" w:fill="FFFFFF"/>
          <w:lang w:val="en-US" w:eastAsia="zh-CN" w:bidi="ar"/>
        </w:rPr>
        <w:t>（五）未成年人保护。</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中华人民共和国未成年人保护法》第四条规定“保护未成年人，应当坚持最有利于未成年人的原则”，第五十九条规定“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明确了“未成年人保护”原则。</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楷体_GB2312" w:hAnsi="Calibri" w:eastAsia="楷体_GB2312" w:cs="楷体_GB2312"/>
          <w:i w:val="0"/>
          <w:iCs w:val="0"/>
          <w:caps w:val="0"/>
          <w:color w:val="333333"/>
          <w:spacing w:val="0"/>
          <w:kern w:val="0"/>
          <w:sz w:val="32"/>
          <w:szCs w:val="32"/>
          <w:shd w:val="clear" w:fill="FFFFFF"/>
          <w:lang w:val="en-US" w:eastAsia="zh-CN" w:bidi="ar"/>
        </w:rPr>
      </w:pPr>
      <w:r>
        <w:rPr>
          <w:rFonts w:hint="eastAsia" w:ascii="楷体_GB2312" w:hAnsi="Calibri" w:eastAsia="楷体_GB2312" w:cs="楷体_GB2312"/>
          <w:i w:val="0"/>
          <w:iCs w:val="0"/>
          <w:caps w:val="0"/>
          <w:color w:val="333333"/>
          <w:spacing w:val="0"/>
          <w:kern w:val="0"/>
          <w:sz w:val="32"/>
          <w:szCs w:val="32"/>
          <w:shd w:val="clear" w:fill="FFFFFF"/>
          <w:lang w:val="en-US" w:eastAsia="zh-CN" w:bidi="ar"/>
        </w:rPr>
        <w:t>（六）控烟履约。</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《世界卫生组织烟草控制框架公约》规定“每一缔约方应努力采取和实施进一步措施，适宜时，包括颁发许可证，以控制或管制烟草制品的生产和销售，从而防止非法贸易”，明确了“控烟履约”原则。</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楷体_GB2312" w:hAnsi="Calibri" w:eastAsia="楷体_GB2312" w:cs="楷体_GB2312"/>
          <w:i w:val="0"/>
          <w:iCs w:val="0"/>
          <w:caps w:val="0"/>
          <w:color w:val="333333"/>
          <w:spacing w:val="0"/>
          <w:kern w:val="0"/>
          <w:sz w:val="32"/>
          <w:szCs w:val="32"/>
          <w:shd w:val="clear" w:fill="FFFFFF"/>
          <w:lang w:val="en-US" w:eastAsia="zh-CN" w:bidi="ar"/>
        </w:rPr>
      </w:pPr>
      <w:r>
        <w:rPr>
          <w:rFonts w:hint="eastAsia" w:ascii="楷体_GB2312" w:hAnsi="Calibri" w:eastAsia="楷体_GB2312" w:cs="楷体_GB2312"/>
          <w:i w:val="0"/>
          <w:iCs w:val="0"/>
          <w:caps w:val="0"/>
          <w:color w:val="333333"/>
          <w:spacing w:val="0"/>
          <w:kern w:val="0"/>
          <w:sz w:val="32"/>
          <w:szCs w:val="32"/>
          <w:shd w:val="clear" w:fill="FFFFFF"/>
          <w:lang w:val="en-US" w:eastAsia="zh-CN" w:bidi="ar"/>
        </w:rPr>
        <w:t>（七）信赖保护。</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《烟草专卖许可证管理办法实施细则》第十八条规定“已合法持有烟草专卖零售许可证的零售户，在许可证有效期内不受所在地烟草制品零售点合理布局规划调整的影响”，明确了“信赖保护”原则。</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left"/>
        <w:textAlignment w:val="auto"/>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四、主要内容</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本规定全文共计二十六条：</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（一）第一条  总则</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（二）第二条  烟草制品零售点的定义</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（三）第三条  适用范围</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（四）第四条  合理布局规划的原则</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default" w:ascii="仿宋_GB2312" w:hAnsi="Calibri" w:eastAsia="仿宋_GB2312" w:cs="仿宋_GB2312"/>
          <w:i w:val="0"/>
          <w:iCs w:val="0"/>
          <w:caps w:val="0"/>
          <w:color w:val="333333"/>
          <w:spacing w:val="0"/>
          <w:kern w:val="0"/>
          <w:sz w:val="32"/>
          <w:szCs w:val="32"/>
          <w:shd w:val="clear" w:fill="FFFFFF"/>
          <w:lang w:val="en-US" w:eastAsia="zh-CN" w:bidi="ar"/>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（五）第五条  既存客户和连锁经营企业申请办证要求</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（六）第六条  合理布局规划的模式</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default" w:ascii="Calibri" w:hAnsi="Calibri" w:cs="Calibri"/>
          <w:i w:val="0"/>
          <w:iCs w:val="0"/>
          <w:caps w:val="0"/>
          <w:color w:val="333333"/>
          <w:spacing w:val="0"/>
          <w:sz w:val="21"/>
          <w:szCs w:val="21"/>
          <w:lang w:val="en-US"/>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（七）第七条  市场单元规划数量适用和申请轮候</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default" w:ascii="仿宋_GB2312" w:hAnsi="Calibri" w:eastAsia="仿宋_GB2312" w:cs="仿宋_GB2312"/>
          <w:i w:val="0"/>
          <w:iCs w:val="0"/>
          <w:caps w:val="0"/>
          <w:color w:val="333333"/>
          <w:spacing w:val="0"/>
          <w:kern w:val="0"/>
          <w:sz w:val="32"/>
          <w:szCs w:val="32"/>
          <w:shd w:val="clear" w:fill="FFFFFF"/>
          <w:lang w:val="en-US" w:eastAsia="zh-CN" w:bidi="ar"/>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（八）第八条  申请轮候的受理及审批排序原则</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default" w:ascii="仿宋_GB2312" w:hAnsi="Calibri" w:eastAsia="仿宋_GB2312" w:cs="仿宋_GB2312"/>
          <w:i w:val="0"/>
          <w:iCs w:val="0"/>
          <w:caps w:val="0"/>
          <w:color w:val="333333"/>
          <w:spacing w:val="0"/>
          <w:kern w:val="0"/>
          <w:sz w:val="32"/>
          <w:szCs w:val="32"/>
          <w:shd w:val="clear" w:fill="FFFFFF"/>
          <w:lang w:val="en-US" w:eastAsia="zh-CN" w:bidi="ar"/>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（九）第九条  市场单元零售点的布局模式</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default" w:ascii="仿宋_GB2312" w:hAnsi="Calibri" w:eastAsia="仿宋_GB2312" w:cs="仿宋_GB2312"/>
          <w:i w:val="0"/>
          <w:iCs w:val="0"/>
          <w:caps w:val="0"/>
          <w:color w:val="333333"/>
          <w:spacing w:val="0"/>
          <w:kern w:val="0"/>
          <w:sz w:val="32"/>
          <w:szCs w:val="32"/>
          <w:shd w:val="clear" w:fill="FFFFFF"/>
          <w:lang w:val="en-US" w:eastAsia="zh-CN" w:bidi="ar"/>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（十）第十条  保护性冻结或应急性增设标准</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default" w:ascii="仿宋_GB2312" w:hAnsi="Calibri" w:eastAsia="仿宋_GB2312" w:cs="仿宋_GB2312"/>
          <w:i w:val="0"/>
          <w:iCs w:val="0"/>
          <w:caps w:val="0"/>
          <w:color w:val="333333"/>
          <w:spacing w:val="0"/>
          <w:kern w:val="0"/>
          <w:sz w:val="32"/>
          <w:szCs w:val="32"/>
          <w:shd w:val="clear" w:fill="FFFFFF"/>
          <w:lang w:val="en-US" w:eastAsia="zh-CN" w:bidi="ar"/>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（十一）第十一条  零售点间距的设定标准</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仿宋_GB2312" w:hAnsi="Calibri" w:eastAsia="仿宋_GB2312" w:cs="仿宋_GB2312"/>
          <w:i w:val="0"/>
          <w:iCs w:val="0"/>
          <w:caps w:val="0"/>
          <w:color w:val="333333"/>
          <w:spacing w:val="0"/>
          <w:kern w:val="0"/>
          <w:sz w:val="32"/>
          <w:szCs w:val="32"/>
          <w:shd w:val="clear" w:fill="FFFFFF"/>
          <w:lang w:val="en-US" w:eastAsia="zh-CN" w:bidi="ar"/>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（十二）第十二条  纾困、优抚对象的放宽办理标准</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仿宋_GB2312" w:hAnsi="Calibri" w:eastAsia="仿宋_GB2312" w:cs="仿宋_GB2312"/>
          <w:i w:val="0"/>
          <w:iCs w:val="0"/>
          <w:caps w:val="0"/>
          <w:color w:val="333333"/>
          <w:spacing w:val="0"/>
          <w:kern w:val="0"/>
          <w:sz w:val="32"/>
          <w:szCs w:val="32"/>
          <w:shd w:val="clear" w:fill="FFFFFF"/>
          <w:lang w:val="en-US" w:eastAsia="zh-CN" w:bidi="ar"/>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（十三）第十三条  专属面积的放宽办理标准</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仿宋_GB2312" w:hAnsi="Calibri" w:eastAsia="仿宋_GB2312" w:cs="仿宋_GB2312"/>
          <w:i w:val="0"/>
          <w:iCs w:val="0"/>
          <w:caps w:val="0"/>
          <w:color w:val="333333"/>
          <w:spacing w:val="0"/>
          <w:kern w:val="0"/>
          <w:sz w:val="32"/>
          <w:szCs w:val="32"/>
          <w:shd w:val="clear" w:fill="FFFFFF"/>
          <w:lang w:val="en-US" w:eastAsia="zh-CN" w:bidi="ar"/>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（十四）第十四条  大型社区的放宽办理标准</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仿宋_GB2312" w:hAnsi="Calibri" w:eastAsia="仿宋_GB2312" w:cs="仿宋_GB2312"/>
          <w:i w:val="0"/>
          <w:iCs w:val="0"/>
          <w:caps w:val="0"/>
          <w:color w:val="333333"/>
          <w:spacing w:val="0"/>
          <w:kern w:val="0"/>
          <w:sz w:val="32"/>
          <w:szCs w:val="32"/>
          <w:shd w:val="clear" w:fill="FFFFFF"/>
          <w:lang w:val="en-US" w:eastAsia="zh-CN" w:bidi="ar"/>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（十五）第十五条  不受市场单元零售点规划数量和间距限制的情形</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仿宋_GB2312" w:hAnsi="Calibri" w:eastAsia="仿宋_GB2312" w:cs="仿宋_GB2312"/>
          <w:i w:val="0"/>
          <w:iCs w:val="0"/>
          <w:caps w:val="0"/>
          <w:color w:val="333333"/>
          <w:spacing w:val="0"/>
          <w:kern w:val="0"/>
          <w:sz w:val="32"/>
          <w:szCs w:val="32"/>
          <w:shd w:val="clear" w:fill="FFFFFF"/>
          <w:lang w:val="en-US" w:eastAsia="zh-CN" w:bidi="ar"/>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 xml:space="preserve">（十六）第十六条  </w:t>
      </w:r>
      <w:r>
        <w:rPr>
          <w:rFonts w:ascii="仿宋_GB2312" w:hAnsi="黑体" w:eastAsia="仿宋_GB2312" w:cs="黑体"/>
          <w:sz w:val="32"/>
          <w:szCs w:val="32"/>
          <w:highlight w:val="none"/>
        </w:rPr>
        <w:t>申请主体</w:t>
      </w:r>
      <w:r>
        <w:rPr>
          <w:rFonts w:hint="eastAsia" w:ascii="仿宋_GB2312" w:hAnsi="Calibri" w:eastAsia="仿宋_GB2312" w:cs="仿宋_GB2312"/>
          <w:i w:val="0"/>
          <w:iCs w:val="0"/>
          <w:caps w:val="0"/>
          <w:color w:val="333333"/>
          <w:spacing w:val="0"/>
          <w:kern w:val="0"/>
          <w:sz w:val="32"/>
          <w:szCs w:val="32"/>
          <w:shd w:val="clear" w:fill="FFFFFF"/>
          <w:lang w:val="en-US" w:eastAsia="zh-CN" w:bidi="ar"/>
        </w:rPr>
        <w:t>不予发放烟草专卖零售许可证的相关情形</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仿宋_GB2312" w:hAnsi="Calibri" w:eastAsia="仿宋_GB2312" w:cs="仿宋_GB2312"/>
          <w:i w:val="0"/>
          <w:iCs w:val="0"/>
          <w:caps w:val="0"/>
          <w:color w:val="333333"/>
          <w:spacing w:val="0"/>
          <w:kern w:val="0"/>
          <w:sz w:val="32"/>
          <w:szCs w:val="32"/>
          <w:shd w:val="clear" w:fill="FFFFFF"/>
          <w:lang w:val="en-US" w:eastAsia="zh-CN" w:bidi="ar"/>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（十七）第十七条  经营场所不予发放烟草专卖零售许可证的相关情形</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仿宋_GB2312" w:hAnsi="Calibri" w:eastAsia="仿宋_GB2312" w:cs="仿宋_GB2312"/>
          <w:i w:val="0"/>
          <w:iCs w:val="0"/>
          <w:caps w:val="0"/>
          <w:color w:val="333333"/>
          <w:spacing w:val="0"/>
          <w:kern w:val="0"/>
          <w:sz w:val="32"/>
          <w:szCs w:val="32"/>
          <w:shd w:val="clear" w:fill="FFFFFF"/>
          <w:lang w:val="en-US" w:eastAsia="zh-CN" w:bidi="ar"/>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（十八）第十八条  业态类型不予设置零售点的相关情形</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仿宋_GB2312" w:hAnsi="Calibri" w:eastAsia="仿宋_GB2312" w:cs="仿宋_GB2312"/>
          <w:i w:val="0"/>
          <w:iCs w:val="0"/>
          <w:caps w:val="0"/>
          <w:color w:val="333333"/>
          <w:spacing w:val="0"/>
          <w:kern w:val="0"/>
          <w:sz w:val="32"/>
          <w:szCs w:val="32"/>
          <w:shd w:val="clear" w:fill="FFFFFF"/>
          <w:lang w:val="en-US" w:eastAsia="zh-CN" w:bidi="ar"/>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 xml:space="preserve">（十九）第十九条  </w:t>
      </w:r>
      <w:r>
        <w:rPr>
          <w:rFonts w:hint="eastAsia" w:ascii="仿宋_GB2312" w:hAnsi="黑体" w:eastAsia="仿宋_GB2312" w:cs="黑体"/>
          <w:sz w:val="32"/>
          <w:szCs w:val="32"/>
          <w:highlight w:val="none"/>
        </w:rPr>
        <w:t>经营模式</w:t>
      </w:r>
      <w:r>
        <w:rPr>
          <w:rFonts w:hint="eastAsia" w:ascii="仿宋_GB2312" w:hAnsi="Calibri" w:eastAsia="仿宋_GB2312" w:cs="仿宋_GB2312"/>
          <w:i w:val="0"/>
          <w:iCs w:val="0"/>
          <w:caps w:val="0"/>
          <w:color w:val="333333"/>
          <w:spacing w:val="0"/>
          <w:kern w:val="0"/>
          <w:sz w:val="32"/>
          <w:szCs w:val="32"/>
          <w:shd w:val="clear" w:fill="FFFFFF"/>
          <w:lang w:val="en-US" w:eastAsia="zh-CN" w:bidi="ar"/>
        </w:rPr>
        <w:t>不予设置零售点的相关情形</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default" w:ascii="仿宋_GB2312" w:hAnsi="Calibri" w:eastAsia="仿宋_GB2312" w:cs="仿宋_GB2312"/>
          <w:i w:val="0"/>
          <w:iCs w:val="0"/>
          <w:caps w:val="0"/>
          <w:color w:val="333333"/>
          <w:spacing w:val="0"/>
          <w:kern w:val="0"/>
          <w:sz w:val="32"/>
          <w:szCs w:val="32"/>
          <w:shd w:val="clear" w:fill="FFFFFF"/>
          <w:lang w:val="en-US" w:eastAsia="zh-CN" w:bidi="ar"/>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（二十）第二十条  已合法持有烟草专卖零售许可证的零售户不受所在地烟草制品零售点合理布局规划调整影响的规定</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（二十一）第二十一条  相关名词定义解释</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仿宋_GB2312" w:hAnsi="Calibri" w:eastAsia="仿宋_GB2312" w:cs="仿宋_GB2312"/>
          <w:i w:val="0"/>
          <w:iCs w:val="0"/>
          <w:caps w:val="0"/>
          <w:color w:val="333333"/>
          <w:spacing w:val="0"/>
          <w:kern w:val="0"/>
          <w:sz w:val="32"/>
          <w:szCs w:val="32"/>
          <w:shd w:val="clear" w:fill="FFFFFF"/>
          <w:lang w:val="en-US" w:eastAsia="zh-CN" w:bidi="ar"/>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（二十二）第二十二条  市场单元零售点规划数量、间距标准、申请人轮候排序情况公布方式</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default" w:ascii="仿宋_GB2312" w:hAnsi="Calibri" w:eastAsia="仿宋_GB2312" w:cs="仿宋_GB2312"/>
          <w:i w:val="0"/>
          <w:iCs w:val="0"/>
          <w:caps w:val="0"/>
          <w:color w:val="333333"/>
          <w:spacing w:val="0"/>
          <w:kern w:val="0"/>
          <w:sz w:val="32"/>
          <w:szCs w:val="32"/>
          <w:shd w:val="clear" w:fill="FFFFFF"/>
          <w:lang w:val="en-US" w:eastAsia="zh-CN" w:bidi="ar"/>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（二十三）第二十三条、第二十四条  相关解释和法律救济</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default" w:ascii="Calibri" w:hAnsi="Calibri" w:cs="Calibri"/>
          <w:i w:val="0"/>
          <w:iCs w:val="0"/>
          <w:caps w:val="0"/>
          <w:color w:val="333333"/>
          <w:spacing w:val="0"/>
          <w:sz w:val="21"/>
          <w:szCs w:val="21"/>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（二十四）第二十五条  解释权</w:t>
      </w:r>
    </w:p>
    <w:p>
      <w:pPr>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400" w:lineRule="exact"/>
        <w:ind w:left="0" w:right="0" w:firstLine="640" w:firstLineChars="200"/>
        <w:jc w:val="both"/>
        <w:textAlignment w:val="auto"/>
        <w:rPr>
          <w:rFonts w:hint="eastAsia" w:ascii="仿宋_GB2312" w:hAnsi="Calibri" w:eastAsia="仿宋_GB2312" w:cs="仿宋_GB2312"/>
          <w:i w:val="0"/>
          <w:iCs w:val="0"/>
          <w:caps w:val="0"/>
          <w:color w:val="333333"/>
          <w:spacing w:val="0"/>
          <w:kern w:val="0"/>
          <w:sz w:val="32"/>
          <w:szCs w:val="32"/>
          <w:shd w:val="clear" w:fill="FFFFFF"/>
          <w:lang w:val="en-US" w:eastAsia="zh-CN" w:bidi="ar"/>
        </w:rPr>
      </w:pPr>
      <w:r>
        <w:rPr>
          <w:rFonts w:hint="eastAsia" w:ascii="仿宋_GB2312" w:hAnsi="Calibri" w:eastAsia="仿宋_GB2312" w:cs="仿宋_GB2312"/>
          <w:i w:val="0"/>
          <w:iCs w:val="0"/>
          <w:caps w:val="0"/>
          <w:color w:val="333333"/>
          <w:spacing w:val="0"/>
          <w:kern w:val="0"/>
          <w:sz w:val="32"/>
          <w:szCs w:val="32"/>
          <w:shd w:val="clear" w:fill="FFFFFF"/>
          <w:lang w:val="en-US" w:eastAsia="zh-CN" w:bidi="ar"/>
        </w:rPr>
        <w:t>（二十五）第二十六条  实施及废止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s>
  <w:rsids>
    <w:rsidRoot w:val="5ADC6A51"/>
    <w:rsid w:val="0E367C5D"/>
    <w:rsid w:val="1FC84208"/>
    <w:rsid w:val="23E96E78"/>
    <w:rsid w:val="26472DAE"/>
    <w:rsid w:val="381163F3"/>
    <w:rsid w:val="4574354D"/>
    <w:rsid w:val="5ADC6A51"/>
    <w:rsid w:val="5E9C31CB"/>
    <w:rsid w:val="750951B1"/>
    <w:rsid w:val="7E610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5756</Words>
  <Characters>5825</Characters>
  <Lines>0</Lines>
  <Paragraphs>0</Paragraphs>
  <TotalTime>88</TotalTime>
  <ScaleCrop>false</ScaleCrop>
  <LinksUpToDate>false</LinksUpToDate>
  <CharactersWithSpaces>5927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2023-11-20T09:51:00Z</dcterms:created>
  <dc:creator>姜文君</dc:creator>
  <cp:lastModifiedBy>微信用户</cp:lastModifiedBy>
  <cp:lastPrinted>2023-11-21T02:17:00Z</cp:lastPrinted>
  <dcterms:modified xsi:type="dcterms:W3CDTF">2023-12-06T01:20:52Z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A06D9F4FF3FB4E21A04A18B3486F2E85_13</vt:lpwstr>
  </property>
</Properties>
</file>