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center"/>
        <w:rPr>
          <w:rFonts w:ascii="Times New Roman" w:hAnsi="Times New Roman" w:eastAsia="方正小标宋_GBK" w:cs="Times New Roman"/>
          <w:color w:val="000000"/>
          <w:w w:val="70"/>
          <w:sz w:val="120"/>
          <w:szCs w:val="120"/>
        </w:rPr>
      </w:pPr>
    </w:p>
    <w:p>
      <w:pPr>
        <w:adjustRightInd w:val="0"/>
        <w:snapToGrid w:val="0"/>
        <w:spacing w:line="1400" w:lineRule="exact"/>
        <w:jc w:val="center"/>
        <w:rPr>
          <w:rFonts w:ascii="Times New Roman" w:hAnsi="Times New Roman" w:eastAsia="方正小标宋简体" w:cs="Times New Roman"/>
          <w:color w:val="FFFFFF" w:themeColor="background1"/>
          <w:spacing w:val="4"/>
          <w:w w:val="48"/>
          <w:sz w:val="130"/>
          <w:szCs w:val="130"/>
        </w:rPr>
      </w:pPr>
      <w:r>
        <w:rPr>
          <w:rFonts w:ascii="Times New Roman" w:hAnsi="Times New Roman" w:eastAsia="方正小标宋简体" w:cs="Times New Roman"/>
          <w:color w:val="FFFFFF" w:themeColor="background1"/>
          <w:w w:val="48"/>
          <w:sz w:val="130"/>
          <w:szCs w:val="130"/>
        </w:rPr>
        <w:t>济宁市兖州区教育和体育局文件</w:t>
      </w:r>
    </w:p>
    <w:p>
      <w:pPr>
        <w:adjustRightInd w:val="0"/>
        <w:snapToGrid w:val="0"/>
        <w:spacing w:line="1400" w:lineRule="exact"/>
        <w:rPr>
          <w:rFonts w:ascii="Times New Roman" w:hAnsi="Times New Roman" w:eastAsia="方正小标宋_GBK" w:cs="Times New Roman"/>
          <w:color w:val="000000"/>
          <w:spacing w:val="20"/>
          <w:w w:val="70"/>
          <w:sz w:val="120"/>
          <w:szCs w:val="120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pacing w:val="20"/>
          <w:w w:val="70"/>
          <w:sz w:val="120"/>
          <w:szCs w:val="120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兖教体发〔2023〕3号</w:t>
      </w:r>
      <w:bookmarkStart w:id="0" w:name="_GoBack"/>
      <w:bookmarkEnd w:id="0"/>
    </w:p>
    <w:p>
      <w:pPr>
        <w:spacing w:line="700" w:lineRule="atLeast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>
      <w:pPr>
        <w:spacing w:line="700" w:lineRule="atLeast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>
      <w:pPr>
        <w:pStyle w:val="9"/>
        <w:widowControl w:val="0"/>
        <w:snapToGrid w:val="0"/>
        <w:spacing w:before="0" w:after="0" w:line="560" w:lineRule="exact"/>
        <w:textAlignment w:val="baseline"/>
        <w:outlineLvl w:val="9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方正小标宋简体" w:eastAsia="方正小标宋简体" w:cs="Times New Roman"/>
          <w:b w:val="0"/>
          <w:bCs w:val="0"/>
          <w:color w:val="000000"/>
          <w:sz w:val="44"/>
          <w:szCs w:val="44"/>
        </w:rPr>
        <w:t>关于印发《</w:t>
      </w:r>
      <w:r>
        <w:rPr>
          <w:rFonts w:ascii="Times New Roman" w:hAnsi="方正小标宋简体" w:eastAsia="方正小标宋简体" w:cs="Times New Roman"/>
          <w:b w:val="0"/>
          <w:bCs w:val="0"/>
          <w:sz w:val="44"/>
          <w:szCs w:val="44"/>
        </w:rPr>
        <w:t>济宁市兖州区中小学、幼儿园</w:t>
      </w:r>
    </w:p>
    <w:p>
      <w:pPr>
        <w:pStyle w:val="9"/>
        <w:widowControl w:val="0"/>
        <w:snapToGrid w:val="0"/>
        <w:spacing w:before="0" w:after="0" w:line="560" w:lineRule="exact"/>
        <w:textAlignment w:val="baseline"/>
        <w:outlineLvl w:val="9"/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ascii="Times New Roman" w:hAnsi="方正小标宋简体" w:eastAsia="方正小标宋简体" w:cs="Times New Roman"/>
          <w:b w:val="0"/>
          <w:bCs w:val="0"/>
          <w:sz w:val="44"/>
          <w:szCs w:val="44"/>
        </w:rPr>
        <w:t>新教师三年培养规划（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2022—2025</w:t>
      </w:r>
      <w:r>
        <w:rPr>
          <w:rFonts w:ascii="Times New Roman" w:hAnsi="方正小标宋简体" w:eastAsia="方正小标宋简体" w:cs="Times New Roman"/>
          <w:b w:val="0"/>
          <w:bCs w:val="0"/>
          <w:sz w:val="44"/>
          <w:szCs w:val="44"/>
        </w:rPr>
        <w:t>）</w:t>
      </w:r>
      <w:r>
        <w:rPr>
          <w:rFonts w:ascii="Times New Roman" w:hAnsi="方正小标宋简体" w:eastAsia="方正小标宋简体" w:cs="Times New Roman"/>
          <w:b w:val="0"/>
          <w:bCs w:val="0"/>
          <w:color w:val="000000"/>
          <w:sz w:val="44"/>
          <w:szCs w:val="44"/>
        </w:rPr>
        <w:t>》的</w:t>
      </w:r>
    </w:p>
    <w:p>
      <w:pPr>
        <w:pStyle w:val="9"/>
        <w:widowControl w:val="0"/>
        <w:snapToGrid w:val="0"/>
        <w:spacing w:before="0" w:after="0" w:line="560" w:lineRule="exact"/>
        <w:textAlignment w:val="baseline"/>
        <w:outlineLvl w:val="9"/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ascii="Times New Roman" w:hAnsi="方正小标宋简体" w:eastAsia="方正小标宋简体" w:cs="Times New Roman"/>
          <w:b w:val="0"/>
          <w:bCs w:val="0"/>
          <w:color w:val="000000"/>
          <w:sz w:val="44"/>
          <w:szCs w:val="44"/>
        </w:rPr>
        <w:t>通</w:t>
      </w:r>
      <w:r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 xml:space="preserve">  </w:t>
      </w:r>
      <w:r>
        <w:rPr>
          <w:rFonts w:ascii="Times New Roman" w:hAnsi="方正小标宋简体" w:eastAsia="方正小标宋简体" w:cs="Times New Roman"/>
          <w:b w:val="0"/>
          <w:bCs w:val="0"/>
          <w:color w:val="000000"/>
          <w:sz w:val="44"/>
          <w:szCs w:val="44"/>
        </w:rPr>
        <w:t>知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widowControl w:val="0"/>
        <w:snapToGrid w:val="0"/>
        <w:spacing w:line="560" w:lineRule="exact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各镇（街）教委、区直各中小学、幼儿园、区直有关单位：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现将《济宁市兖州区中小学、幼儿园新教师三年培养规划（2022—2025）》印发给你们，请认真贯彻执行。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 w:val="0"/>
        <w:snapToGrid w:val="0"/>
        <w:spacing w:line="560" w:lineRule="exact"/>
        <w:ind w:firstLine="640" w:firstLineChars="200"/>
        <w:jc w:val="right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济宁市兖州区教育和体育局</w:t>
      </w:r>
    </w:p>
    <w:p>
      <w:pPr>
        <w:widowControl w:val="0"/>
        <w:wordWrap w:val="0"/>
        <w:snapToGrid w:val="0"/>
        <w:spacing w:line="560" w:lineRule="exact"/>
        <w:ind w:firstLine="640" w:firstLineChars="200"/>
        <w:jc w:val="right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2023年1月9日      </w:t>
      </w:r>
    </w:p>
    <w:p>
      <w:pPr>
        <w:autoSpaceDE/>
        <w:autoSpaceDN/>
        <w:spacing w:line="520" w:lineRule="exact"/>
        <w:ind w:firstLine="640" w:firstLineChars="200"/>
        <w:jc w:val="left"/>
        <w:outlineLvl w:val="0"/>
        <w:rPr>
          <w:rFonts w:ascii="Times New Roman" w:hAnsi="Times New Roman" w:cs="Times New Roman"/>
          <w:color w:val="000000"/>
          <w:sz w:val="32"/>
          <w:szCs w:val="32"/>
        </w:rPr>
      </w:pP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（此件主动公开）</w:t>
      </w:r>
    </w:p>
    <w:p>
      <w:pPr>
        <w:autoSpaceDE/>
        <w:autoSpaceDN/>
        <w:spacing w:line="520" w:lineRule="exact"/>
        <w:ind w:firstLine="640" w:firstLineChars="200"/>
        <w:jc w:val="left"/>
        <w:outlineLvl w:val="0"/>
        <w:rPr>
          <w:rFonts w:ascii="Times New Roman" w:hAnsi="Times New Roman" w:cs="Times New Roman"/>
          <w:color w:val="000000"/>
          <w:sz w:val="32"/>
          <w:szCs w:val="32"/>
        </w:rPr>
      </w:pPr>
    </w:p>
    <w:p>
      <w:pPr>
        <w:autoSpaceDE/>
        <w:autoSpaceDN/>
        <w:spacing w:line="520" w:lineRule="exact"/>
        <w:ind w:right="24" w:firstLine="4858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>
      <w:pPr>
        <w:pStyle w:val="9"/>
        <w:widowControl w:val="0"/>
        <w:snapToGrid w:val="0"/>
        <w:spacing w:before="0" w:after="0" w:line="560" w:lineRule="exact"/>
        <w:textAlignment w:val="baseline"/>
        <w:outlineLvl w:val="9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方正小标宋简体" w:eastAsia="方正小标宋简体" w:cs="Times New Roman"/>
          <w:b w:val="0"/>
          <w:bCs w:val="0"/>
          <w:sz w:val="44"/>
          <w:szCs w:val="44"/>
        </w:rPr>
        <w:t>济宁市兖州区中小学、幼儿园新教师三年</w:t>
      </w:r>
    </w:p>
    <w:p>
      <w:pPr>
        <w:pStyle w:val="9"/>
        <w:widowControl w:val="0"/>
        <w:snapToGrid w:val="0"/>
        <w:spacing w:before="0" w:after="0" w:line="560" w:lineRule="exact"/>
        <w:textAlignment w:val="baseline"/>
        <w:outlineLvl w:val="9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方正小标宋简体" w:eastAsia="方正小标宋简体" w:cs="Times New Roman"/>
          <w:b w:val="0"/>
          <w:bCs w:val="0"/>
          <w:sz w:val="44"/>
          <w:szCs w:val="44"/>
        </w:rPr>
        <w:t>培养规划（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2022—2025</w:t>
      </w:r>
      <w:r>
        <w:rPr>
          <w:rFonts w:ascii="Times New Roman" w:hAnsi="方正小标宋简体" w:eastAsia="方正小标宋简体" w:cs="Times New Roman"/>
          <w:b w:val="0"/>
          <w:bCs w:val="0"/>
          <w:sz w:val="44"/>
          <w:szCs w:val="44"/>
        </w:rPr>
        <w:t>）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促进新教师尽快适应岗位要求，提高教育教学能力，为我区教育事业高质量发展提供师资保障，根据《济宁市兖州区教育高质量发展三年行动计划》、《兖州区中小学教学管理基本规范（试行）》等文件精神，结合我区实际，特制订本培养规划。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一、培养对象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我区2022年新入职教师，包括事业单位公开招聘教师、公费师范生安置教师、“优才计划”引进人员等。     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二、任务目标</w:t>
      </w:r>
    </w:p>
    <w:p>
      <w:pPr>
        <w:pStyle w:val="8"/>
        <w:widowControl w:val="0"/>
        <w:autoSpaceDE/>
        <w:autoSpaceDN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全面贯彻党的教育方针，落实立德树人根本任务，遵循教师成长发展规律，以提升新教师思想政治素质、师德师风水平和教育教学能力为重点，通过三年递进式规范化培训，促进新教师自觉遵守职业规范，掌握教育教学理论和学科教学方法，形成教学基本能力，扣好职业生涯“第一粒扣子”，提升新教师教书育人能力。</w:t>
      </w:r>
    </w:p>
    <w:p>
      <w:pPr>
        <w:pStyle w:val="8"/>
        <w:widowControl w:val="0"/>
        <w:autoSpaceDE/>
        <w:autoSpaceDN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（一）引领新教师坚定职业理想与信念，强化为党育人、为国育才的职业使命，增进职业领悟，规范职业行为，修炼职业形象。</w:t>
      </w:r>
    </w:p>
    <w:p>
      <w:pPr>
        <w:pStyle w:val="8"/>
        <w:widowControl w:val="0"/>
        <w:autoSpaceDE/>
        <w:autoSpaceDN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（二）指导新教师掌握学生学习及基本教学规律，学会课程教材分析、学情分析、教学设计、课堂管理和教学评价。</w:t>
      </w:r>
    </w:p>
    <w:p>
      <w:pPr>
        <w:pStyle w:val="8"/>
        <w:widowControl w:val="0"/>
        <w:autoSpaceDE/>
        <w:autoSpaceDN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（三）指导新教师掌握学生身心发展规律，提升班级管理能力，提高与学生、家长沟通水平，营造良好育人氛围。</w:t>
      </w:r>
    </w:p>
    <w:p>
      <w:pPr>
        <w:pStyle w:val="8"/>
        <w:widowControl w:val="0"/>
        <w:autoSpaceDE/>
        <w:autoSpaceDN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（四）帮助新教师形成教学研究意识，熟悉观课评课、教学反思、案例研究等教学研究方法和途径，掌握信息技术基础应用技能。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三、培养办法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新教师培养以三学年为一个周期，按照“一年合格，两年胜任，三年成才”的目标梯次推进，由区教师教育发展服务中心、区教研中心、教师任职学校及跟岗学校共同组织完成。培养周期分为三个阶段：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（一）第一阶段（2022至2023学年）。</w:t>
      </w:r>
      <w:r>
        <w:rPr>
          <w:rFonts w:ascii="Times New Roman" w:hAnsi="Times New Roman" w:eastAsia="仿宋_GB2312" w:cs="Times New Roman"/>
          <w:sz w:val="32"/>
          <w:szCs w:val="32"/>
        </w:rPr>
        <w:t>组织开展新教师集中培训、校本培养、跟岗学习等活动。</w:t>
      </w:r>
    </w:p>
    <w:p>
      <w:pPr>
        <w:pStyle w:val="8"/>
        <w:widowControl w:val="0"/>
        <w:spacing w:beforeAutospacing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集中培训。集中培训由区教师教育发展服务中心组织实施，培训不少于120学时。培训内容主要包括思想政治、师德与教育法规、教学基本功与教学实践、学生学习与身心发展、班级管理与班主任工作、教育研究与生涯发展等。研修方式主要为专题讲座、案例分享、体验探究、小组合作等。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校本培养。校本培养贯穿于三年培养全程，由新教师任职学校组织实施。主要采取师徒结对、同伴互助、案例研究、自我反思等方式，组织开展新教师课堂观摩、心得交流等活动，重点关注新教师课堂教学表现、班级管理实践、教学反思与问题探究意识等培养，引导新教师将培训学习知识转化为自觉的教学行为，尽快适应教师岗位需求。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跟岗学习。区教体局分学段学科选取学校作为新教师跟岗学习基地，组织新教师跟岗学习。基地学校选派指导教师团队对新教师进行结对指导，指导教师通过对新教师课堂教学表现、班级管理实践、教学反思与问题探究意识等进行观察和诊断，及时反馈改进意见，并组织新教师开展专题研讨、观摩名优课堂、交流学习心得等针对性实践活动。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跟岗学习贯穿新教师三年培养周期，每学年到基地跟岗学习一至二次，周期内跟岗学习累计时间不少于一个月。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（二）第二阶段（2023至2024学年）。</w:t>
      </w:r>
      <w:r>
        <w:rPr>
          <w:rFonts w:ascii="Times New Roman" w:hAnsi="Times New Roman" w:eastAsia="仿宋_GB2312" w:cs="Times New Roman"/>
          <w:sz w:val="32"/>
          <w:szCs w:val="32"/>
        </w:rPr>
        <w:t>主要采用校内实践研修方式，持续强化第一阶段培训内容的理解、应用。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教研成长。由新教师任职学校组织实施，</w:t>
      </w:r>
      <w:r>
        <w:rPr>
          <w:rFonts w:ascii="Times New Roman" w:hAnsi="Times New Roman" w:eastAsia="仿宋" w:cs="Times New Roman"/>
          <w:sz w:val="32"/>
          <w:szCs w:val="32"/>
        </w:rPr>
        <w:t>以学校名师工作室、教研组为依托，组织新教师积极参与教育教学研究活动，安排承担力所能及的教研任务，拓宽教育教学视野，加快成长进程。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．教学诊断。新教师任职学校每学期组织新教师开展不少于两次教学公开课活动，由校内指导团队进行观评课，对新教师课堂教学的表现、教育教学能力以及存在问题提出针对性指导意见，引领新教师专业成长提升，帮助新教师明确专业发展方向。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3</w:t>
      </w:r>
      <w:r>
        <w:rPr>
          <w:rFonts w:ascii="Times New Roman" w:hAnsi="Times New Roman" w:eastAsia="仿宋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技能达标。由区教研中心、教师教育发展服务中心联合组织实施。组织对新教师开展教学设计、硬笔书法、信息技术教学应用、教育智慧呈现等教学技能达标活动。通过达标活动，促进新教师基本教学技能提升。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（三）第三阶段（2024至2025学年）。</w:t>
      </w:r>
      <w:r>
        <w:rPr>
          <w:rFonts w:ascii="Times New Roman" w:hAnsi="Times New Roman" w:eastAsia="仿宋_GB2312" w:cs="Times New Roman"/>
          <w:sz w:val="32"/>
          <w:szCs w:val="32"/>
        </w:rPr>
        <w:t>主要发挥区教研、教师发展机构的组织指导、追踪评价作用，在区级优质教育资源与环境浸润中提升新教师专业素养。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．成长分享。由区教师教育发展服务中心组织新教师成长心得交流活动，从教学常规、教育管理、家校沟通等方面，组织优秀新教师选取典型案例，与同伴分享成长经验，汲取教训，用反思的力量、榜样的作用引领新教师快速成长。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2．课堂展示。区教研中心、区教师教育发展服务中心联合组织新教师课堂展示活动，由区教研员、区名师工作室主持人对展示课进行点评指导，进一步提高新教师课堂把控能力。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3．培养提升。在新教师专业素养初步形成的基础上，区教师教育发展服务中心筛选部分表现优秀的新教师，统筹区优质教育资源有针对性的进行重点培养，并推荐为</w:t>
      </w:r>
      <w:r>
        <w:rPr>
          <w:rFonts w:ascii="Times New Roman" w:hAnsi="Times New Roman" w:eastAsia="仿宋_GB2312" w:cs="Times New Roman"/>
          <w:sz w:val="32"/>
          <w:szCs w:val="32"/>
        </w:rPr>
        <w:t>区名师工作室实习学员，参与名师工作室活动。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四、考核评价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遵循“整体推进、重点培育、全面提高”的原则，坚持过程性考核与终结性评价相结合，分阶段进行考核评价。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第一阶段：</w:t>
      </w:r>
      <w:r>
        <w:rPr>
          <w:rFonts w:ascii="Times New Roman" w:hAnsi="Times New Roman" w:eastAsia="仿宋_GB2312" w:cs="Times New Roman"/>
          <w:sz w:val="32"/>
          <w:szCs w:val="32"/>
        </w:rPr>
        <w:t>对新教师在集中培训、校内实践、跟岗学习中的表现进行综合考核，根据考核情况，划分优秀、合格等次。经考核合格及以上的，颁发《新教师试用期培训结业证书》，记录新教师试用期培训72学分；考核为优秀等级次，颁发“优秀学员”证书。第一阶段考核由区教师教育发展服务中心、教师任职学校、跟岗学校共同组织实施。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第二阶段：</w:t>
      </w:r>
      <w:r>
        <w:rPr>
          <w:rFonts w:ascii="Times New Roman" w:hAnsi="Times New Roman" w:eastAsia="仿宋_GB2312" w:cs="Times New Roman"/>
          <w:sz w:val="32"/>
          <w:szCs w:val="32"/>
        </w:rPr>
        <w:t>侧重对新教师教学技能的达标情况进行考评。根据考评结果，划分优秀、合格、不合格三个等次，合格及以上的，颁发《新教师教学技能达标证书》。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第三阶段：</w:t>
      </w:r>
      <w:r>
        <w:rPr>
          <w:rFonts w:ascii="Times New Roman" w:hAnsi="Times New Roman" w:eastAsia="仿宋_GB2312" w:cs="Times New Roman"/>
          <w:sz w:val="32"/>
          <w:szCs w:val="32"/>
        </w:rPr>
        <w:t>侧重对新教师课堂教学能力的考核，综合新教师课堂展示及第一、第二阶段考核结果，评选出部分优秀教师，授予“教坛新秀”荣誉称号。</w:t>
      </w:r>
    </w:p>
    <w:p>
      <w:pPr>
        <w:widowControl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五、职责分工</w:t>
      </w:r>
    </w:p>
    <w:p>
      <w:pPr>
        <w:pStyle w:val="8"/>
        <w:widowControl w:val="0"/>
        <w:autoSpaceDE/>
        <w:autoSpaceDN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按照“区级统筹、多方参与、自主发展”的思路，组织实施新教师三年培养。</w:t>
      </w:r>
    </w:p>
    <w:p>
      <w:pPr>
        <w:pStyle w:val="8"/>
        <w:widowControl w:val="0"/>
        <w:autoSpaceDE/>
        <w:autoSpaceDN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（一）区教体局统筹新教师培养工作，负责制定全区新教师培养规划和实施方案，加强培训指导团队建设，选好跟岗学习基地，规范组织实施新教师入职培训。</w:t>
      </w:r>
    </w:p>
    <w:p>
      <w:pPr>
        <w:pStyle w:val="8"/>
        <w:widowControl w:val="0"/>
        <w:autoSpaceDE/>
        <w:autoSpaceDN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区教师教育发展服务中心负责制定年度培训计划和实施方案，具体组织实施新教师培训工作，设置课程内容，指导新教师制定《新教师个人三年成长规划》，加强培训指导团队建设；健全培训管理制度和激励机制，发掘、培育、推广典型经验和优秀成果，构建新教师学习与发展支持服务体系。</w:t>
      </w:r>
    </w:p>
    <w:p>
      <w:pPr>
        <w:pStyle w:val="8"/>
        <w:widowControl w:val="0"/>
        <w:autoSpaceDE/>
        <w:autoSpaceDN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（三）区教研中心组建由教研员、名师工作室成员、区级骨干教师等组成的指导教师团队，利用区内优秀教育资源对新教师实施三年培养周期内跟踪指导。</w:t>
      </w:r>
    </w:p>
    <w:p>
      <w:pPr>
        <w:pStyle w:val="8"/>
        <w:widowControl w:val="0"/>
        <w:autoSpaceDE/>
        <w:autoSpaceDN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新教师所在学校要认真履行培训主体责任，制定新教师三年培养方案，为新教师选派帮扶结对教师，建立新教师培训管理制度；支持新教师专业学习，提供必要的学习条件和时间保障，做实校内实践的过程监管和考核评估。</w:t>
      </w:r>
    </w:p>
    <w:p>
      <w:pPr>
        <w:pStyle w:val="8"/>
        <w:widowControl w:val="0"/>
        <w:autoSpaceDE/>
        <w:autoSpaceDN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（五）跟岗学校要制定新教师跟岗培训方案，为新教师选派指导教师，在新教师跟岗学习期间给予专业指导，做实跟岗学习的过程监管和考核评估。</w:t>
      </w:r>
    </w:p>
    <w:p>
      <w:pPr>
        <w:pStyle w:val="8"/>
        <w:widowControl w:val="0"/>
        <w:autoSpaceDE/>
        <w:autoSpaceDN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新教师要进行自我诊断，找准自身短板，明确学习目标任务，制定个人培训计划和专业发展规划；自觉参加培训，将培训学习与教育教学实践紧密结合，提升岗位适应能力；认真总结反思，提炼生成代表性成果，积极参加成果展示活动，促进自我持续发展。</w:t>
      </w:r>
    </w:p>
    <w:p>
      <w:pPr>
        <w:widowControl w:val="0"/>
        <w:spacing w:line="560" w:lineRule="exact"/>
        <w:ind w:firstLine="420" w:firstLineChars="200"/>
        <w:rPr>
          <w:rFonts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06934"/>
      <w:docPartObj>
        <w:docPartGallery w:val="AutoText"/>
      </w:docPartObj>
    </w:sdtPr>
    <w:sdtContent>
      <w:p>
        <w:pPr>
          <w:pStyle w:val="5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0694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00"/>
  <w:evenAndOddHeaders w:val="1"/>
  <w:drawingGridHorizontalSpacing w:val="120"/>
  <w:displayHorizontalDrawingGridEvery w:val="2"/>
  <w:noPunctuationKerning w:val="1"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YWJkMDZiODQ1M2JhMjVlNzdlYjI0MmZmZGUyNzIifQ=="/>
  </w:docVars>
  <w:rsids>
    <w:rsidRoot w:val="005F58BE"/>
    <w:rsid w:val="00006A2B"/>
    <w:rsid w:val="00014BE3"/>
    <w:rsid w:val="0002459F"/>
    <w:rsid w:val="00043376"/>
    <w:rsid w:val="00044045"/>
    <w:rsid w:val="00044F42"/>
    <w:rsid w:val="00093E66"/>
    <w:rsid w:val="000B0A6A"/>
    <w:rsid w:val="000C3456"/>
    <w:rsid w:val="000C567B"/>
    <w:rsid w:val="000E3A0A"/>
    <w:rsid w:val="000F734A"/>
    <w:rsid w:val="0011489A"/>
    <w:rsid w:val="00132DDB"/>
    <w:rsid w:val="00156673"/>
    <w:rsid w:val="00163199"/>
    <w:rsid w:val="00172738"/>
    <w:rsid w:val="00177B6B"/>
    <w:rsid w:val="001B5EE1"/>
    <w:rsid w:val="001D4057"/>
    <w:rsid w:val="001D5FDC"/>
    <w:rsid w:val="001F13F3"/>
    <w:rsid w:val="001F6149"/>
    <w:rsid w:val="0024267F"/>
    <w:rsid w:val="00244A0D"/>
    <w:rsid w:val="00270CCD"/>
    <w:rsid w:val="002A0FD5"/>
    <w:rsid w:val="002A5C57"/>
    <w:rsid w:val="002C7574"/>
    <w:rsid w:val="002C79CF"/>
    <w:rsid w:val="002D4F0E"/>
    <w:rsid w:val="002D7789"/>
    <w:rsid w:val="002E626D"/>
    <w:rsid w:val="00306DDB"/>
    <w:rsid w:val="003074BB"/>
    <w:rsid w:val="00310F6E"/>
    <w:rsid w:val="003238CE"/>
    <w:rsid w:val="0032630B"/>
    <w:rsid w:val="003356CA"/>
    <w:rsid w:val="003400B6"/>
    <w:rsid w:val="00345AAC"/>
    <w:rsid w:val="003524D4"/>
    <w:rsid w:val="00354F72"/>
    <w:rsid w:val="00356610"/>
    <w:rsid w:val="003943AD"/>
    <w:rsid w:val="003963E4"/>
    <w:rsid w:val="003A140D"/>
    <w:rsid w:val="003B41A6"/>
    <w:rsid w:val="003D0594"/>
    <w:rsid w:val="003D2F6E"/>
    <w:rsid w:val="003D5891"/>
    <w:rsid w:val="003E6276"/>
    <w:rsid w:val="003F11F5"/>
    <w:rsid w:val="004017EE"/>
    <w:rsid w:val="00423B9A"/>
    <w:rsid w:val="00425A85"/>
    <w:rsid w:val="0045458E"/>
    <w:rsid w:val="00465F14"/>
    <w:rsid w:val="004A5CDC"/>
    <w:rsid w:val="004C7C87"/>
    <w:rsid w:val="004D1E05"/>
    <w:rsid w:val="004F19F0"/>
    <w:rsid w:val="0050245D"/>
    <w:rsid w:val="00525730"/>
    <w:rsid w:val="00526F54"/>
    <w:rsid w:val="005442E4"/>
    <w:rsid w:val="00545FD8"/>
    <w:rsid w:val="005639EC"/>
    <w:rsid w:val="00567571"/>
    <w:rsid w:val="00575C35"/>
    <w:rsid w:val="005A62D2"/>
    <w:rsid w:val="005B2E31"/>
    <w:rsid w:val="005F58BE"/>
    <w:rsid w:val="00602663"/>
    <w:rsid w:val="0065115C"/>
    <w:rsid w:val="00673005"/>
    <w:rsid w:val="00697ECF"/>
    <w:rsid w:val="006A4615"/>
    <w:rsid w:val="006C596B"/>
    <w:rsid w:val="006D794B"/>
    <w:rsid w:val="006E409A"/>
    <w:rsid w:val="006F0F95"/>
    <w:rsid w:val="00711AA1"/>
    <w:rsid w:val="00724B59"/>
    <w:rsid w:val="00754202"/>
    <w:rsid w:val="00797C13"/>
    <w:rsid w:val="007A6EA6"/>
    <w:rsid w:val="007C201B"/>
    <w:rsid w:val="007D5F4C"/>
    <w:rsid w:val="007F2ED0"/>
    <w:rsid w:val="008474E9"/>
    <w:rsid w:val="00872923"/>
    <w:rsid w:val="008933AF"/>
    <w:rsid w:val="008E06EB"/>
    <w:rsid w:val="008E215E"/>
    <w:rsid w:val="00906790"/>
    <w:rsid w:val="00911F5B"/>
    <w:rsid w:val="00924749"/>
    <w:rsid w:val="00932025"/>
    <w:rsid w:val="0098758F"/>
    <w:rsid w:val="00987B44"/>
    <w:rsid w:val="009A0B7C"/>
    <w:rsid w:val="009A7B71"/>
    <w:rsid w:val="009B0C94"/>
    <w:rsid w:val="009B5D0F"/>
    <w:rsid w:val="009C7433"/>
    <w:rsid w:val="009D77D9"/>
    <w:rsid w:val="009F1B33"/>
    <w:rsid w:val="00A070A5"/>
    <w:rsid w:val="00A53F2B"/>
    <w:rsid w:val="00A57B0D"/>
    <w:rsid w:val="00A71DB2"/>
    <w:rsid w:val="00A86EAB"/>
    <w:rsid w:val="00AA4AA8"/>
    <w:rsid w:val="00AA73D0"/>
    <w:rsid w:val="00AC4521"/>
    <w:rsid w:val="00AE4F87"/>
    <w:rsid w:val="00AE6BCF"/>
    <w:rsid w:val="00AE7683"/>
    <w:rsid w:val="00B14B25"/>
    <w:rsid w:val="00B32242"/>
    <w:rsid w:val="00B973FE"/>
    <w:rsid w:val="00BC3089"/>
    <w:rsid w:val="00BD3DC7"/>
    <w:rsid w:val="00C20500"/>
    <w:rsid w:val="00C37CF4"/>
    <w:rsid w:val="00C6391E"/>
    <w:rsid w:val="00C6451F"/>
    <w:rsid w:val="00CA10D4"/>
    <w:rsid w:val="00CA15FB"/>
    <w:rsid w:val="00CB1C87"/>
    <w:rsid w:val="00CB39E4"/>
    <w:rsid w:val="00D00116"/>
    <w:rsid w:val="00D10128"/>
    <w:rsid w:val="00D23050"/>
    <w:rsid w:val="00D77163"/>
    <w:rsid w:val="00D90CAF"/>
    <w:rsid w:val="00DA1298"/>
    <w:rsid w:val="00DC201B"/>
    <w:rsid w:val="00DE2313"/>
    <w:rsid w:val="00DF3EB9"/>
    <w:rsid w:val="00DF4727"/>
    <w:rsid w:val="00E3187D"/>
    <w:rsid w:val="00E32AC6"/>
    <w:rsid w:val="00E360D7"/>
    <w:rsid w:val="00E7512C"/>
    <w:rsid w:val="00E82AE0"/>
    <w:rsid w:val="00EB0FC3"/>
    <w:rsid w:val="00EC201C"/>
    <w:rsid w:val="00EC7E82"/>
    <w:rsid w:val="00EF58D3"/>
    <w:rsid w:val="00F01A79"/>
    <w:rsid w:val="00F160FA"/>
    <w:rsid w:val="00F3574A"/>
    <w:rsid w:val="00F4443C"/>
    <w:rsid w:val="00F67E0F"/>
    <w:rsid w:val="00F7474A"/>
    <w:rsid w:val="00F8712F"/>
    <w:rsid w:val="02EB738D"/>
    <w:rsid w:val="091635F1"/>
    <w:rsid w:val="0F0E18EA"/>
    <w:rsid w:val="104E05F5"/>
    <w:rsid w:val="12555A81"/>
    <w:rsid w:val="17F85A49"/>
    <w:rsid w:val="1971007E"/>
    <w:rsid w:val="1A3B730B"/>
    <w:rsid w:val="1E056537"/>
    <w:rsid w:val="1F4E5D32"/>
    <w:rsid w:val="249F044E"/>
    <w:rsid w:val="25023923"/>
    <w:rsid w:val="2CBF0EEA"/>
    <w:rsid w:val="2E870919"/>
    <w:rsid w:val="306E7FE2"/>
    <w:rsid w:val="31784B8E"/>
    <w:rsid w:val="32D14858"/>
    <w:rsid w:val="35780291"/>
    <w:rsid w:val="3879140C"/>
    <w:rsid w:val="3AA64546"/>
    <w:rsid w:val="3C920BB5"/>
    <w:rsid w:val="3CA0540F"/>
    <w:rsid w:val="3EDC6A5F"/>
    <w:rsid w:val="42B20202"/>
    <w:rsid w:val="42E65D5B"/>
    <w:rsid w:val="47692093"/>
    <w:rsid w:val="4E201B77"/>
    <w:rsid w:val="53CC0A13"/>
    <w:rsid w:val="59FD7B5D"/>
    <w:rsid w:val="5DA659AE"/>
    <w:rsid w:val="642E7A8E"/>
    <w:rsid w:val="68304FEE"/>
    <w:rsid w:val="6AFC176B"/>
    <w:rsid w:val="6B2F1B41"/>
    <w:rsid w:val="73EB7799"/>
    <w:rsid w:val="773D3837"/>
    <w:rsid w:val="7E260B81"/>
    <w:rsid w:val="7E6A3E9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jc w:val="both"/>
    </w:pPr>
    <w:rPr>
      <w:rFonts w:ascii="Calibri" w:hAnsi="宋体" w:eastAsia="宋体" w:cs="宋体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7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页眉 Char"/>
    <w:basedOn w:val="11"/>
    <w:link w:val="6"/>
    <w:qFormat/>
    <w:uiPriority w:val="99"/>
    <w:rPr>
      <w:rFonts w:ascii="Calibri" w:hAnsi="宋体" w:cs="宋体"/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rFonts w:ascii="Calibri" w:hAnsi="宋体" w:cs="宋体"/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rFonts w:ascii="Calibri" w:hAnsi="宋体" w:cs="宋体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副标题 Char"/>
    <w:basedOn w:val="11"/>
    <w:link w:val="7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8">
    <w:name w:val="标题 Char"/>
    <w:basedOn w:val="11"/>
    <w:link w:val="9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19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批注框文本 Char"/>
    <w:basedOn w:val="11"/>
    <w:link w:val="4"/>
    <w:semiHidden/>
    <w:qFormat/>
    <w:uiPriority w:val="99"/>
    <w:rPr>
      <w:rFonts w:ascii="Calibri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458</Words>
  <Characters>2617</Characters>
  <Lines>21</Lines>
  <Paragraphs>6</Paragraphs>
  <TotalTime>10</TotalTime>
  <ScaleCrop>false</ScaleCrop>
  <LinksUpToDate>false</LinksUpToDate>
  <CharactersWithSpaces>3069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2022-09-28T14:43:00Z</dcterms:created>
  <dc:creator>Administrator</dc:creator>
  <cp:lastModifiedBy>樊孝华</cp:lastModifiedBy>
  <cp:lastPrinted>2023-01-11T01:05:00Z</cp:lastPrinted>
  <dcterms:modified xsi:type="dcterms:W3CDTF">2023-02-01T08:06:18Z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3BC82998EF0F4AB09C39F95589F60B40</vt:lpwstr>
  </property>
</Properties>
</file>