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文星简黑体"/>
          <w:sz w:val="32"/>
          <w:szCs w:val="32"/>
        </w:rPr>
      </w:pPr>
    </w:p>
    <w:p>
      <w:pPr>
        <w:spacing w:line="600" w:lineRule="exact"/>
        <w:jc w:val="center"/>
        <w:rPr>
          <w:rFonts w:eastAsia="文星简黑体"/>
          <w:sz w:val="32"/>
          <w:szCs w:val="32"/>
        </w:rPr>
      </w:pPr>
    </w:p>
    <w:p>
      <w:pPr>
        <w:spacing w:line="600" w:lineRule="exact"/>
        <w:jc w:val="center"/>
        <w:rPr>
          <w:rFonts w:eastAsia="文星简黑体"/>
          <w:sz w:val="32"/>
          <w:szCs w:val="32"/>
        </w:rPr>
      </w:pPr>
    </w:p>
    <w:p>
      <w:pPr>
        <w:widowControl/>
        <w:overflowPunct w:val="0"/>
        <w:autoSpaceDE w:val="0"/>
        <w:autoSpaceDN w:val="0"/>
        <w:adjustRightInd w:val="0"/>
        <w:spacing w:line="660" w:lineRule="exact"/>
        <w:ind w:firstLine="0" w:firstLineChars="0"/>
        <w:jc w:val="center"/>
        <w:textAlignment w:val="baseline"/>
        <w:rPr>
          <w:rFonts w:eastAsia="方正小标宋简体"/>
          <w:kern w:val="0"/>
          <w:sz w:val="44"/>
          <w:szCs w:val="44"/>
        </w:rPr>
      </w:pPr>
      <w:r>
        <w:rPr>
          <w:rFonts w:hint="eastAsia" w:eastAsia="方正小标宋简体"/>
          <w:kern w:val="0"/>
          <w:sz w:val="44"/>
          <w:szCs w:val="44"/>
        </w:rPr>
        <w:t>兖州区2021年用于体育事业的彩票公益金支出项目绩效评价报告</w:t>
      </w:r>
    </w:p>
    <w:p>
      <w:pPr>
        <w:widowControl/>
        <w:overflowPunct w:val="0"/>
        <w:autoSpaceDE w:val="0"/>
        <w:autoSpaceDN w:val="0"/>
        <w:adjustRightInd w:val="0"/>
        <w:spacing w:line="660" w:lineRule="exact"/>
        <w:ind w:firstLine="0" w:firstLineChars="0"/>
        <w:jc w:val="center"/>
        <w:textAlignment w:val="baseline"/>
        <w:rPr>
          <w:rFonts w:eastAsia="方正小标宋简体"/>
          <w:kern w:val="0"/>
          <w:sz w:val="44"/>
          <w:szCs w:val="44"/>
        </w:rPr>
      </w:pPr>
    </w:p>
    <w:p>
      <w:pPr>
        <w:snapToGrid w:val="0"/>
        <w:spacing w:before="184" w:beforeLines="50"/>
        <w:ind w:firstLine="964"/>
        <w:rPr>
          <w:rFonts w:eastAsia="黑体"/>
          <w:b/>
          <w:sz w:val="48"/>
        </w:rPr>
      </w:pPr>
    </w:p>
    <w:p>
      <w:pPr>
        <w:snapToGrid w:val="0"/>
        <w:spacing w:before="184" w:beforeLines="50"/>
        <w:ind w:firstLine="964"/>
        <w:rPr>
          <w:rFonts w:eastAsia="黑体"/>
          <w:b/>
          <w:sz w:val="48"/>
        </w:rPr>
      </w:pPr>
    </w:p>
    <w:p>
      <w:pPr>
        <w:pStyle w:val="2"/>
        <w:ind w:firstLine="540"/>
      </w:pPr>
    </w:p>
    <w:p>
      <w:pPr>
        <w:pStyle w:val="2"/>
        <w:ind w:firstLine="964"/>
        <w:rPr>
          <w:rFonts w:eastAsia="黑体"/>
          <w:b/>
          <w:sz w:val="48"/>
        </w:rPr>
      </w:pPr>
    </w:p>
    <w:p>
      <w:pPr>
        <w:ind w:firstLine="540"/>
      </w:pPr>
    </w:p>
    <w:p>
      <w:pPr>
        <w:spacing w:before="184" w:beforeLines="50" w:after="184" w:afterLines="50"/>
        <w:ind w:firstLine="0" w:firstLineChars="0"/>
        <w:rPr>
          <w:rFonts w:eastAsia="仿宋_GB2312"/>
          <w:b/>
          <w:sz w:val="30"/>
        </w:rPr>
      </w:pPr>
    </w:p>
    <w:p>
      <w:pPr>
        <w:pStyle w:val="2"/>
        <w:ind w:firstLine="540"/>
      </w:pPr>
    </w:p>
    <w:p>
      <w:pPr>
        <w:widowControl/>
        <w:overflowPunct w:val="0"/>
        <w:autoSpaceDE w:val="0"/>
        <w:autoSpaceDN w:val="0"/>
        <w:adjustRightInd w:val="0"/>
        <w:spacing w:line="600" w:lineRule="exact"/>
        <w:textAlignment w:val="baseline"/>
        <w:rPr>
          <w:rFonts w:eastAsia="黑体"/>
          <w:kern w:val="0"/>
          <w:sz w:val="32"/>
          <w:szCs w:val="32"/>
        </w:rPr>
      </w:pPr>
      <w:r>
        <w:rPr>
          <w:rFonts w:eastAsia="黑体"/>
          <w:kern w:val="0"/>
          <w:sz w:val="32"/>
          <w:szCs w:val="32"/>
        </w:rPr>
        <w:t>委托单位：</w:t>
      </w:r>
      <w:r>
        <w:rPr>
          <w:rFonts w:eastAsia="黑体"/>
          <w:kern w:val="0"/>
          <w:sz w:val="32"/>
          <w:szCs w:val="32"/>
          <w:u w:val="single"/>
        </w:rPr>
        <w:t>济宁市兖州区财政局</w:t>
      </w:r>
      <w:r>
        <w:rPr>
          <w:rFonts w:eastAsia="黑体"/>
          <w:kern w:val="0"/>
          <w:sz w:val="32"/>
          <w:szCs w:val="32"/>
        </w:rPr>
        <w:t xml:space="preserve">               </w:t>
      </w:r>
    </w:p>
    <w:p>
      <w:pPr>
        <w:widowControl/>
        <w:overflowPunct w:val="0"/>
        <w:autoSpaceDE w:val="0"/>
        <w:autoSpaceDN w:val="0"/>
        <w:adjustRightInd w:val="0"/>
        <w:spacing w:line="600" w:lineRule="exact"/>
        <w:textAlignment w:val="baseline"/>
        <w:rPr>
          <w:rFonts w:eastAsia="黑体"/>
          <w:kern w:val="0"/>
          <w:sz w:val="32"/>
          <w:szCs w:val="32"/>
        </w:rPr>
      </w:pPr>
      <w:r>
        <w:rPr>
          <w:rFonts w:eastAsia="黑体"/>
          <w:kern w:val="0"/>
          <w:sz w:val="32"/>
          <w:szCs w:val="32"/>
        </w:rPr>
        <w:t>主管部门：</w:t>
      </w:r>
      <w:r>
        <w:rPr>
          <w:rFonts w:eastAsia="黑体"/>
          <w:kern w:val="0"/>
          <w:sz w:val="32"/>
          <w:szCs w:val="32"/>
          <w:u w:val="single"/>
        </w:rPr>
        <w:t>济宁市兖州区</w:t>
      </w:r>
      <w:r>
        <w:rPr>
          <w:rFonts w:hint="eastAsia" w:eastAsia="黑体"/>
          <w:kern w:val="0"/>
          <w:sz w:val="32"/>
          <w:szCs w:val="32"/>
          <w:u w:val="single"/>
        </w:rPr>
        <w:t>教育和体育局</w:t>
      </w:r>
    </w:p>
    <w:p>
      <w:pPr>
        <w:widowControl/>
        <w:overflowPunct w:val="0"/>
        <w:autoSpaceDE w:val="0"/>
        <w:autoSpaceDN w:val="0"/>
        <w:adjustRightInd w:val="0"/>
        <w:spacing w:line="600" w:lineRule="exact"/>
        <w:textAlignment w:val="baseline"/>
        <w:rPr>
          <w:rFonts w:eastAsia="黑体"/>
          <w:kern w:val="0"/>
          <w:sz w:val="32"/>
          <w:szCs w:val="32"/>
        </w:rPr>
      </w:pPr>
      <w:r>
        <w:rPr>
          <w:rFonts w:eastAsia="黑体"/>
          <w:kern w:val="0"/>
          <w:sz w:val="32"/>
          <w:szCs w:val="32"/>
        </w:rPr>
        <w:t>评价机构：</w:t>
      </w:r>
      <w:r>
        <w:rPr>
          <w:rFonts w:eastAsia="黑体"/>
          <w:kern w:val="0"/>
          <w:sz w:val="32"/>
          <w:szCs w:val="32"/>
          <w:u w:val="single"/>
        </w:rPr>
        <w:t>山东德睿融投资咨询有限公司</w:t>
      </w:r>
      <w:r>
        <w:rPr>
          <w:rFonts w:eastAsia="黑体"/>
          <w:kern w:val="0"/>
          <w:sz w:val="32"/>
          <w:szCs w:val="32"/>
        </w:rPr>
        <w:t xml:space="preserve"> </w:t>
      </w:r>
    </w:p>
    <w:p>
      <w:pPr>
        <w:pStyle w:val="2"/>
        <w:ind w:firstLine="600"/>
        <w:rPr>
          <w:rFonts w:eastAsia="方正小标宋_GBK"/>
          <w:bCs/>
          <w:sz w:val="30"/>
        </w:rPr>
      </w:pPr>
    </w:p>
    <w:p>
      <w:pPr>
        <w:ind w:firstLine="540"/>
      </w:pPr>
    </w:p>
    <w:p>
      <w:pPr>
        <w:widowControl/>
        <w:overflowPunct w:val="0"/>
        <w:autoSpaceDE w:val="0"/>
        <w:autoSpaceDN w:val="0"/>
        <w:adjustRightInd w:val="0"/>
        <w:spacing w:line="600" w:lineRule="exact"/>
        <w:ind w:firstLine="0" w:firstLineChars="0"/>
        <w:jc w:val="center"/>
        <w:textAlignment w:val="baseline"/>
        <w:rPr>
          <w:rFonts w:eastAsia="黑体"/>
          <w:kern w:val="0"/>
          <w:sz w:val="32"/>
          <w:szCs w:val="32"/>
        </w:rPr>
      </w:pPr>
      <w:r>
        <w:rPr>
          <w:rFonts w:eastAsia="黑体"/>
          <w:kern w:val="0"/>
          <w:sz w:val="32"/>
          <w:szCs w:val="32"/>
        </w:rPr>
        <w:t>2022年8月</w:t>
      </w:r>
    </w:p>
    <w:p>
      <w:pPr>
        <w:widowControl/>
        <w:overflowPunct w:val="0"/>
        <w:autoSpaceDE w:val="0"/>
        <w:autoSpaceDN w:val="0"/>
        <w:adjustRightInd w:val="0"/>
        <w:spacing w:line="600" w:lineRule="exact"/>
        <w:ind w:firstLine="0" w:firstLineChars="0"/>
        <w:jc w:val="center"/>
        <w:textAlignment w:val="baseline"/>
        <w:rPr>
          <w:rFonts w:eastAsia="黑体"/>
          <w:kern w:val="0"/>
          <w:sz w:val="32"/>
          <w:szCs w:val="32"/>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6" w:h="16838"/>
          <w:pgMar w:top="1587" w:right="1587" w:bottom="1587" w:left="1587" w:header="851" w:footer="992" w:gutter="0"/>
          <w:pgNumType w:fmt="numberInDash" w:start="1"/>
          <w:cols w:space="0" w:num="1"/>
          <w:titlePg/>
          <w:docGrid w:type="lines" w:linePitch="369" w:charSpace="0"/>
        </w:sectPr>
      </w:pPr>
    </w:p>
    <w:sdt>
      <w:sdtPr>
        <w:rPr>
          <w:rFonts w:hint="eastAsia" w:ascii="方正小标宋简体" w:hAnsi="宋体" w:eastAsia="方正小标宋简体" w:cs="Times New Roman"/>
          <w:color w:val="auto"/>
          <w:kern w:val="2"/>
          <w:sz w:val="44"/>
          <w:szCs w:val="44"/>
        </w:rPr>
        <w:id w:val="242067155"/>
        <w:docPartObj>
          <w:docPartGallery w:val="Table of Contents"/>
          <w:docPartUnique/>
        </w:docPartObj>
      </w:sdtPr>
      <w:sdtEndPr>
        <w:rPr>
          <w:rFonts w:hint="eastAsia" w:ascii="Times New Roman" w:hAnsi="Times New Roman" w:eastAsia="宋体" w:cs="Times New Roman"/>
          <w:b/>
          <w:bCs/>
          <w:color w:val="auto"/>
          <w:kern w:val="2"/>
          <w:sz w:val="27"/>
          <w:szCs w:val="24"/>
          <w:lang w:val="zh-CN"/>
        </w:rPr>
      </w:sdtEndPr>
      <w:sdtContent>
        <w:p>
          <w:pPr>
            <w:pStyle w:val="42"/>
            <w:spacing w:before="0" w:line="360" w:lineRule="auto"/>
            <w:jc w:val="center"/>
            <w:rPr>
              <w:rFonts w:ascii="Times New Roman" w:hAnsi="Times New Roman" w:eastAsia="宋体" w:cs="Times New Roman"/>
              <w:bCs/>
              <w:kern w:val="2"/>
              <w:sz w:val="27"/>
              <w:szCs w:val="24"/>
              <w:lang w:val="zh-CN"/>
            </w:rPr>
          </w:pPr>
          <w:bookmarkStart w:id="0" w:name="_Toc25650484"/>
          <w:bookmarkStart w:id="1" w:name="_Toc24374199"/>
          <w:bookmarkStart w:id="2" w:name="_Toc24375741"/>
          <w:bookmarkStart w:id="3" w:name="_Toc24374840"/>
          <w:bookmarkStart w:id="4" w:name="_Toc24311764"/>
          <w:bookmarkStart w:id="5" w:name="_Toc4739"/>
          <w:r>
            <w:rPr>
              <w:rFonts w:hint="eastAsia" w:ascii="方正小标宋简体" w:hAnsi="宋体" w:eastAsia="方正小标宋简体" w:cs="Times New Roman"/>
              <w:color w:val="auto"/>
              <w:sz w:val="44"/>
              <w:szCs w:val="44"/>
            </w:rPr>
            <w:t>目  录</w:t>
          </w:r>
          <w:r>
            <w:rPr>
              <w:b/>
              <w:bCs/>
              <w:lang w:val="zh-CN"/>
            </w:rPr>
            <w:fldChar w:fldCharType="begin"/>
          </w:r>
          <w:r>
            <w:rPr>
              <w:b/>
              <w:bCs/>
              <w:lang w:val="zh-CN"/>
            </w:rPr>
            <w:instrText xml:space="preserve"> TOC \o "1-3" \h \z \u </w:instrText>
          </w:r>
          <w:r>
            <w:rPr>
              <w:b/>
              <w:bCs/>
              <w:lang w:val="zh-CN"/>
            </w:rPr>
            <w:fldChar w:fldCharType="separate"/>
          </w:r>
        </w:p>
        <w:p>
          <w:pPr>
            <w:pStyle w:val="2"/>
            <w:tabs>
              <w:tab w:val="right" w:leader="dot" w:pos="8306"/>
            </w:tabs>
            <w:rPr>
              <w:rFonts w:eastAsia="黑体"/>
              <w:kern w:val="0"/>
              <w:sz w:val="32"/>
              <w:szCs w:val="32"/>
            </w:rPr>
          </w:pPr>
          <w:r>
            <w:fldChar w:fldCharType="begin"/>
          </w:r>
          <w:r>
            <w:instrText xml:space="preserve"> HYPERLINK \l "_Toc3307" </w:instrText>
          </w:r>
          <w:r>
            <w:fldChar w:fldCharType="separate"/>
          </w:r>
          <w:r>
            <w:rPr>
              <w:rFonts w:hint="eastAsia" w:eastAsia="黑体"/>
              <w:kern w:val="0"/>
              <w:sz w:val="32"/>
              <w:szCs w:val="32"/>
            </w:rPr>
            <w:t>摘  要</w:t>
          </w:r>
          <w:r>
            <w:rPr>
              <w:rFonts w:hint="eastAsia" w:eastAsia="黑体"/>
              <w:kern w:val="0"/>
              <w:sz w:val="32"/>
              <w:szCs w:val="32"/>
            </w:rPr>
            <w:tab/>
          </w:r>
          <w:r>
            <w:rPr>
              <w:rFonts w:eastAsia="黑体"/>
              <w:kern w:val="0"/>
              <w:sz w:val="32"/>
              <w:szCs w:val="32"/>
            </w:rPr>
            <w:t>1</w:t>
          </w:r>
          <w:r>
            <w:rPr>
              <w:rFonts w:eastAsia="黑体"/>
              <w:kern w:val="0"/>
              <w:sz w:val="32"/>
              <w:szCs w:val="32"/>
            </w:rPr>
            <w:fldChar w:fldCharType="end"/>
          </w:r>
        </w:p>
        <w:p>
          <w:pPr>
            <w:pStyle w:val="2"/>
            <w:tabs>
              <w:tab w:val="right" w:leader="dot" w:pos="8306"/>
            </w:tabs>
            <w:rPr>
              <w:rFonts w:eastAsia="黑体"/>
              <w:kern w:val="0"/>
              <w:sz w:val="32"/>
              <w:szCs w:val="32"/>
              <w:lang w:val="zh-CN"/>
            </w:rPr>
          </w:pPr>
          <w:r>
            <w:fldChar w:fldCharType="begin"/>
          </w:r>
          <w:r>
            <w:instrText xml:space="preserve"> HYPERLINK \l "_Toc411" </w:instrText>
          </w:r>
          <w:r>
            <w:fldChar w:fldCharType="separate"/>
          </w:r>
          <w:r>
            <w:rPr>
              <w:rFonts w:hint="eastAsia" w:eastAsia="黑体"/>
              <w:kern w:val="0"/>
              <w:sz w:val="32"/>
              <w:szCs w:val="32"/>
            </w:rPr>
            <w:t>一、项目基本情况</w:t>
          </w:r>
          <w:r>
            <w:rPr>
              <w:rFonts w:hint="eastAsia" w:eastAsia="黑体"/>
              <w:kern w:val="0"/>
              <w:sz w:val="32"/>
              <w:szCs w:val="32"/>
              <w:lang w:val="zh-CN"/>
            </w:rPr>
            <w:tab/>
          </w:r>
          <w:r>
            <w:rPr>
              <w:rFonts w:eastAsia="黑体"/>
              <w:kern w:val="0"/>
              <w:sz w:val="32"/>
              <w:szCs w:val="32"/>
              <w:lang w:val="zh-CN"/>
            </w:rPr>
            <w:t>1</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rPr>
          </w:pPr>
          <w:r>
            <w:fldChar w:fldCharType="begin"/>
          </w:r>
          <w:r>
            <w:instrText xml:space="preserve"> HYPERLINK \l "_Toc24503" </w:instrText>
          </w:r>
          <w:r>
            <w:fldChar w:fldCharType="separate"/>
          </w:r>
          <w:r>
            <w:rPr>
              <w:rFonts w:hint="eastAsia" w:eastAsia="楷体_GB2312"/>
              <w:kern w:val="0"/>
              <w:sz w:val="32"/>
              <w:szCs w:val="32"/>
            </w:rPr>
            <w:t>（一）项目立项</w:t>
          </w:r>
          <w:r>
            <w:rPr>
              <w:rFonts w:eastAsia="楷体_GB2312"/>
              <w:kern w:val="0"/>
              <w:sz w:val="32"/>
              <w:szCs w:val="32"/>
            </w:rPr>
            <w:tab/>
          </w:r>
          <w:r>
            <w:rPr>
              <w:rFonts w:eastAsia="楷体_GB2312"/>
              <w:kern w:val="0"/>
              <w:sz w:val="32"/>
              <w:szCs w:val="32"/>
            </w:rPr>
            <w:t>1</w:t>
          </w:r>
          <w:r>
            <w:rPr>
              <w:rFonts w:eastAsia="楷体_GB2312"/>
              <w:kern w:val="0"/>
              <w:sz w:val="32"/>
              <w:szCs w:val="32"/>
            </w:rPr>
            <w:fldChar w:fldCharType="end"/>
          </w:r>
        </w:p>
        <w:p>
          <w:pPr>
            <w:pStyle w:val="19"/>
            <w:tabs>
              <w:tab w:val="right" w:leader="dot" w:pos="8306"/>
            </w:tabs>
            <w:ind w:left="540"/>
            <w:rPr>
              <w:rFonts w:eastAsia="楷体_GB2312"/>
              <w:kern w:val="0"/>
              <w:sz w:val="32"/>
              <w:szCs w:val="32"/>
            </w:rPr>
          </w:pPr>
          <w:r>
            <w:fldChar w:fldCharType="begin"/>
          </w:r>
          <w:r>
            <w:instrText xml:space="preserve"> HYPERLINK \l "_Toc3726" </w:instrText>
          </w:r>
          <w:r>
            <w:fldChar w:fldCharType="separate"/>
          </w:r>
          <w:r>
            <w:rPr>
              <w:rFonts w:hint="eastAsia" w:eastAsia="楷体_GB2312"/>
              <w:kern w:val="0"/>
              <w:sz w:val="32"/>
              <w:szCs w:val="32"/>
            </w:rPr>
            <w:t>（二）项目预算</w:t>
          </w:r>
          <w:r>
            <w:rPr>
              <w:rFonts w:eastAsia="楷体_GB2312"/>
              <w:kern w:val="0"/>
              <w:sz w:val="32"/>
              <w:szCs w:val="32"/>
            </w:rPr>
            <w:tab/>
          </w:r>
          <w:r>
            <w:rPr>
              <w:rFonts w:eastAsia="楷体_GB2312"/>
              <w:kern w:val="0"/>
              <w:sz w:val="32"/>
              <w:szCs w:val="32"/>
            </w:rPr>
            <w:t>2</w:t>
          </w:r>
          <w:r>
            <w:rPr>
              <w:rFonts w:eastAsia="楷体_GB2312"/>
              <w:kern w:val="0"/>
              <w:sz w:val="32"/>
              <w:szCs w:val="32"/>
            </w:rPr>
            <w:fldChar w:fldCharType="end"/>
          </w:r>
        </w:p>
        <w:p>
          <w:pPr>
            <w:pStyle w:val="19"/>
            <w:tabs>
              <w:tab w:val="right" w:leader="dot" w:pos="8306"/>
            </w:tabs>
            <w:ind w:left="540"/>
            <w:rPr>
              <w:rFonts w:eastAsia="楷体_GB2312"/>
              <w:kern w:val="0"/>
              <w:sz w:val="32"/>
              <w:szCs w:val="32"/>
            </w:rPr>
          </w:pPr>
          <w:r>
            <w:fldChar w:fldCharType="begin"/>
          </w:r>
          <w:r>
            <w:instrText xml:space="preserve"> HYPERLINK \l "_Toc24585" </w:instrText>
          </w:r>
          <w:r>
            <w:fldChar w:fldCharType="separate"/>
          </w:r>
          <w:r>
            <w:rPr>
              <w:rFonts w:hint="eastAsia" w:eastAsia="楷体_GB2312"/>
              <w:kern w:val="0"/>
              <w:sz w:val="32"/>
              <w:szCs w:val="32"/>
            </w:rPr>
            <w:t>（三）项目计划实施内容</w:t>
          </w:r>
          <w:r>
            <w:rPr>
              <w:rFonts w:eastAsia="楷体_GB2312"/>
              <w:kern w:val="0"/>
              <w:sz w:val="32"/>
              <w:szCs w:val="32"/>
            </w:rPr>
            <w:tab/>
          </w:r>
          <w:r>
            <w:rPr>
              <w:rFonts w:eastAsia="楷体_GB2312"/>
              <w:kern w:val="0"/>
              <w:sz w:val="32"/>
              <w:szCs w:val="32"/>
            </w:rPr>
            <w:t>3</w:t>
          </w:r>
          <w:r>
            <w:rPr>
              <w:rFonts w:eastAsia="楷体_GB2312"/>
              <w:kern w:val="0"/>
              <w:sz w:val="32"/>
              <w:szCs w:val="32"/>
            </w:rPr>
            <w:fldChar w:fldCharType="end"/>
          </w:r>
        </w:p>
        <w:p>
          <w:pPr>
            <w:pStyle w:val="19"/>
            <w:tabs>
              <w:tab w:val="right" w:leader="dot" w:pos="8306"/>
            </w:tabs>
            <w:ind w:left="540"/>
            <w:rPr>
              <w:rFonts w:eastAsia="楷体_GB2312"/>
              <w:kern w:val="0"/>
              <w:sz w:val="32"/>
              <w:szCs w:val="32"/>
            </w:rPr>
          </w:pPr>
          <w:r>
            <w:fldChar w:fldCharType="begin"/>
          </w:r>
          <w:r>
            <w:instrText xml:space="preserve"> HYPERLINK \l "_Toc32234" </w:instrText>
          </w:r>
          <w:r>
            <w:fldChar w:fldCharType="separate"/>
          </w:r>
          <w:r>
            <w:rPr>
              <w:rFonts w:hint="eastAsia" w:eastAsia="楷体_GB2312"/>
              <w:kern w:val="0"/>
              <w:sz w:val="32"/>
              <w:szCs w:val="32"/>
            </w:rPr>
            <w:t>（四）项目组织管理</w:t>
          </w:r>
          <w:r>
            <w:rPr>
              <w:rFonts w:eastAsia="楷体_GB2312"/>
              <w:kern w:val="0"/>
              <w:sz w:val="32"/>
              <w:szCs w:val="32"/>
            </w:rPr>
            <w:tab/>
          </w:r>
          <w:r>
            <w:rPr>
              <w:rFonts w:eastAsia="楷体_GB2312"/>
              <w:kern w:val="0"/>
              <w:sz w:val="32"/>
              <w:szCs w:val="32"/>
            </w:rPr>
            <w:t>5</w:t>
          </w:r>
          <w:r>
            <w:rPr>
              <w:rFonts w:eastAsia="楷体_GB2312"/>
              <w:kern w:val="0"/>
              <w:sz w:val="32"/>
              <w:szCs w:val="32"/>
            </w:rPr>
            <w:fldChar w:fldCharType="end"/>
          </w:r>
        </w:p>
        <w:p>
          <w:pPr>
            <w:pStyle w:val="2"/>
            <w:tabs>
              <w:tab w:val="right" w:leader="dot" w:pos="8306"/>
            </w:tabs>
            <w:rPr>
              <w:rFonts w:eastAsia="黑体"/>
              <w:kern w:val="0"/>
              <w:sz w:val="32"/>
              <w:szCs w:val="32"/>
              <w:lang w:val="zh-CN"/>
            </w:rPr>
          </w:pPr>
          <w:r>
            <w:fldChar w:fldCharType="begin"/>
          </w:r>
          <w:r>
            <w:instrText xml:space="preserve"> HYPERLINK \l "_Toc26606" </w:instrText>
          </w:r>
          <w:r>
            <w:fldChar w:fldCharType="separate"/>
          </w:r>
          <w:r>
            <w:rPr>
              <w:rFonts w:hint="eastAsia" w:eastAsia="黑体"/>
              <w:kern w:val="0"/>
              <w:sz w:val="32"/>
              <w:szCs w:val="32"/>
            </w:rPr>
            <w:t>二、项目绩效目标</w:t>
          </w:r>
          <w:r>
            <w:rPr>
              <w:rFonts w:hint="eastAsia" w:eastAsia="黑体"/>
              <w:kern w:val="0"/>
              <w:sz w:val="32"/>
              <w:szCs w:val="32"/>
              <w:lang w:val="zh-CN"/>
            </w:rPr>
            <w:tab/>
          </w:r>
          <w:r>
            <w:rPr>
              <w:rFonts w:eastAsia="黑体"/>
              <w:kern w:val="0"/>
              <w:sz w:val="32"/>
              <w:szCs w:val="32"/>
              <w:lang w:val="zh-CN"/>
            </w:rPr>
            <w:t>5</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"_Toc5725" </w:instrText>
          </w:r>
          <w:r>
            <w:fldChar w:fldCharType="separate"/>
          </w:r>
          <w:r>
            <w:rPr>
              <w:rFonts w:hint="eastAsia" w:eastAsia="楷体_GB2312"/>
              <w:kern w:val="0"/>
              <w:sz w:val="32"/>
              <w:szCs w:val="32"/>
            </w:rPr>
            <w:t>（一）总体绩效目标</w:t>
          </w:r>
          <w:r>
            <w:rPr>
              <w:rFonts w:eastAsia="楷体_GB2312"/>
              <w:kern w:val="0"/>
              <w:sz w:val="32"/>
              <w:szCs w:val="32"/>
              <w:lang w:val="zh-CN"/>
            </w:rPr>
            <w:tab/>
          </w:r>
          <w:r>
            <w:rPr>
              <w:rFonts w:eastAsia="楷体_GB2312"/>
              <w:kern w:val="0"/>
              <w:sz w:val="32"/>
              <w:szCs w:val="32"/>
              <w:lang w:val="zh-CN"/>
            </w:rPr>
            <w:t>5</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"_Toc24398" </w:instrText>
          </w:r>
          <w:r>
            <w:fldChar w:fldCharType="separate"/>
          </w:r>
          <w:r>
            <w:rPr>
              <w:rFonts w:hint="eastAsia" w:eastAsia="楷体_GB2312"/>
              <w:kern w:val="0"/>
              <w:sz w:val="32"/>
              <w:szCs w:val="32"/>
            </w:rPr>
            <w:t>（二）年度绩效目标</w:t>
          </w:r>
          <w:r>
            <w:rPr>
              <w:rFonts w:eastAsia="楷体_GB2312"/>
              <w:kern w:val="0"/>
              <w:sz w:val="32"/>
              <w:szCs w:val="32"/>
              <w:lang w:val="zh-CN"/>
            </w:rPr>
            <w:tab/>
          </w:r>
          <w:r>
            <w:rPr>
              <w:rFonts w:eastAsia="楷体_GB2312"/>
              <w:kern w:val="0"/>
              <w:sz w:val="32"/>
              <w:szCs w:val="32"/>
              <w:lang w:val="zh-CN"/>
            </w:rPr>
            <w:t>5</w:t>
          </w:r>
          <w:r>
            <w:rPr>
              <w:rFonts w:eastAsia="楷体_GB2312"/>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"_Toc31404" </w:instrText>
          </w:r>
          <w:r>
            <w:fldChar w:fldCharType="separate"/>
          </w:r>
          <w:r>
            <w:rPr>
              <w:rFonts w:hint="eastAsia" w:eastAsia="黑体"/>
              <w:kern w:val="0"/>
              <w:sz w:val="32"/>
              <w:szCs w:val="32"/>
            </w:rPr>
            <w:t>三、评价基本情况</w:t>
          </w:r>
          <w:r>
            <w:rPr>
              <w:rFonts w:hint="eastAsia" w:eastAsia="黑体"/>
              <w:kern w:val="0"/>
              <w:sz w:val="32"/>
              <w:szCs w:val="32"/>
              <w:lang w:val="zh-CN"/>
            </w:rPr>
            <w:tab/>
          </w:r>
          <w:r>
            <w:rPr>
              <w:rFonts w:eastAsia="黑体"/>
              <w:kern w:val="0"/>
              <w:sz w:val="32"/>
              <w:szCs w:val="32"/>
              <w:lang w:val="zh-CN"/>
            </w:rPr>
            <w:t>6</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"_Toc11571" </w:instrText>
          </w:r>
          <w:r>
            <w:fldChar w:fldCharType="separate"/>
          </w:r>
          <w:r>
            <w:rPr>
              <w:rFonts w:hint="eastAsia" w:eastAsia="楷体_GB2312"/>
              <w:kern w:val="0"/>
              <w:sz w:val="32"/>
              <w:szCs w:val="32"/>
            </w:rPr>
            <w:t>（一）评价目的</w:t>
          </w:r>
          <w:r>
            <w:rPr>
              <w:rFonts w:eastAsia="楷体_GB2312"/>
              <w:kern w:val="0"/>
              <w:sz w:val="32"/>
              <w:szCs w:val="32"/>
              <w:lang w:val="zh-CN"/>
            </w:rPr>
            <w:tab/>
          </w:r>
          <w:r>
            <w:rPr>
              <w:rFonts w:eastAsia="楷体_GB2312"/>
              <w:kern w:val="0"/>
              <w:sz w:val="32"/>
              <w:szCs w:val="32"/>
              <w:lang w:val="zh-CN"/>
            </w:rPr>
            <w:t>6</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"_Toc4654" </w:instrText>
          </w:r>
          <w:r>
            <w:fldChar w:fldCharType="separate"/>
          </w:r>
          <w:r>
            <w:rPr>
              <w:rFonts w:hint="eastAsia" w:eastAsia="楷体_GB2312"/>
              <w:kern w:val="0"/>
              <w:sz w:val="32"/>
              <w:szCs w:val="32"/>
            </w:rPr>
            <w:t>（二）评价对象与范围</w:t>
          </w:r>
          <w:r>
            <w:rPr>
              <w:rFonts w:eastAsia="楷体_GB2312"/>
              <w:kern w:val="0"/>
              <w:sz w:val="32"/>
              <w:szCs w:val="32"/>
              <w:lang w:val="zh-CN"/>
            </w:rPr>
            <w:tab/>
          </w:r>
          <w:r>
            <w:rPr>
              <w:rFonts w:eastAsia="楷体_GB2312"/>
              <w:kern w:val="0"/>
              <w:sz w:val="32"/>
              <w:szCs w:val="32"/>
              <w:lang w:val="zh-CN"/>
            </w:rPr>
            <w:t>6</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"_Toc3644" </w:instrText>
          </w:r>
          <w:r>
            <w:fldChar w:fldCharType="separate"/>
          </w:r>
          <w:r>
            <w:rPr>
              <w:rFonts w:hint="eastAsia" w:eastAsia="楷体_GB2312"/>
              <w:kern w:val="0"/>
              <w:sz w:val="32"/>
              <w:szCs w:val="32"/>
            </w:rPr>
            <w:t>（三）评价依据</w:t>
          </w:r>
          <w:r>
            <w:rPr>
              <w:rFonts w:eastAsia="楷体_GB2312"/>
              <w:kern w:val="0"/>
              <w:sz w:val="32"/>
              <w:szCs w:val="32"/>
              <w:lang w:val="zh-CN"/>
            </w:rPr>
            <w:tab/>
          </w:r>
          <w:r>
            <w:rPr>
              <w:rFonts w:eastAsia="楷体_GB2312"/>
              <w:kern w:val="0"/>
              <w:sz w:val="32"/>
              <w:szCs w:val="32"/>
              <w:lang w:val="zh-CN"/>
            </w:rPr>
            <w:t>7</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"_Toc30469" </w:instrText>
          </w:r>
          <w:r>
            <w:fldChar w:fldCharType="separate"/>
          </w:r>
          <w:r>
            <w:rPr>
              <w:rFonts w:hint="eastAsia" w:eastAsia="楷体_GB2312"/>
              <w:kern w:val="0"/>
              <w:sz w:val="32"/>
              <w:szCs w:val="32"/>
            </w:rPr>
            <w:t>（四）评价原则、评价方法</w:t>
          </w:r>
          <w:r>
            <w:rPr>
              <w:rFonts w:eastAsia="楷体_GB2312"/>
              <w:kern w:val="0"/>
              <w:sz w:val="32"/>
              <w:szCs w:val="32"/>
              <w:lang w:val="zh-CN"/>
            </w:rPr>
            <w:tab/>
          </w:r>
          <w:r>
            <w:rPr>
              <w:rFonts w:eastAsia="楷体_GB2312"/>
              <w:kern w:val="0"/>
              <w:sz w:val="32"/>
              <w:szCs w:val="32"/>
              <w:lang w:val="zh-CN"/>
            </w:rPr>
            <w:t>8</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"_Toc2529" </w:instrText>
          </w:r>
          <w:r>
            <w:fldChar w:fldCharType="separate"/>
          </w:r>
          <w:r>
            <w:rPr>
              <w:rFonts w:hint="eastAsia" w:eastAsia="楷体_GB2312"/>
              <w:kern w:val="0"/>
              <w:sz w:val="32"/>
              <w:szCs w:val="32"/>
            </w:rPr>
            <w:t>（五）绩效评价指标体系</w:t>
          </w:r>
          <w:r>
            <w:rPr>
              <w:rFonts w:eastAsia="楷体_GB2312"/>
              <w:kern w:val="0"/>
              <w:sz w:val="32"/>
              <w:szCs w:val="32"/>
              <w:lang w:val="zh-CN"/>
            </w:rPr>
            <w:tab/>
          </w:r>
          <w:r>
            <w:rPr>
              <w:rFonts w:eastAsia="楷体_GB2312"/>
              <w:kern w:val="0"/>
              <w:sz w:val="32"/>
              <w:szCs w:val="32"/>
              <w:lang w:val="zh-CN"/>
            </w:rPr>
            <w:t>9</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"_Toc10143" </w:instrText>
          </w:r>
          <w:r>
            <w:fldChar w:fldCharType="separate"/>
          </w:r>
          <w:r>
            <w:rPr>
              <w:rFonts w:hint="eastAsia" w:eastAsia="楷体_GB2312"/>
              <w:kern w:val="0"/>
              <w:sz w:val="32"/>
              <w:szCs w:val="32"/>
            </w:rPr>
            <w:t>（六）评价人员组成</w:t>
          </w:r>
          <w:r>
            <w:rPr>
              <w:rFonts w:eastAsia="楷体_GB2312"/>
              <w:kern w:val="0"/>
              <w:sz w:val="32"/>
              <w:szCs w:val="32"/>
              <w:lang w:val="zh-CN"/>
            </w:rPr>
            <w:tab/>
          </w:r>
          <w:r>
            <w:rPr>
              <w:rFonts w:eastAsia="楷体_GB2312"/>
              <w:kern w:val="0"/>
              <w:sz w:val="32"/>
              <w:szCs w:val="32"/>
              <w:lang w:val="zh-CN"/>
            </w:rPr>
            <w:fldChar w:fldCharType="end"/>
          </w:r>
          <w:r>
            <w:rPr>
              <w:rFonts w:eastAsia="楷体_GB2312"/>
              <w:kern w:val="0"/>
              <w:sz w:val="32"/>
              <w:szCs w:val="32"/>
              <w:lang w:val="zh-CN"/>
            </w:rPr>
            <w:t>9</w:t>
          </w:r>
        </w:p>
        <w:p>
          <w:pPr>
            <w:pStyle w:val="19"/>
            <w:tabs>
              <w:tab w:val="right" w:leader="dot" w:pos="8306"/>
            </w:tabs>
            <w:ind w:left="540"/>
            <w:rPr>
              <w:rFonts w:eastAsia="楷体_GB2312"/>
              <w:kern w:val="0"/>
              <w:sz w:val="32"/>
              <w:szCs w:val="32"/>
              <w:lang w:val="zh-CN"/>
            </w:rPr>
          </w:pPr>
          <w:r>
            <w:fldChar w:fldCharType="begin"/>
          </w:r>
          <w:r>
            <w:instrText xml:space="preserve"> HYPERLINK \l "_Toc17221" </w:instrText>
          </w:r>
          <w:r>
            <w:fldChar w:fldCharType="separate"/>
          </w:r>
          <w:r>
            <w:rPr>
              <w:rFonts w:hint="eastAsia" w:eastAsia="楷体_GB2312"/>
              <w:kern w:val="0"/>
              <w:sz w:val="32"/>
              <w:szCs w:val="32"/>
            </w:rPr>
            <w:t>（七）绩效评价工作过程</w:t>
          </w:r>
          <w:r>
            <w:rPr>
              <w:rFonts w:eastAsia="楷体_GB2312"/>
              <w:kern w:val="0"/>
              <w:sz w:val="32"/>
              <w:szCs w:val="32"/>
              <w:lang w:val="zh-CN"/>
            </w:rPr>
            <w:tab/>
          </w:r>
          <w:r>
            <w:rPr>
              <w:rFonts w:eastAsia="楷体_GB2312"/>
              <w:kern w:val="0"/>
              <w:sz w:val="32"/>
              <w:szCs w:val="32"/>
              <w:lang w:val="zh-CN"/>
            </w:rPr>
            <w:t>10</w:t>
          </w:r>
          <w:r>
            <w:rPr>
              <w:rFonts w:eastAsia="楷体_GB2312"/>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"_Toc482" </w:instrText>
          </w:r>
          <w:r>
            <w:fldChar w:fldCharType="separate"/>
          </w:r>
          <w:r>
            <w:rPr>
              <w:rFonts w:hint="eastAsia" w:eastAsia="黑体"/>
              <w:kern w:val="0"/>
              <w:sz w:val="32"/>
              <w:szCs w:val="32"/>
            </w:rPr>
            <w:t>四、评价结论及分析</w:t>
          </w:r>
          <w:r>
            <w:rPr>
              <w:rFonts w:hint="eastAsia" w:eastAsia="黑体"/>
              <w:kern w:val="0"/>
              <w:sz w:val="32"/>
              <w:szCs w:val="32"/>
              <w:lang w:val="zh-CN"/>
            </w:rPr>
            <w:tab/>
          </w:r>
          <w:r>
            <w:rPr>
              <w:rFonts w:eastAsia="黑体"/>
              <w:kern w:val="0"/>
              <w:sz w:val="32"/>
              <w:szCs w:val="32"/>
              <w:lang w:val="zh-CN"/>
            </w:rPr>
            <w:t>14</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"_Toc20737" </w:instrText>
          </w:r>
          <w:r>
            <w:fldChar w:fldCharType="separate"/>
          </w:r>
          <w:r>
            <w:rPr>
              <w:rFonts w:hint="eastAsia" w:eastAsia="楷体_GB2312"/>
              <w:kern w:val="0"/>
              <w:sz w:val="32"/>
              <w:szCs w:val="32"/>
            </w:rPr>
            <w:t>（一）综合评价情况及结论</w:t>
          </w:r>
          <w:r>
            <w:rPr>
              <w:rFonts w:eastAsia="楷体_GB2312"/>
              <w:kern w:val="0"/>
              <w:sz w:val="32"/>
              <w:szCs w:val="32"/>
              <w:lang w:val="zh-CN"/>
            </w:rPr>
            <w:tab/>
          </w:r>
          <w:r>
            <w:rPr>
              <w:rFonts w:eastAsia="楷体_GB2312"/>
              <w:kern w:val="0"/>
              <w:sz w:val="32"/>
              <w:szCs w:val="32"/>
              <w:lang w:val="zh-CN"/>
            </w:rPr>
            <w:t>14</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"_Toc17662" </w:instrText>
          </w:r>
          <w:r>
            <w:fldChar w:fldCharType="separate"/>
          </w:r>
          <w:r>
            <w:rPr>
              <w:rFonts w:hint="eastAsia" w:eastAsia="楷体_GB2312"/>
              <w:kern w:val="0"/>
              <w:sz w:val="32"/>
              <w:szCs w:val="32"/>
            </w:rPr>
            <w:t>（二）绩效评价结果分析</w:t>
          </w:r>
          <w:r>
            <w:rPr>
              <w:rFonts w:eastAsia="楷体_GB2312"/>
              <w:kern w:val="0"/>
              <w:sz w:val="32"/>
              <w:szCs w:val="32"/>
              <w:lang w:val="zh-CN"/>
            </w:rPr>
            <w:tab/>
          </w:r>
          <w:r>
            <w:rPr>
              <w:rFonts w:eastAsia="楷体_GB2312"/>
              <w:kern w:val="0"/>
              <w:sz w:val="32"/>
              <w:szCs w:val="32"/>
              <w:lang w:val="zh-CN"/>
            </w:rPr>
            <w:t>15</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"_Toc26242" </w:instrText>
          </w:r>
          <w:r>
            <w:fldChar w:fldCharType="separate"/>
          </w:r>
          <w:r>
            <w:rPr>
              <w:rFonts w:hint="eastAsia" w:eastAsia="楷体_GB2312"/>
              <w:kern w:val="0"/>
              <w:sz w:val="32"/>
              <w:szCs w:val="32"/>
            </w:rPr>
            <w:t>（三）评价得分及结论</w:t>
          </w:r>
          <w:r>
            <w:rPr>
              <w:rFonts w:eastAsia="楷体_GB2312"/>
              <w:kern w:val="0"/>
              <w:sz w:val="32"/>
              <w:szCs w:val="32"/>
              <w:lang w:val="zh-CN"/>
            </w:rPr>
            <w:tab/>
          </w:r>
          <w:r>
            <w:rPr>
              <w:rFonts w:eastAsia="楷体_GB2312"/>
              <w:kern w:val="0"/>
              <w:sz w:val="32"/>
              <w:szCs w:val="32"/>
              <w:lang w:val="zh-CN"/>
            </w:rPr>
            <w:t>15</w:t>
          </w:r>
          <w:r>
            <w:rPr>
              <w:rFonts w:eastAsia="楷体_GB2312"/>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"_Toc8632" </w:instrText>
          </w:r>
          <w:r>
            <w:fldChar w:fldCharType="separate"/>
          </w:r>
          <w:r>
            <w:rPr>
              <w:rFonts w:hint="eastAsia" w:eastAsia="黑体"/>
              <w:kern w:val="0"/>
              <w:sz w:val="32"/>
              <w:szCs w:val="32"/>
            </w:rPr>
            <w:t>五、绩效评价指标分析</w:t>
          </w:r>
          <w:r>
            <w:rPr>
              <w:rFonts w:hint="eastAsia" w:eastAsia="黑体"/>
              <w:kern w:val="0"/>
              <w:sz w:val="32"/>
              <w:szCs w:val="32"/>
              <w:lang w:val="zh-CN"/>
            </w:rPr>
            <w:tab/>
          </w:r>
          <w:r>
            <w:rPr>
              <w:rFonts w:eastAsia="黑体"/>
              <w:kern w:val="0"/>
              <w:sz w:val="32"/>
              <w:szCs w:val="32"/>
              <w:lang w:val="zh-CN"/>
            </w:rPr>
            <w:t>16</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"_Toc2402" </w:instrText>
          </w:r>
          <w:r>
            <w:fldChar w:fldCharType="separate"/>
          </w:r>
          <w:r>
            <w:rPr>
              <w:rFonts w:hint="eastAsia" w:eastAsia="楷体_GB2312"/>
              <w:kern w:val="0"/>
              <w:sz w:val="32"/>
              <w:szCs w:val="32"/>
            </w:rPr>
            <w:t>（一）项目决策情况</w:t>
          </w:r>
          <w:r>
            <w:rPr>
              <w:rFonts w:eastAsia="楷体_GB2312"/>
              <w:kern w:val="0"/>
              <w:sz w:val="32"/>
              <w:szCs w:val="32"/>
              <w:lang w:val="zh-CN"/>
            </w:rPr>
            <w:tab/>
          </w:r>
          <w:r>
            <w:rPr>
              <w:rFonts w:eastAsia="楷体_GB2312"/>
              <w:kern w:val="0"/>
              <w:sz w:val="32"/>
              <w:szCs w:val="32"/>
              <w:lang w:val="zh-CN"/>
            </w:rPr>
            <w:t>17</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"_Toc3529" </w:instrText>
          </w:r>
          <w:r>
            <w:fldChar w:fldCharType="separate"/>
          </w:r>
          <w:r>
            <w:rPr>
              <w:rFonts w:hint="eastAsia" w:eastAsia="楷体_GB2312"/>
              <w:kern w:val="0"/>
              <w:sz w:val="32"/>
              <w:szCs w:val="32"/>
            </w:rPr>
            <w:t>（二）项目过程情况</w:t>
          </w:r>
          <w:r>
            <w:rPr>
              <w:rFonts w:eastAsia="楷体_GB2312"/>
              <w:kern w:val="0"/>
              <w:sz w:val="32"/>
              <w:szCs w:val="32"/>
              <w:lang w:val="zh-CN"/>
            </w:rPr>
            <w:tab/>
          </w:r>
          <w:r>
            <w:rPr>
              <w:rFonts w:eastAsia="楷体_GB2312"/>
              <w:kern w:val="0"/>
              <w:sz w:val="32"/>
              <w:szCs w:val="32"/>
              <w:lang w:val="zh-CN"/>
            </w:rPr>
            <w:t>19</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"_Toc24207" </w:instrText>
          </w:r>
          <w:r>
            <w:fldChar w:fldCharType="separate"/>
          </w:r>
          <w:r>
            <w:rPr>
              <w:rFonts w:hint="eastAsia" w:eastAsia="楷体_GB2312"/>
              <w:kern w:val="0"/>
              <w:sz w:val="32"/>
              <w:szCs w:val="32"/>
            </w:rPr>
            <w:t>（三）项目产出情况</w:t>
          </w:r>
          <w:r>
            <w:rPr>
              <w:rFonts w:eastAsia="楷体_GB2312"/>
              <w:kern w:val="0"/>
              <w:sz w:val="32"/>
              <w:szCs w:val="32"/>
              <w:lang w:val="zh-CN"/>
            </w:rPr>
            <w:tab/>
          </w:r>
          <w:r>
            <w:rPr>
              <w:rFonts w:eastAsia="楷体_GB2312"/>
              <w:kern w:val="0"/>
              <w:sz w:val="32"/>
              <w:szCs w:val="32"/>
              <w:lang w:val="zh-CN"/>
            </w:rPr>
            <w:t>21</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"_Toc25015" </w:instrText>
          </w:r>
          <w:r>
            <w:fldChar w:fldCharType="separate"/>
          </w:r>
          <w:r>
            <w:rPr>
              <w:rFonts w:hint="eastAsia" w:eastAsia="楷体_GB2312"/>
              <w:kern w:val="0"/>
              <w:sz w:val="32"/>
              <w:szCs w:val="32"/>
            </w:rPr>
            <w:t>（四）项目效益情况</w:t>
          </w:r>
          <w:r>
            <w:rPr>
              <w:rFonts w:eastAsia="楷体_GB2312"/>
              <w:kern w:val="0"/>
              <w:sz w:val="32"/>
              <w:szCs w:val="32"/>
              <w:lang w:val="zh-CN"/>
            </w:rPr>
            <w:tab/>
          </w:r>
          <w:r>
            <w:rPr>
              <w:rFonts w:eastAsia="楷体_GB2312"/>
              <w:kern w:val="0"/>
              <w:sz w:val="32"/>
              <w:szCs w:val="32"/>
              <w:lang w:val="zh-CN"/>
            </w:rPr>
            <w:t>24</w:t>
          </w:r>
          <w:r>
            <w:rPr>
              <w:rFonts w:eastAsia="楷体_GB2312"/>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"_Toc2439" </w:instrText>
          </w:r>
          <w:r>
            <w:fldChar w:fldCharType="separate"/>
          </w:r>
          <w:r>
            <w:rPr>
              <w:rFonts w:hint="eastAsia" w:eastAsia="黑体"/>
              <w:kern w:val="0"/>
              <w:sz w:val="32"/>
              <w:szCs w:val="32"/>
            </w:rPr>
            <w:t>六、取得的成效</w:t>
          </w:r>
          <w:r>
            <w:rPr>
              <w:rFonts w:hint="eastAsia" w:eastAsia="黑体"/>
              <w:kern w:val="0"/>
              <w:sz w:val="32"/>
              <w:szCs w:val="32"/>
              <w:lang w:val="zh-CN"/>
            </w:rPr>
            <w:tab/>
          </w:r>
          <w:r>
            <w:rPr>
              <w:rFonts w:eastAsia="黑体"/>
              <w:kern w:val="0"/>
              <w:sz w:val="32"/>
              <w:szCs w:val="32"/>
              <w:lang w:val="zh-CN"/>
            </w:rPr>
            <w:t>26</w:t>
          </w:r>
          <w:r>
            <w:rPr>
              <w:rFonts w:eastAsia="黑体"/>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"_Toc2356" </w:instrText>
          </w:r>
          <w:r>
            <w:fldChar w:fldCharType="separate"/>
          </w:r>
          <w:r>
            <w:rPr>
              <w:rFonts w:hint="eastAsia" w:eastAsia="黑体"/>
              <w:kern w:val="0"/>
              <w:sz w:val="32"/>
              <w:szCs w:val="32"/>
            </w:rPr>
            <w:t>七、存在的问题及原因分析</w:t>
          </w:r>
          <w:r>
            <w:rPr>
              <w:rFonts w:hint="eastAsia" w:eastAsia="黑体"/>
              <w:kern w:val="0"/>
              <w:sz w:val="32"/>
              <w:szCs w:val="32"/>
              <w:lang w:val="zh-CN"/>
            </w:rPr>
            <w:tab/>
          </w:r>
          <w:r>
            <w:rPr>
              <w:rFonts w:eastAsia="黑体"/>
              <w:kern w:val="0"/>
              <w:sz w:val="32"/>
              <w:szCs w:val="32"/>
              <w:lang w:val="zh-CN"/>
            </w:rPr>
            <w:t>27</w:t>
          </w:r>
          <w:r>
            <w:rPr>
              <w:rFonts w:eastAsia="黑体"/>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"_Toc29631" </w:instrText>
          </w:r>
          <w:r>
            <w:fldChar w:fldCharType="separate"/>
          </w:r>
          <w:r>
            <w:rPr>
              <w:rFonts w:hint="eastAsia" w:eastAsia="黑体"/>
              <w:kern w:val="0"/>
              <w:sz w:val="32"/>
              <w:szCs w:val="32"/>
            </w:rPr>
            <w:t>八、有关建议</w:t>
          </w:r>
          <w:r>
            <w:rPr>
              <w:rFonts w:hint="eastAsia" w:eastAsia="黑体"/>
              <w:kern w:val="0"/>
              <w:sz w:val="32"/>
              <w:szCs w:val="32"/>
              <w:lang w:val="zh-CN"/>
            </w:rPr>
            <w:tab/>
          </w:r>
          <w:r>
            <w:rPr>
              <w:rFonts w:eastAsia="黑体"/>
              <w:kern w:val="0"/>
              <w:sz w:val="32"/>
              <w:szCs w:val="32"/>
              <w:lang w:val="zh-CN"/>
            </w:rPr>
            <w:t>28</w:t>
          </w:r>
          <w:r>
            <w:rPr>
              <w:rFonts w:eastAsia="黑体"/>
              <w:kern w:val="0"/>
              <w:sz w:val="32"/>
              <w:szCs w:val="32"/>
              <w:lang w:val="zh-CN"/>
            </w:rPr>
            <w:fldChar w:fldCharType="end"/>
          </w:r>
        </w:p>
        <w:p>
          <w:pPr>
            <w:pStyle w:val="2"/>
            <w:tabs>
              <w:tab w:val="right" w:leader="dot" w:pos="8306"/>
            </w:tabs>
            <w:rPr>
              <w:rFonts w:eastAsia="黑体"/>
              <w:kern w:val="0"/>
              <w:sz w:val="32"/>
              <w:szCs w:val="32"/>
              <w:lang w:val="zh-CN"/>
            </w:rPr>
          </w:pPr>
          <w:r>
            <w:fldChar w:fldCharType="begin"/>
          </w:r>
          <w:r>
            <w:instrText xml:space="preserve"> HYPERLINK \l "_Toc16863" </w:instrText>
          </w:r>
          <w:r>
            <w:fldChar w:fldCharType="separate"/>
          </w:r>
          <w:r>
            <w:rPr>
              <w:rFonts w:hint="eastAsia" w:eastAsia="黑体"/>
              <w:kern w:val="0"/>
              <w:sz w:val="32"/>
              <w:szCs w:val="32"/>
            </w:rPr>
            <w:t>九、</w:t>
          </w:r>
          <w:r>
            <w:rPr>
              <w:rFonts w:hint="eastAsia" w:eastAsia="黑体"/>
              <w:kern w:val="0"/>
              <w:sz w:val="32"/>
              <w:szCs w:val="32"/>
              <w:lang w:val="zh-CN"/>
            </w:rPr>
            <w:t>其他需要说明的问题</w:t>
          </w:r>
          <w:r>
            <w:rPr>
              <w:rFonts w:hint="eastAsia" w:eastAsia="黑体"/>
              <w:kern w:val="0"/>
              <w:sz w:val="32"/>
              <w:szCs w:val="32"/>
              <w:lang w:val="zh-CN"/>
            </w:rPr>
            <w:tab/>
          </w:r>
          <w:r>
            <w:rPr>
              <w:rFonts w:eastAsia="黑体"/>
              <w:kern w:val="0"/>
              <w:sz w:val="32"/>
              <w:szCs w:val="32"/>
              <w:lang w:val="zh-CN"/>
            </w:rPr>
            <w:t>30</w:t>
          </w:r>
          <w:r>
            <w:rPr>
              <w:rFonts w:eastAsia="黑体"/>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"_Toc10714" </w:instrText>
          </w:r>
          <w:r>
            <w:fldChar w:fldCharType="separate"/>
          </w:r>
          <w:r>
            <w:rPr>
              <w:rFonts w:eastAsia="楷体_GB2312"/>
              <w:kern w:val="0"/>
              <w:sz w:val="32"/>
              <w:szCs w:val="32"/>
              <w:lang w:val="zh-CN"/>
            </w:rPr>
            <w:t>附</w:t>
          </w:r>
          <w:r>
            <w:rPr>
              <w:rFonts w:hint="eastAsia" w:eastAsia="楷体_GB2312"/>
              <w:kern w:val="0"/>
              <w:sz w:val="32"/>
              <w:szCs w:val="32"/>
              <w:lang w:val="zh-CN"/>
            </w:rPr>
            <w:t>件</w:t>
          </w:r>
          <w:r>
            <w:rPr>
              <w:rFonts w:eastAsia="楷体_GB2312"/>
              <w:kern w:val="0"/>
              <w:sz w:val="32"/>
              <w:szCs w:val="32"/>
              <w:lang w:val="zh-CN"/>
            </w:rPr>
            <w:t>1：绩效评价</w:t>
          </w:r>
          <w:r>
            <w:rPr>
              <w:rFonts w:hint="eastAsia" w:eastAsia="楷体_GB2312"/>
              <w:kern w:val="0"/>
              <w:sz w:val="32"/>
              <w:szCs w:val="32"/>
              <w:lang w:val="zh-CN"/>
            </w:rPr>
            <w:t>得分表</w:t>
          </w:r>
          <w:r>
            <w:rPr>
              <w:rFonts w:eastAsia="楷体_GB2312"/>
              <w:kern w:val="0"/>
              <w:sz w:val="32"/>
              <w:szCs w:val="32"/>
              <w:lang w:val="zh-CN"/>
            </w:rPr>
            <w:tab/>
          </w:r>
          <w:r>
            <w:rPr>
              <w:rFonts w:eastAsia="楷体_GB2312"/>
              <w:kern w:val="0"/>
              <w:sz w:val="32"/>
              <w:szCs w:val="32"/>
              <w:lang w:val="zh-CN"/>
            </w:rPr>
            <w:t>32</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"_Toc15469" </w:instrText>
          </w:r>
          <w:r>
            <w:fldChar w:fldCharType="separate"/>
          </w:r>
          <w:r>
            <w:rPr>
              <w:rFonts w:eastAsia="楷体_GB2312"/>
              <w:kern w:val="0"/>
              <w:sz w:val="32"/>
              <w:szCs w:val="32"/>
              <w:lang w:val="zh-CN"/>
            </w:rPr>
            <w:t>附</w:t>
          </w:r>
          <w:r>
            <w:rPr>
              <w:rFonts w:hint="eastAsia" w:eastAsia="楷体_GB2312"/>
              <w:kern w:val="0"/>
              <w:sz w:val="32"/>
              <w:szCs w:val="32"/>
              <w:lang w:val="zh-CN"/>
            </w:rPr>
            <w:t>件</w:t>
          </w:r>
          <w:r>
            <w:rPr>
              <w:rFonts w:eastAsia="楷体_GB2312"/>
              <w:kern w:val="0"/>
              <w:sz w:val="32"/>
              <w:szCs w:val="32"/>
              <w:lang w:val="zh-CN"/>
            </w:rPr>
            <w:t>2：</w:t>
          </w:r>
          <w:r>
            <w:rPr>
              <w:rFonts w:hint="eastAsia" w:eastAsia="楷体_GB2312"/>
              <w:kern w:val="0"/>
              <w:sz w:val="32"/>
              <w:szCs w:val="32"/>
              <w:lang w:val="zh-CN"/>
            </w:rPr>
            <w:t>问题清单</w:t>
          </w:r>
          <w:r>
            <w:rPr>
              <w:rFonts w:eastAsia="楷体_GB2312"/>
              <w:kern w:val="0"/>
              <w:sz w:val="32"/>
              <w:szCs w:val="32"/>
              <w:lang w:val="zh-CN"/>
            </w:rPr>
            <w:tab/>
          </w:r>
          <w:r>
            <w:rPr>
              <w:rFonts w:eastAsia="楷体_GB2312"/>
              <w:kern w:val="0"/>
              <w:sz w:val="32"/>
              <w:szCs w:val="32"/>
              <w:lang w:val="zh-CN"/>
            </w:rPr>
            <w:t>38</w:t>
          </w:r>
          <w:r>
            <w:rPr>
              <w:rFonts w:eastAsia="楷体_GB2312"/>
              <w:kern w:val="0"/>
              <w:sz w:val="32"/>
              <w:szCs w:val="32"/>
              <w:lang w:val="zh-CN"/>
            </w:rPr>
            <w:fldChar w:fldCharType="end"/>
          </w:r>
        </w:p>
        <w:p>
          <w:pPr>
            <w:pStyle w:val="19"/>
            <w:tabs>
              <w:tab w:val="right" w:leader="dot" w:pos="8306"/>
            </w:tabs>
            <w:ind w:left="540"/>
            <w:rPr>
              <w:rFonts w:eastAsia="楷体_GB2312"/>
              <w:kern w:val="0"/>
              <w:sz w:val="32"/>
              <w:szCs w:val="32"/>
              <w:lang w:val="zh-CN"/>
            </w:rPr>
          </w:pPr>
          <w:r>
            <w:fldChar w:fldCharType="begin"/>
          </w:r>
          <w:r>
            <w:instrText xml:space="preserve"> HYPERLINK \l "_Toc17092" </w:instrText>
          </w:r>
          <w:r>
            <w:fldChar w:fldCharType="separate"/>
          </w:r>
          <w:r>
            <w:rPr>
              <w:rFonts w:eastAsia="楷体_GB2312"/>
              <w:kern w:val="0"/>
              <w:sz w:val="32"/>
              <w:szCs w:val="32"/>
              <w:lang w:val="zh-CN"/>
            </w:rPr>
            <w:t>附</w:t>
          </w:r>
          <w:r>
            <w:rPr>
              <w:rFonts w:hint="eastAsia" w:eastAsia="楷体_GB2312"/>
              <w:kern w:val="0"/>
              <w:sz w:val="32"/>
              <w:szCs w:val="32"/>
              <w:lang w:val="zh-CN"/>
            </w:rPr>
            <w:t>件3</w:t>
          </w:r>
          <w:r>
            <w:rPr>
              <w:rFonts w:eastAsia="楷体_GB2312"/>
              <w:kern w:val="0"/>
              <w:sz w:val="32"/>
              <w:szCs w:val="32"/>
              <w:lang w:val="zh-CN"/>
            </w:rPr>
            <w:t>：调查</w:t>
          </w:r>
          <w:r>
            <w:rPr>
              <w:rFonts w:hint="eastAsia" w:eastAsia="楷体_GB2312"/>
              <w:kern w:val="0"/>
              <w:sz w:val="32"/>
              <w:szCs w:val="32"/>
              <w:lang w:val="zh-CN"/>
            </w:rPr>
            <w:t>分析报告</w:t>
          </w:r>
          <w:r>
            <w:rPr>
              <w:rFonts w:eastAsia="楷体_GB2312"/>
              <w:kern w:val="0"/>
              <w:sz w:val="32"/>
              <w:szCs w:val="32"/>
              <w:lang w:val="zh-CN"/>
            </w:rPr>
            <w:tab/>
          </w:r>
          <w:r>
            <w:rPr>
              <w:rFonts w:eastAsia="楷体_GB2312"/>
              <w:kern w:val="0"/>
              <w:sz w:val="32"/>
              <w:szCs w:val="32"/>
              <w:lang w:val="zh-CN"/>
            </w:rPr>
            <w:t>39</w:t>
          </w:r>
          <w:r>
            <w:rPr>
              <w:rFonts w:eastAsia="楷体_GB2312"/>
              <w:kern w:val="0"/>
              <w:sz w:val="32"/>
              <w:szCs w:val="32"/>
              <w:lang w:val="zh-CN"/>
            </w:rPr>
            <w:fldChar w:fldCharType="end"/>
          </w:r>
        </w:p>
        <w:p>
          <w:pPr>
            <w:pStyle w:val="2"/>
            <w:tabs>
              <w:tab w:val="right" w:leader="dot" w:pos="8306"/>
            </w:tabs>
            <w:ind w:firstLine="540"/>
          </w:pPr>
          <w:r>
            <w:rPr>
              <w:bCs/>
              <w:lang w:val="zh-CN"/>
            </w:rPr>
            <w:fldChar w:fldCharType="end"/>
          </w:r>
        </w:p>
      </w:sdtContent>
    </w:sdt>
    <w:p>
      <w:pPr>
        <w:ind w:firstLine="540"/>
      </w:pPr>
    </w:p>
    <w:p>
      <w:pPr>
        <w:pStyle w:val="2"/>
        <w:ind w:firstLine="540"/>
        <w:sectPr>
          <w:headerReference r:id="rId11" w:type="default"/>
          <w:footerReference r:id="rId12" w:type="default"/>
          <w:footnotePr>
            <w:numFmt w:val="decimalEnclosedCircleChinese"/>
            <w:numRestart w:val="eachPage"/>
          </w:footnotePr>
          <w:pgSz w:w="11906" w:h="16838"/>
          <w:pgMar w:top="1440" w:right="1800" w:bottom="1440" w:left="1800" w:header="851" w:footer="992" w:gutter="0"/>
          <w:pgNumType w:fmt="numberInDash" w:start="1"/>
          <w:cols w:space="425" w:num="1"/>
          <w:docGrid w:type="lines" w:linePitch="312" w:charSpace="0"/>
        </w:sectPr>
      </w:pPr>
    </w:p>
    <w:bookmarkEnd w:id="0"/>
    <w:bookmarkEnd w:id="1"/>
    <w:bookmarkEnd w:id="2"/>
    <w:bookmarkEnd w:id="3"/>
    <w:bookmarkEnd w:id="4"/>
    <w:bookmarkEnd w:id="5"/>
    <w:p>
      <w:pPr>
        <w:pStyle w:val="3"/>
        <w:pageBreakBefore w:val="0"/>
        <w:spacing w:before="312" w:beforeLines="100" w:after="312" w:afterLines="100" w:line="600" w:lineRule="exact"/>
        <w:ind w:firstLine="0" w:firstLineChars="0"/>
        <w:jc w:val="center"/>
        <w:rPr>
          <w:rFonts w:ascii="方正小标宋简体" w:hAnsi="方正小标宋简体" w:eastAsia="方正小标宋简体" w:cs="方正小标宋简体"/>
          <w:kern w:val="0"/>
          <w:sz w:val="44"/>
          <w:szCs w:val="44"/>
        </w:rPr>
      </w:pPr>
      <w:bookmarkStart w:id="6" w:name="_Toc3307"/>
      <w:bookmarkStart w:id="7" w:name="_Toc2711"/>
      <w:bookmarkStart w:id="8" w:name="_Toc15849"/>
      <w:bookmarkStart w:id="9" w:name="_Toc1255"/>
      <w:bookmarkStart w:id="10" w:name="_Toc2588"/>
      <w:bookmarkStart w:id="11" w:name="_Toc11285"/>
      <w:bookmarkStart w:id="12" w:name="_Hlk24228435"/>
      <w:r>
        <w:rPr>
          <w:rFonts w:hint="eastAsia" w:ascii="方正小标宋简体" w:hAnsi="方正小标宋简体" w:eastAsia="方正小标宋简体" w:cs="方正小标宋简体"/>
          <w:kern w:val="0"/>
          <w:sz w:val="44"/>
          <w:szCs w:val="44"/>
        </w:rPr>
        <w:t>摘  要</w:t>
      </w:r>
      <w:bookmarkEnd w:id="6"/>
      <w:bookmarkEnd w:id="7"/>
    </w:p>
    <w:p>
      <w:pPr>
        <w:overflowPunct w:val="0"/>
        <w:autoSpaceDE w:val="0"/>
        <w:autoSpaceDN w:val="0"/>
        <w:adjustRightInd w:val="0"/>
        <w:spacing w:line="600" w:lineRule="exact"/>
        <w:textAlignment w:val="baseline"/>
        <w:outlineLvl w:val="0"/>
        <w:rPr>
          <w:rFonts w:eastAsia="黑体"/>
          <w:kern w:val="0"/>
          <w:sz w:val="32"/>
          <w:szCs w:val="32"/>
        </w:rPr>
      </w:pPr>
      <w:bookmarkStart w:id="13" w:name="_Toc1659"/>
      <w:r>
        <w:rPr>
          <w:rFonts w:hint="eastAsia" w:eastAsia="黑体"/>
          <w:kern w:val="0"/>
          <w:sz w:val="32"/>
          <w:szCs w:val="32"/>
        </w:rPr>
        <w:t>一、项目基本情况</w:t>
      </w:r>
      <w:bookmarkEnd w:id="8"/>
      <w:bookmarkEnd w:id="9"/>
      <w:bookmarkEnd w:id="10"/>
      <w:bookmarkEnd w:id="11"/>
      <w:bookmarkEnd w:id="13"/>
    </w:p>
    <w:p>
      <w:pPr>
        <w:spacing w:line="600" w:lineRule="exact"/>
        <w:rPr>
          <w:rFonts w:eastAsia="仿宋_GB2312"/>
          <w:kern w:val="0"/>
          <w:sz w:val="32"/>
          <w:szCs w:val="32"/>
        </w:rPr>
      </w:pPr>
      <w:bookmarkStart w:id="14" w:name="_Toc23899"/>
      <w:bookmarkStart w:id="15" w:name="_Toc24089"/>
      <w:r>
        <w:rPr>
          <w:rFonts w:eastAsia="仿宋_GB2312"/>
          <w:kern w:val="0"/>
          <w:sz w:val="32"/>
          <w:szCs w:val="32"/>
        </w:rPr>
        <w:t>省级下达资金</w:t>
      </w:r>
      <w:r>
        <w:rPr>
          <w:rFonts w:hint="eastAsia" w:eastAsia="仿宋_GB2312"/>
          <w:kern w:val="0"/>
          <w:sz w:val="32"/>
          <w:szCs w:val="32"/>
        </w:rPr>
        <w:t>：</w:t>
      </w:r>
      <w:r>
        <w:rPr>
          <w:rFonts w:eastAsia="仿宋_GB2312"/>
          <w:kern w:val="0"/>
          <w:sz w:val="32"/>
          <w:szCs w:val="32"/>
        </w:rPr>
        <w:t>济宁市财政局《关于提前下达2020年公共体育场馆向社会免费或低收费开放补助资金预算指标的通知》（济财教指（2019）84号）省级补助资金列“2296003用于体育事业的彩票公益金支出”50万元。济宁市财政局《关于提前下达2021年公共体育场馆向社会免费或低收费开放补助资金预算指标的通知》（济财教指（2020）59号）省级补助资金列“2296003用于体育事业的彩票公益金支出”50万元。</w:t>
      </w:r>
    </w:p>
    <w:p>
      <w:pPr>
        <w:spacing w:line="600" w:lineRule="exact"/>
        <w:rPr>
          <w:rFonts w:eastAsia="仿宋_GB2312"/>
          <w:kern w:val="0"/>
          <w:sz w:val="32"/>
          <w:szCs w:val="32"/>
        </w:rPr>
      </w:pPr>
      <w:r>
        <w:rPr>
          <w:rFonts w:eastAsia="仿宋_GB2312"/>
          <w:kern w:val="0"/>
          <w:sz w:val="32"/>
          <w:szCs w:val="32"/>
        </w:rPr>
        <w:t>市级下达资金</w:t>
      </w:r>
      <w:r>
        <w:rPr>
          <w:rFonts w:hint="eastAsia" w:eastAsia="仿宋_GB2312"/>
          <w:kern w:val="0"/>
          <w:sz w:val="32"/>
          <w:szCs w:val="32"/>
        </w:rPr>
        <w:t>：</w:t>
      </w:r>
      <w:r>
        <w:rPr>
          <w:rFonts w:eastAsia="仿宋_GB2312"/>
          <w:kern w:val="0"/>
          <w:sz w:val="32"/>
          <w:szCs w:val="32"/>
        </w:rPr>
        <w:t>济宁市财政局《关于下达市级体彩公益金资助“县校品牌”特色项目支出预算指标的通知》（济财综指（2018）32号）（济财综指（2019）21号）（济财综指（2020）14号）下达2018-2020年市级体彩公益金资助“县校品牌”特色项目支出预算指标合计18.5万元。</w:t>
      </w:r>
    </w:p>
    <w:p>
      <w:pPr>
        <w:spacing w:line="600" w:lineRule="exact"/>
        <w:rPr>
          <w:rFonts w:eastAsia="仿宋_GB2312"/>
          <w:kern w:val="0"/>
          <w:sz w:val="32"/>
          <w:szCs w:val="32"/>
        </w:rPr>
      </w:pPr>
      <w:r>
        <w:rPr>
          <w:rFonts w:eastAsia="仿宋_GB2312"/>
          <w:kern w:val="0"/>
          <w:sz w:val="32"/>
          <w:szCs w:val="32"/>
        </w:rPr>
        <w:t>其他资金安排情况</w:t>
      </w:r>
      <w:r>
        <w:rPr>
          <w:rFonts w:hint="eastAsia" w:eastAsia="仿宋_GB2312"/>
          <w:kern w:val="0"/>
          <w:sz w:val="32"/>
          <w:szCs w:val="32"/>
        </w:rPr>
        <w:t>：</w:t>
      </w:r>
      <w:r>
        <w:rPr>
          <w:rFonts w:eastAsia="仿宋_GB2312"/>
          <w:kern w:val="0"/>
          <w:sz w:val="32"/>
          <w:szCs w:val="32"/>
        </w:rPr>
        <w:t>2021年度，兖州区安排本级政府性基金预算145.18万元。其中，老体育中心物业服务资金</w:t>
      </w:r>
      <w:r>
        <w:rPr>
          <w:rFonts w:hint="eastAsia" w:eastAsia="仿宋_GB2312"/>
          <w:kern w:val="0"/>
          <w:sz w:val="32"/>
          <w:szCs w:val="32"/>
          <w:lang w:val="en-US" w:eastAsia="zh-CN"/>
        </w:rPr>
        <w:t>35.18</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新体育中心管理费用资金</w:t>
      </w:r>
      <w:r>
        <w:rPr>
          <w:rFonts w:hint="eastAsia" w:eastAsia="仿宋_GB2312"/>
          <w:kern w:val="0"/>
          <w:sz w:val="32"/>
          <w:szCs w:val="32"/>
          <w:lang w:val="en-US" w:eastAsia="zh-CN"/>
        </w:rPr>
        <w:t>96</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新体育馆消防改造资金</w:t>
      </w:r>
      <w:r>
        <w:rPr>
          <w:rFonts w:hint="eastAsia" w:eastAsia="仿宋_GB2312"/>
          <w:kern w:val="0"/>
          <w:sz w:val="32"/>
          <w:szCs w:val="32"/>
          <w:lang w:val="en-US" w:eastAsia="zh-CN"/>
        </w:rPr>
        <w:t>14万元</w:t>
      </w:r>
      <w:r>
        <w:rPr>
          <w:rFonts w:eastAsia="仿宋_GB2312"/>
          <w:kern w:val="0"/>
          <w:sz w:val="32"/>
          <w:szCs w:val="32"/>
        </w:rPr>
        <w:t>。</w:t>
      </w:r>
    </w:p>
    <w:bookmarkEnd w:id="14"/>
    <w:bookmarkEnd w:id="15"/>
    <w:p>
      <w:pPr>
        <w:spacing w:line="600" w:lineRule="exact"/>
        <w:rPr>
          <w:rFonts w:eastAsia="仿宋_GB2312"/>
          <w:kern w:val="0"/>
          <w:sz w:val="32"/>
          <w:szCs w:val="32"/>
        </w:rPr>
      </w:pPr>
      <w:bookmarkStart w:id="16" w:name="_Toc20195"/>
      <w:bookmarkStart w:id="17" w:name="_Toc5629"/>
      <w:r>
        <w:rPr>
          <w:rFonts w:eastAsia="仿宋_GB2312"/>
          <w:kern w:val="0"/>
          <w:sz w:val="32"/>
          <w:szCs w:val="32"/>
        </w:rPr>
        <w:t>2021年度，兖州区已完成年初设定目标。健身器材更换和维修支出29.996万元，2018-2020“县校品牌”拨付18.5万元，老体育中心物业费和维修费支出33.04万元，新体育中心支付欠济宁珠江体育文化发展有限公司以前年度运营费96万元、欠永康物业过渡期临时管理费用14.5779万元，新体育中心支付电梯维保费、监控、网球馆大屏维修费、电费、泳池消杀用品费等合计约71.566万元。</w:t>
      </w:r>
    </w:p>
    <w:bookmarkEnd w:id="16"/>
    <w:bookmarkEnd w:id="17"/>
    <w:p>
      <w:pPr>
        <w:overflowPunct w:val="0"/>
        <w:autoSpaceDE w:val="0"/>
        <w:autoSpaceDN w:val="0"/>
        <w:adjustRightInd w:val="0"/>
        <w:spacing w:line="600" w:lineRule="exact"/>
        <w:textAlignment w:val="baseline"/>
        <w:outlineLvl w:val="0"/>
        <w:rPr>
          <w:rFonts w:eastAsia="黑体"/>
          <w:kern w:val="0"/>
          <w:sz w:val="32"/>
          <w:szCs w:val="32"/>
        </w:rPr>
      </w:pPr>
      <w:bookmarkStart w:id="18" w:name="_Toc3503"/>
      <w:bookmarkStart w:id="19" w:name="_Toc22483"/>
      <w:bookmarkStart w:id="20" w:name="_Toc26241"/>
      <w:bookmarkStart w:id="21" w:name="_Toc7829"/>
      <w:bookmarkStart w:id="22" w:name="_Toc29092"/>
      <w:r>
        <w:rPr>
          <w:rFonts w:hint="eastAsia" w:eastAsia="黑体"/>
          <w:kern w:val="0"/>
          <w:sz w:val="32"/>
          <w:szCs w:val="32"/>
        </w:rPr>
        <w:t>二、项目绩效目标</w:t>
      </w:r>
      <w:bookmarkEnd w:id="18"/>
      <w:bookmarkEnd w:id="19"/>
      <w:bookmarkEnd w:id="20"/>
      <w:bookmarkEnd w:id="21"/>
      <w:bookmarkEnd w:id="22"/>
    </w:p>
    <w:p>
      <w:pPr>
        <w:overflowPunct w:val="0"/>
        <w:autoSpaceDE w:val="0"/>
        <w:autoSpaceDN w:val="0"/>
        <w:adjustRightInd w:val="0"/>
        <w:spacing w:line="600" w:lineRule="exact"/>
        <w:jc w:val="left"/>
        <w:textAlignment w:val="baseline"/>
        <w:outlineLvl w:val="1"/>
        <w:rPr>
          <w:rFonts w:eastAsia="仿宋_GB2312"/>
          <w:kern w:val="0"/>
          <w:sz w:val="32"/>
          <w:szCs w:val="32"/>
        </w:rPr>
      </w:pPr>
      <w:bookmarkStart w:id="23" w:name="_Toc16386"/>
      <w:bookmarkStart w:id="24" w:name="_Toc14231"/>
      <w:bookmarkStart w:id="25" w:name="_Toc8921"/>
      <w:r>
        <w:rPr>
          <w:rFonts w:hint="eastAsia" w:eastAsia="楷体"/>
          <w:kern w:val="0"/>
          <w:sz w:val="32"/>
          <w:szCs w:val="32"/>
        </w:rPr>
        <w:t>项目长期绩效目标</w:t>
      </w:r>
      <w:bookmarkEnd w:id="23"/>
      <w:bookmarkEnd w:id="24"/>
      <w:bookmarkEnd w:id="25"/>
      <w:r>
        <w:rPr>
          <w:rFonts w:hint="eastAsia" w:eastAsia="楷体"/>
          <w:kern w:val="0"/>
          <w:sz w:val="32"/>
          <w:szCs w:val="32"/>
        </w:rPr>
        <w:t>：</w:t>
      </w:r>
      <w:r>
        <w:rPr>
          <w:rFonts w:eastAsia="仿宋_GB2312"/>
          <w:kern w:val="0"/>
          <w:sz w:val="32"/>
          <w:szCs w:val="32"/>
        </w:rPr>
        <w:t>通过体彩公益金的投入，确保公共体育场馆免费、低收费开放，做好体育场馆、设施建设与维护工作，保证场馆建筑、设备设施的常态化运行及完好率，做好公共健身场所建设器材配置维护和"县校品牌"体育特色项目，确保广大人民群众参与健身活动的积极性高涨，全民健身意识增强，健身环境显著提升，收到良好的社会效益。</w:t>
      </w:r>
    </w:p>
    <w:p>
      <w:pPr>
        <w:overflowPunct w:val="0"/>
        <w:autoSpaceDE w:val="0"/>
        <w:autoSpaceDN w:val="0"/>
        <w:adjustRightInd w:val="0"/>
        <w:spacing w:line="600" w:lineRule="exact"/>
        <w:jc w:val="left"/>
        <w:textAlignment w:val="baseline"/>
        <w:outlineLvl w:val="1"/>
        <w:rPr>
          <w:rFonts w:eastAsia="仿宋_GB2312"/>
          <w:kern w:val="0"/>
          <w:sz w:val="32"/>
          <w:szCs w:val="32"/>
        </w:rPr>
      </w:pPr>
      <w:bookmarkStart w:id="26" w:name="_Toc20991"/>
      <w:bookmarkStart w:id="27" w:name="_Toc26547"/>
      <w:bookmarkStart w:id="28" w:name="_Toc25876"/>
      <w:r>
        <w:rPr>
          <w:rFonts w:hint="eastAsia" w:eastAsia="楷体"/>
          <w:kern w:val="0"/>
          <w:sz w:val="32"/>
          <w:szCs w:val="32"/>
        </w:rPr>
        <w:t>项目年度绩效目标</w:t>
      </w:r>
      <w:bookmarkEnd w:id="26"/>
      <w:bookmarkEnd w:id="27"/>
      <w:bookmarkEnd w:id="28"/>
      <w:r>
        <w:rPr>
          <w:rFonts w:hint="eastAsia" w:eastAsia="楷体"/>
          <w:kern w:val="0"/>
          <w:sz w:val="32"/>
          <w:szCs w:val="32"/>
        </w:rPr>
        <w:t>：</w:t>
      </w:r>
      <w:r>
        <w:rPr>
          <w:rFonts w:eastAsia="仿宋_GB2312"/>
          <w:kern w:val="0"/>
          <w:sz w:val="32"/>
          <w:szCs w:val="32"/>
        </w:rPr>
        <w:t>通过体彩公益金的投入，确保2021年场馆免费、低收费开放，做好体育场馆、设施建设与维护，保证场馆建筑、设备设施的常态化运行及完好率,做好公共健身场所建设器材配置维护和“县校品牌”体育特色项目工作。</w:t>
      </w:r>
    </w:p>
    <w:p>
      <w:pPr>
        <w:overflowPunct w:val="0"/>
        <w:autoSpaceDE w:val="0"/>
        <w:autoSpaceDN w:val="0"/>
        <w:adjustRightInd w:val="0"/>
        <w:spacing w:line="600" w:lineRule="exact"/>
        <w:textAlignment w:val="baseline"/>
        <w:outlineLvl w:val="0"/>
        <w:rPr>
          <w:rFonts w:eastAsia="黑体"/>
          <w:kern w:val="0"/>
          <w:sz w:val="32"/>
          <w:szCs w:val="32"/>
        </w:rPr>
      </w:pPr>
      <w:bookmarkStart w:id="29" w:name="_Toc10349"/>
      <w:bookmarkStart w:id="30" w:name="_Toc12592"/>
      <w:bookmarkStart w:id="31" w:name="_Toc28079"/>
      <w:r>
        <w:rPr>
          <w:rFonts w:hint="eastAsia" w:eastAsia="黑体"/>
          <w:kern w:val="0"/>
          <w:sz w:val="32"/>
          <w:szCs w:val="32"/>
        </w:rPr>
        <w:t>三、绩效评价工作开展情况</w:t>
      </w:r>
      <w:bookmarkEnd w:id="29"/>
      <w:bookmarkEnd w:id="30"/>
      <w:bookmarkEnd w:id="31"/>
    </w:p>
    <w:p>
      <w:pPr>
        <w:spacing w:line="600" w:lineRule="exact"/>
        <w:rPr>
          <w:rFonts w:eastAsia="仿宋_GB2312"/>
          <w:kern w:val="0"/>
          <w:sz w:val="32"/>
          <w:szCs w:val="32"/>
        </w:rPr>
      </w:pPr>
      <w:bookmarkStart w:id="32" w:name="_Toc3463"/>
      <w:bookmarkStart w:id="33" w:name="_Toc17016"/>
      <w:r>
        <w:rPr>
          <w:rFonts w:eastAsia="仿宋_GB2312"/>
          <w:kern w:val="0"/>
          <w:sz w:val="32"/>
          <w:szCs w:val="32"/>
        </w:rPr>
        <w:t>根据本次评价项目属性和特点等项目的实际情况，结合《关于印发&lt;预算绩效评价共性指标体系框架&gt;的通知》（财预〔2013〕53号）和《财政部关于印发&lt;财政支出绩效评价管理暂行办法&gt;的通知》（财预〔2011〕285号）等文件，参照省财政厅预算绩效管理处印发的《财政重点项目第三方绩效评价组织实施工作流程》等的文件政策的要求，结合项目的具体情况，形成2021年度用于体育事业的彩票公益金支出绩效评价指标体系。</w:t>
      </w:r>
    </w:p>
    <w:p>
      <w:pPr>
        <w:spacing w:line="600" w:lineRule="exact"/>
        <w:rPr>
          <w:rFonts w:eastAsia="仿宋_GB2312"/>
          <w:kern w:val="0"/>
          <w:sz w:val="32"/>
          <w:szCs w:val="32"/>
        </w:rPr>
      </w:pPr>
      <w:r>
        <w:rPr>
          <w:rFonts w:eastAsia="仿宋_GB2312"/>
          <w:kern w:val="0"/>
          <w:sz w:val="32"/>
          <w:szCs w:val="32"/>
        </w:rPr>
        <w:t>绩效评价指标的确定原则</w:t>
      </w:r>
      <w:bookmarkEnd w:id="32"/>
      <w:bookmarkEnd w:id="33"/>
      <w:bookmarkStart w:id="34" w:name="_Toc10913"/>
      <w:bookmarkStart w:id="35" w:name="_Toc25280"/>
      <w:r>
        <w:rPr>
          <w:rFonts w:hint="eastAsia" w:eastAsia="仿宋_GB2312"/>
          <w:kern w:val="0"/>
          <w:sz w:val="32"/>
          <w:szCs w:val="32"/>
        </w:rPr>
        <w:t>：</w:t>
      </w:r>
      <w:r>
        <w:rPr>
          <w:rFonts w:eastAsia="仿宋_GB2312"/>
          <w:kern w:val="0"/>
          <w:sz w:val="32"/>
          <w:szCs w:val="32"/>
        </w:rPr>
        <w:t>相关性原则</w:t>
      </w:r>
      <w:r>
        <w:rPr>
          <w:rFonts w:hint="eastAsia" w:eastAsia="仿宋_GB2312"/>
          <w:kern w:val="0"/>
          <w:sz w:val="32"/>
          <w:szCs w:val="32"/>
        </w:rPr>
        <w:t>、</w:t>
      </w:r>
      <w:r>
        <w:rPr>
          <w:rFonts w:eastAsia="仿宋_GB2312"/>
          <w:kern w:val="0"/>
          <w:sz w:val="32"/>
          <w:szCs w:val="32"/>
        </w:rPr>
        <w:t>重要性原则</w:t>
      </w:r>
      <w:r>
        <w:rPr>
          <w:rFonts w:hint="eastAsia" w:eastAsia="仿宋_GB2312"/>
          <w:kern w:val="0"/>
          <w:sz w:val="32"/>
          <w:szCs w:val="32"/>
        </w:rPr>
        <w:t>、</w:t>
      </w:r>
      <w:r>
        <w:rPr>
          <w:rFonts w:eastAsia="仿宋_GB2312"/>
          <w:kern w:val="0"/>
          <w:sz w:val="32"/>
          <w:szCs w:val="32"/>
        </w:rPr>
        <w:t>可比性原则</w:t>
      </w:r>
      <w:r>
        <w:rPr>
          <w:rFonts w:hint="eastAsia" w:eastAsia="仿宋_GB2312"/>
          <w:kern w:val="0"/>
          <w:sz w:val="32"/>
          <w:szCs w:val="32"/>
        </w:rPr>
        <w:t>、</w:t>
      </w:r>
      <w:r>
        <w:rPr>
          <w:rFonts w:eastAsia="仿宋_GB2312"/>
          <w:kern w:val="0"/>
          <w:sz w:val="32"/>
          <w:szCs w:val="32"/>
        </w:rPr>
        <w:t>系统性原则</w:t>
      </w:r>
      <w:r>
        <w:rPr>
          <w:rFonts w:hint="eastAsia" w:eastAsia="仿宋_GB2312"/>
          <w:kern w:val="0"/>
          <w:sz w:val="32"/>
          <w:szCs w:val="32"/>
        </w:rPr>
        <w:t>、</w:t>
      </w:r>
      <w:r>
        <w:rPr>
          <w:rFonts w:eastAsia="仿宋_GB2312"/>
          <w:kern w:val="0"/>
          <w:sz w:val="32"/>
          <w:szCs w:val="32"/>
        </w:rPr>
        <w:t>经济性原则。</w:t>
      </w:r>
      <w:bookmarkEnd w:id="34"/>
      <w:bookmarkEnd w:id="35"/>
    </w:p>
    <w:p>
      <w:pPr>
        <w:spacing w:line="600" w:lineRule="exact"/>
        <w:rPr>
          <w:rFonts w:eastAsia="仿宋_GB2312"/>
          <w:kern w:val="0"/>
          <w:sz w:val="32"/>
          <w:szCs w:val="32"/>
        </w:rPr>
      </w:pPr>
      <w:bookmarkStart w:id="36" w:name="_Toc14695"/>
      <w:bookmarkStart w:id="37" w:name="_Toc7417"/>
      <w:r>
        <w:rPr>
          <w:rFonts w:eastAsia="仿宋_GB2312"/>
          <w:kern w:val="0"/>
          <w:sz w:val="32"/>
          <w:szCs w:val="32"/>
        </w:rPr>
        <w:t>本次绩效评价指标总标准分值为100分，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bookmarkEnd w:id="36"/>
    <w:bookmarkEnd w:id="37"/>
    <w:p>
      <w:pPr>
        <w:overflowPunct w:val="0"/>
        <w:autoSpaceDE w:val="0"/>
        <w:autoSpaceDN w:val="0"/>
        <w:adjustRightInd w:val="0"/>
        <w:spacing w:line="600" w:lineRule="exact"/>
        <w:textAlignment w:val="baseline"/>
        <w:outlineLvl w:val="0"/>
        <w:rPr>
          <w:rFonts w:eastAsia="黑体"/>
          <w:kern w:val="0"/>
          <w:sz w:val="32"/>
          <w:szCs w:val="32"/>
        </w:rPr>
      </w:pPr>
      <w:bookmarkStart w:id="38" w:name="_Toc18518"/>
      <w:bookmarkStart w:id="39" w:name="_Toc15227"/>
      <w:bookmarkStart w:id="40" w:name="_Toc9329"/>
      <w:r>
        <w:rPr>
          <w:rFonts w:hint="eastAsia" w:eastAsia="黑体"/>
          <w:kern w:val="0"/>
          <w:sz w:val="32"/>
          <w:szCs w:val="32"/>
        </w:rPr>
        <w:t>四、综合评价情况及评价结论</w:t>
      </w:r>
      <w:bookmarkEnd w:id="38"/>
      <w:bookmarkEnd w:id="39"/>
      <w:bookmarkEnd w:id="40"/>
    </w:p>
    <w:p>
      <w:pPr>
        <w:spacing w:line="600" w:lineRule="exact"/>
        <w:rPr>
          <w:rFonts w:eastAsia="仿宋_GB2312"/>
          <w:kern w:val="0"/>
          <w:sz w:val="32"/>
          <w:szCs w:val="32"/>
        </w:rPr>
      </w:pPr>
      <w:bookmarkStart w:id="41" w:name="_Toc8753"/>
      <w:bookmarkStart w:id="42" w:name="_Toc9114"/>
      <w:bookmarkStart w:id="43" w:name="_Toc6317"/>
      <w:bookmarkStart w:id="44" w:name="_Toc25959"/>
      <w:bookmarkStart w:id="45" w:name="_Toc2206"/>
      <w:bookmarkStart w:id="46" w:name="_Toc13437"/>
      <w:bookmarkStart w:id="47" w:name="_Toc17464"/>
      <w:bookmarkStart w:id="48" w:name="_Toc14620"/>
      <w:bookmarkStart w:id="49" w:name="_Toc11816"/>
      <w:r>
        <w:rPr>
          <w:rFonts w:eastAsia="仿宋_GB2312"/>
          <w:kern w:val="0"/>
          <w:sz w:val="32"/>
          <w:szCs w:val="32"/>
        </w:rPr>
        <w:t>本次2021年度用于体育事业的彩票公益金支出得分88分。本项目评价等级为“良”。</w:t>
      </w:r>
      <w:bookmarkEnd w:id="41"/>
      <w:bookmarkEnd w:id="42"/>
      <w:bookmarkEnd w:id="43"/>
      <w:bookmarkEnd w:id="44"/>
      <w:bookmarkEnd w:id="45"/>
      <w:bookmarkEnd w:id="46"/>
      <w:bookmarkEnd w:id="47"/>
    </w:p>
    <w:bookmarkEnd w:id="48"/>
    <w:bookmarkEnd w:id="49"/>
    <w:p>
      <w:pPr>
        <w:spacing w:line="600" w:lineRule="exact"/>
        <w:rPr>
          <w:rFonts w:eastAsia="仿宋_GB2312"/>
          <w:kern w:val="0"/>
          <w:sz w:val="32"/>
          <w:szCs w:val="32"/>
        </w:rPr>
      </w:pPr>
      <w:r>
        <w:rPr>
          <w:rFonts w:eastAsia="仿宋_GB2312"/>
          <w:kern w:val="0"/>
          <w:sz w:val="32"/>
          <w:szCs w:val="32"/>
        </w:rPr>
        <w:t>项目立项依据充分，绩效目标合理，业务管理规范，资金到位及时，支出合规合理，实现了预期目标，取得了较好的社会效益，全民健身意识增强，极大地满足了群众体育健身需求</w:t>
      </w:r>
      <w:r>
        <w:rPr>
          <w:rFonts w:hint="eastAsia" w:eastAsia="仿宋_GB2312"/>
          <w:kern w:val="0"/>
          <w:sz w:val="32"/>
          <w:szCs w:val="32"/>
        </w:rPr>
        <w:t>。</w:t>
      </w:r>
      <w:r>
        <w:rPr>
          <w:rFonts w:eastAsia="仿宋_GB2312"/>
          <w:kern w:val="0"/>
          <w:sz w:val="32"/>
          <w:szCs w:val="32"/>
        </w:rPr>
        <w:t>但项目绩效目标不够细化，指标值不够清晰、可衡量，未制定对第三方运营服务公司相关考核监管细则，老体育中心室外羽毛球、篮球场地面起皮破损情况比较严重，尚未组织维修。</w:t>
      </w:r>
    </w:p>
    <w:p>
      <w:pPr>
        <w:overflowPunct w:val="0"/>
        <w:autoSpaceDE w:val="0"/>
        <w:autoSpaceDN w:val="0"/>
        <w:adjustRightInd w:val="0"/>
        <w:spacing w:line="600" w:lineRule="exact"/>
        <w:textAlignment w:val="baseline"/>
        <w:outlineLvl w:val="0"/>
        <w:rPr>
          <w:rFonts w:eastAsia="黑体"/>
          <w:kern w:val="0"/>
          <w:sz w:val="32"/>
          <w:szCs w:val="32"/>
        </w:rPr>
      </w:pPr>
      <w:bookmarkStart w:id="50" w:name="_Toc9199"/>
      <w:bookmarkStart w:id="51" w:name="_Toc29098"/>
      <w:bookmarkStart w:id="52" w:name="_Toc12037"/>
      <w:r>
        <w:rPr>
          <w:rFonts w:hint="eastAsia" w:eastAsia="黑体"/>
          <w:kern w:val="0"/>
          <w:sz w:val="32"/>
          <w:szCs w:val="32"/>
        </w:rPr>
        <w:t>五、存在的问题</w:t>
      </w:r>
      <w:bookmarkEnd w:id="50"/>
      <w:bookmarkEnd w:id="51"/>
      <w:bookmarkEnd w:id="52"/>
    </w:p>
    <w:p>
      <w:pPr>
        <w:overflowPunct w:val="0"/>
        <w:autoSpaceDE w:val="0"/>
        <w:autoSpaceDN w:val="0"/>
        <w:adjustRightInd w:val="0"/>
        <w:spacing w:line="600" w:lineRule="exact"/>
        <w:jc w:val="left"/>
        <w:textAlignment w:val="baseline"/>
        <w:outlineLvl w:val="1"/>
        <w:rPr>
          <w:rFonts w:eastAsia="楷体"/>
          <w:kern w:val="0"/>
          <w:sz w:val="32"/>
          <w:szCs w:val="32"/>
        </w:rPr>
      </w:pPr>
      <w:bookmarkStart w:id="53" w:name="_Toc2328"/>
      <w:r>
        <w:rPr>
          <w:rFonts w:hint="eastAsia" w:eastAsia="楷体"/>
          <w:kern w:val="0"/>
          <w:sz w:val="32"/>
          <w:szCs w:val="32"/>
        </w:rPr>
        <w:t>（一）绩效指标不够细化、量化</w:t>
      </w:r>
      <w:bookmarkEnd w:id="53"/>
    </w:p>
    <w:p>
      <w:pPr>
        <w:spacing w:line="600" w:lineRule="exact"/>
        <w:rPr>
          <w:rFonts w:eastAsia="仿宋_GB2312"/>
          <w:kern w:val="0"/>
          <w:sz w:val="32"/>
          <w:szCs w:val="32"/>
        </w:rPr>
      </w:pPr>
      <w:r>
        <w:rPr>
          <w:rFonts w:eastAsia="仿宋_GB2312"/>
          <w:kern w:val="0"/>
          <w:sz w:val="32"/>
          <w:szCs w:val="32"/>
        </w:rPr>
        <w:t>根据项目单位提供的济宁市用于体育事业的彩票公益金支出绩效目标申报表（2021年），项目绩效目标细化，产出指标的指标值清晰、可衡量，指标值与项目年度任务数或计划数相对应。但是效益指标用“体育事业发展”、“全民健身意识”等，不易衡量，导致后续绩效管理工作中难以精准监控和客观评价。</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54" w:name="_Toc22778"/>
      <w:r>
        <w:rPr>
          <w:rFonts w:hint="eastAsia" w:eastAsia="楷体"/>
          <w:kern w:val="0"/>
          <w:sz w:val="32"/>
          <w:szCs w:val="32"/>
        </w:rPr>
        <w:t>（二）未制定对第三方运营服务公司相关考核监管细则</w:t>
      </w:r>
      <w:bookmarkEnd w:id="54"/>
    </w:p>
    <w:p>
      <w:pPr>
        <w:spacing w:line="600" w:lineRule="exact"/>
        <w:rPr>
          <w:rFonts w:eastAsia="仿宋_GB2312"/>
          <w:kern w:val="0"/>
          <w:sz w:val="32"/>
          <w:szCs w:val="32"/>
        </w:rPr>
      </w:pPr>
      <w:r>
        <w:rPr>
          <w:rFonts w:eastAsia="仿宋_GB2312"/>
          <w:kern w:val="0"/>
          <w:sz w:val="32"/>
          <w:szCs w:val="32"/>
        </w:rPr>
        <w:t>根据《兖州新体育中心运营监督管理办公室工作职责》，监管办每月对物业公司进行巡查一次，统计活动开展情况和运营管理情况，发现问题形成巡查记录，督查整改，每月汇报一次，通报所有监管情况，但是未制定考核细则，未提供结果，老体育中心也未提供相关考核制度及结果资料。</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55" w:name="_Toc6767"/>
      <w:r>
        <w:rPr>
          <w:rFonts w:hint="eastAsia" w:eastAsia="楷体"/>
          <w:kern w:val="0"/>
          <w:sz w:val="32"/>
          <w:szCs w:val="32"/>
        </w:rPr>
        <w:t>（三）未及时组织老体育中心室外羽毛球、篮球场地面维修</w:t>
      </w:r>
      <w:bookmarkEnd w:id="55"/>
    </w:p>
    <w:p>
      <w:pPr>
        <w:spacing w:line="600" w:lineRule="exact"/>
        <w:rPr>
          <w:rFonts w:eastAsia="仿宋_GB2312"/>
          <w:kern w:val="0"/>
          <w:sz w:val="32"/>
          <w:szCs w:val="32"/>
        </w:rPr>
      </w:pPr>
      <w:r>
        <w:rPr>
          <w:rFonts w:eastAsia="仿宋_GB2312"/>
          <w:kern w:val="0"/>
          <w:sz w:val="32"/>
          <w:szCs w:val="32"/>
        </w:rPr>
        <w:t>老体育馆于2018年4月正式启动改造升级。改造升级后的体育馆整合了游泳馆，并建设了停车场；设有乒乓球、羽毛球、篮球、足球等场地。根据现场调研时了解到的情况，老体育中心室外羽毛球、篮球场地面目前起皮破损情况比较严重，尚未组织维修。</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56" w:name="_Toc8302"/>
      <w:r>
        <w:rPr>
          <w:rFonts w:hint="eastAsia" w:eastAsia="楷体"/>
          <w:kern w:val="0"/>
          <w:sz w:val="32"/>
          <w:szCs w:val="32"/>
        </w:rPr>
        <w:t>（四）未编制体彩公益金项目预算</w:t>
      </w:r>
      <w:bookmarkEnd w:id="56"/>
    </w:p>
    <w:p>
      <w:pPr>
        <w:spacing w:line="600" w:lineRule="exact"/>
        <w:rPr>
          <w:rFonts w:eastAsia="仿宋_GB2312"/>
          <w:kern w:val="0"/>
          <w:sz w:val="32"/>
          <w:szCs w:val="32"/>
        </w:rPr>
      </w:pPr>
      <w:r>
        <w:rPr>
          <w:rFonts w:eastAsia="仿宋_GB2312"/>
          <w:kern w:val="0"/>
          <w:sz w:val="32"/>
          <w:szCs w:val="32"/>
        </w:rPr>
        <w:t>2021年济宁市兖州区体育事业发展中心用于体育事业的彩票公益金支出来源包括2019省级补助资金列“2296003用于体育事业的彩票公益金支出”50万元，2020省级补助资金列“2296003用于体育事业的彩票公益金支出”50万元，济宁市财政局下达2018-2020年市级体彩公益金资助“县校品牌”特色项目支出预算指标合计18.5万元，2021年度兖州区安排本级政府性基金预算145.18万元。但是未编制体彩公益金项目预算。</w:t>
      </w:r>
    </w:p>
    <w:p>
      <w:pPr>
        <w:overflowPunct w:val="0"/>
        <w:autoSpaceDE w:val="0"/>
        <w:autoSpaceDN w:val="0"/>
        <w:adjustRightInd w:val="0"/>
        <w:spacing w:line="600" w:lineRule="exact"/>
        <w:textAlignment w:val="baseline"/>
        <w:outlineLvl w:val="0"/>
        <w:rPr>
          <w:rFonts w:eastAsia="黑体"/>
          <w:kern w:val="0"/>
          <w:sz w:val="32"/>
          <w:szCs w:val="32"/>
        </w:rPr>
      </w:pPr>
      <w:bookmarkStart w:id="57" w:name="_Toc19423"/>
      <w:bookmarkStart w:id="58" w:name="_Toc22090"/>
      <w:bookmarkStart w:id="59" w:name="_Toc12390"/>
      <w:r>
        <w:rPr>
          <w:rFonts w:hint="eastAsia" w:eastAsia="黑体"/>
          <w:kern w:val="0"/>
          <w:sz w:val="32"/>
          <w:szCs w:val="32"/>
        </w:rPr>
        <w:t>六、有关建议</w:t>
      </w:r>
      <w:bookmarkEnd w:id="57"/>
      <w:bookmarkEnd w:id="58"/>
      <w:bookmarkEnd w:id="59"/>
    </w:p>
    <w:p>
      <w:pPr>
        <w:spacing w:line="60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建议提高绩效指标设置的规范性。该项目可以用“体育馆低收费运营收入”衡量经济效益，用“体育馆免费低收费开放惠及人次”、“健身环境”、“体育健身活动场次”等衡量社会效益。</w:t>
      </w:r>
    </w:p>
    <w:p>
      <w:pPr>
        <w:overflowPunct w:val="0"/>
        <w:autoSpaceDE w:val="0"/>
        <w:autoSpaceDN w:val="0"/>
        <w:adjustRightInd w:val="0"/>
        <w:spacing w:line="600" w:lineRule="exact"/>
        <w:jc w:val="left"/>
        <w:textAlignment w:val="baseline"/>
        <w:outlineLvl w:val="1"/>
        <w:rPr>
          <w:rFonts w:ascii="仿宋_GB2312" w:hAnsi="仿宋_GB2312" w:eastAsia="仿宋_GB2312" w:cs="仿宋_GB2312"/>
          <w:kern w:val="0"/>
          <w:sz w:val="32"/>
          <w:szCs w:val="32"/>
        </w:rPr>
      </w:pPr>
      <w:bookmarkStart w:id="60" w:name="_Toc13735"/>
      <w:r>
        <w:rPr>
          <w:rFonts w:hint="eastAsia" w:ascii="仿宋_GB2312" w:hAnsi="仿宋_GB2312" w:eastAsia="仿宋_GB2312" w:cs="仿宋_GB2312"/>
          <w:kern w:val="0"/>
          <w:sz w:val="32"/>
          <w:szCs w:val="32"/>
        </w:rPr>
        <w:t>完善考核监管实施细则</w:t>
      </w:r>
      <w:bookmarkEnd w:id="60"/>
      <w:r>
        <w:rPr>
          <w:rFonts w:hint="eastAsia" w:ascii="仿宋_GB2312" w:hAnsi="仿宋_GB2312" w:eastAsia="仿宋_GB2312" w:cs="仿宋_GB2312"/>
          <w:kern w:val="0"/>
          <w:sz w:val="32"/>
          <w:szCs w:val="32"/>
        </w:rPr>
        <w:t>。进一步完善场馆日常运营、年度综合考核及资金监管等实施细则，实事求是进行考核，考核结果作为支付运营管理费用的重要依据。</w:t>
      </w:r>
    </w:p>
    <w:p>
      <w:pPr>
        <w:overflowPunct w:val="0"/>
        <w:autoSpaceDE w:val="0"/>
        <w:autoSpaceDN w:val="0"/>
        <w:adjustRightInd w:val="0"/>
        <w:spacing w:line="600" w:lineRule="exact"/>
        <w:jc w:val="left"/>
        <w:textAlignment w:val="baseline"/>
        <w:outlineLvl w:val="1"/>
        <w:rPr>
          <w:rFonts w:ascii="仿宋_GB2312" w:hAnsi="仿宋_GB2312" w:eastAsia="仿宋_GB2312" w:cs="仿宋_GB2312"/>
          <w:kern w:val="0"/>
          <w:sz w:val="32"/>
          <w:szCs w:val="32"/>
        </w:rPr>
      </w:pPr>
      <w:bookmarkStart w:id="61" w:name="_Toc10226"/>
      <w:r>
        <w:rPr>
          <w:rFonts w:hint="eastAsia" w:ascii="仿宋_GB2312" w:hAnsi="仿宋_GB2312" w:eastAsia="仿宋_GB2312" w:cs="仿宋_GB2312"/>
          <w:kern w:val="0"/>
          <w:sz w:val="32"/>
          <w:szCs w:val="32"/>
        </w:rPr>
        <w:t>建议制定体育场馆设施设备维护维修标准</w:t>
      </w:r>
      <w:bookmarkEnd w:id="61"/>
      <w:r>
        <w:rPr>
          <w:rFonts w:hint="eastAsia" w:ascii="仿宋_GB2312" w:hAnsi="仿宋_GB2312" w:eastAsia="仿宋_GB2312" w:cs="仿宋_GB2312"/>
          <w:kern w:val="0"/>
          <w:sz w:val="32"/>
          <w:szCs w:val="32"/>
        </w:rPr>
        <w:t>。建议制定体育场馆设施设备维护维修标准，确保体育场馆的专业设施设备得到科学而专业的维护和维修，提高体育场馆专项设施设备的管理水平和使用效果。</w:t>
      </w:r>
    </w:p>
    <w:p>
      <w:pPr>
        <w:overflowPunct w:val="0"/>
        <w:autoSpaceDE w:val="0"/>
        <w:autoSpaceDN w:val="0"/>
        <w:adjustRightInd w:val="0"/>
        <w:spacing w:line="600" w:lineRule="exact"/>
        <w:jc w:val="left"/>
        <w:textAlignment w:val="baseline"/>
        <w:outlineLvl w:val="1"/>
        <w:rPr>
          <w:rFonts w:eastAsia="仿宋_GB2312"/>
          <w:kern w:val="0"/>
          <w:sz w:val="32"/>
          <w:szCs w:val="32"/>
        </w:rPr>
      </w:pPr>
      <w:bookmarkStart w:id="62" w:name="_Toc21629"/>
      <w:r>
        <w:rPr>
          <w:rFonts w:hint="eastAsia" w:ascii="仿宋_GB2312" w:hAnsi="仿宋_GB2312" w:eastAsia="仿宋_GB2312" w:cs="仿宋_GB2312"/>
          <w:kern w:val="0"/>
          <w:sz w:val="32"/>
          <w:szCs w:val="32"/>
        </w:rPr>
        <w:t>建议切实把体彩公益金预算编制细化</w:t>
      </w:r>
      <w:bookmarkEnd w:id="62"/>
      <w:r>
        <w:rPr>
          <w:rFonts w:hint="eastAsia" w:ascii="仿宋_GB2312" w:hAnsi="仿宋_GB2312" w:eastAsia="仿宋_GB2312" w:cs="仿宋_GB2312"/>
          <w:kern w:val="0"/>
          <w:sz w:val="32"/>
          <w:szCs w:val="32"/>
        </w:rPr>
        <w:t>。根据体彩公益金预分配方案，结合体育事业发展规划和下一年度工作计划，组织申报项目预算及评审，按照政府性基金预算管理要求，汇总、编制体彩公益金预算。申报使用体彩公益金的项目支出必须符合体彩公益金的使用范围。应当贯彻勤俭节约的原则，分类细化编制，不断提高完整性、准确性和精细化程度</w:t>
      </w:r>
      <w:r>
        <w:rPr>
          <w:rFonts w:eastAsia="仿宋_GB2312"/>
          <w:kern w:val="0"/>
          <w:sz w:val="32"/>
          <w:szCs w:val="32"/>
        </w:rPr>
        <w:t>。</w:t>
      </w:r>
    </w:p>
    <w:p>
      <w:pPr>
        <w:spacing w:line="600" w:lineRule="exact"/>
        <w:rPr>
          <w:rFonts w:eastAsia="仿宋_GB2312"/>
          <w:kern w:val="0"/>
          <w:sz w:val="32"/>
          <w:szCs w:val="32"/>
        </w:rPr>
        <w:sectPr>
          <w:footerReference r:id="rId13" w:type="default"/>
          <w:footnotePr>
            <w:numFmt w:val="decimalEnclosedCircleChinese"/>
            <w:numRestart w:val="eachPage"/>
          </w:footnotePr>
          <w:pgSz w:w="11906" w:h="16838"/>
          <w:pgMar w:top="1440" w:right="1800" w:bottom="1440" w:left="1800" w:header="851" w:footer="992" w:gutter="0"/>
          <w:pgNumType w:fmt="numberInDash" w:start="1"/>
          <w:cols w:space="425" w:num="1"/>
          <w:docGrid w:type="lines" w:linePitch="312" w:charSpace="0"/>
        </w:sectPr>
      </w:pPr>
      <w:bookmarkStart w:id="63" w:name="_Toc8818"/>
    </w:p>
    <w:bookmarkEnd w:id="12"/>
    <w:bookmarkEnd w:id="63"/>
    <w:p>
      <w:pPr>
        <w:pStyle w:val="3"/>
        <w:pageBreakBefore w:val="0"/>
        <w:spacing w:before="312" w:beforeLines="100" w:after="312" w:afterLines="100" w:line="600" w:lineRule="exact"/>
        <w:ind w:firstLine="0" w:firstLineChars="0"/>
        <w:jc w:val="center"/>
        <w:rPr>
          <w:rFonts w:ascii="方正小标宋简体" w:hAnsi="方正小标宋简体" w:eastAsia="方正小标宋简体" w:cs="方正小标宋简体"/>
          <w:kern w:val="0"/>
          <w:sz w:val="44"/>
          <w:szCs w:val="44"/>
        </w:rPr>
      </w:pPr>
      <w:bookmarkStart w:id="64" w:name="_Toc3783"/>
      <w:bookmarkStart w:id="65" w:name="_Toc9480"/>
      <w:bookmarkStart w:id="66" w:name="_Toc24502"/>
      <w:bookmarkStart w:id="67" w:name="_Toc19415"/>
      <w:bookmarkStart w:id="68" w:name="_Toc24311766"/>
      <w:bookmarkStart w:id="69" w:name="_Toc65_WPSOffice_Level1"/>
      <w:bookmarkStart w:id="70" w:name="_Toc25650486"/>
      <w:bookmarkStart w:id="71" w:name="_Toc24374842"/>
      <w:bookmarkStart w:id="72" w:name="_Toc24374201"/>
    </w:p>
    <w:p>
      <w:pPr>
        <w:pStyle w:val="3"/>
        <w:pageBreakBefore w:val="0"/>
        <w:spacing w:before="312" w:beforeLines="100" w:after="312" w:afterLines="100" w:line="600" w:lineRule="exact"/>
        <w:ind w:firstLine="0" w:firstLineChars="0"/>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正文部分</w:t>
      </w:r>
      <w:bookmarkEnd w:id="64"/>
      <w:bookmarkEnd w:id="65"/>
      <w:bookmarkEnd w:id="66"/>
      <w:bookmarkEnd w:id="67"/>
    </w:p>
    <w:p>
      <w:pPr>
        <w:pStyle w:val="2"/>
        <w:spacing w:line="600" w:lineRule="exact"/>
        <w:rPr>
          <w:rFonts w:eastAsia="仿宋_GB2312"/>
          <w:kern w:val="0"/>
          <w:sz w:val="32"/>
          <w:szCs w:val="32"/>
        </w:rPr>
      </w:pPr>
      <w:r>
        <w:rPr>
          <w:rFonts w:hint="eastAsia" w:eastAsia="仿宋_GB2312"/>
          <w:kern w:val="0"/>
          <w:sz w:val="32"/>
          <w:szCs w:val="32"/>
        </w:rPr>
        <w:t>根据《中共中央 国务院关于全面实施预算绩效管理的意见》(中发〔2018〕34号)、《山东省人民政府关于深化预算管理制度改革的实施意见》（鲁政发〔2014〕20号）等有关文件的精神，兖州区财政局委托山东德睿融投资咨询有限公司，于2022年8月对2021年度用于体育事业的彩票公益金支出项目开展绩效评价。</w:t>
      </w:r>
    </w:p>
    <w:p>
      <w:pPr>
        <w:pStyle w:val="2"/>
        <w:spacing w:line="600" w:lineRule="exact"/>
        <w:rPr>
          <w:rFonts w:eastAsia="仿宋_GB2312"/>
          <w:kern w:val="0"/>
          <w:sz w:val="32"/>
          <w:szCs w:val="32"/>
        </w:rPr>
      </w:pPr>
      <w:r>
        <w:rPr>
          <w:rFonts w:hint="eastAsia" w:eastAsia="仿宋_GB2312"/>
          <w:kern w:val="0"/>
          <w:sz w:val="32"/>
          <w:szCs w:val="32"/>
        </w:rPr>
        <w:t>现将本次绩效评价情况报告如下：</w:t>
      </w:r>
    </w:p>
    <w:bookmarkEnd w:id="68"/>
    <w:bookmarkEnd w:id="69"/>
    <w:bookmarkEnd w:id="70"/>
    <w:bookmarkEnd w:id="71"/>
    <w:bookmarkEnd w:id="72"/>
    <w:p>
      <w:pPr>
        <w:overflowPunct w:val="0"/>
        <w:autoSpaceDE w:val="0"/>
        <w:autoSpaceDN w:val="0"/>
        <w:adjustRightInd w:val="0"/>
        <w:spacing w:line="600" w:lineRule="exact"/>
        <w:textAlignment w:val="baseline"/>
        <w:outlineLvl w:val="0"/>
        <w:rPr>
          <w:rFonts w:eastAsia="黑体"/>
          <w:kern w:val="0"/>
          <w:sz w:val="32"/>
          <w:szCs w:val="32"/>
        </w:rPr>
      </w:pPr>
      <w:bookmarkStart w:id="73" w:name="_Toc411"/>
      <w:bookmarkStart w:id="74" w:name="_Toc24374202"/>
      <w:bookmarkStart w:id="75" w:name="_Toc25650487"/>
      <w:bookmarkStart w:id="76" w:name="_Toc11694_WPSOffice_Level2"/>
      <w:bookmarkStart w:id="77" w:name="_Toc24374843"/>
      <w:bookmarkStart w:id="78" w:name="_Toc2390"/>
      <w:bookmarkStart w:id="79" w:name="_Toc25650488"/>
      <w:bookmarkStart w:id="80" w:name="_Toc24374203"/>
      <w:bookmarkStart w:id="81" w:name="_Toc24374844"/>
      <w:r>
        <w:rPr>
          <w:rFonts w:hint="eastAsia" w:eastAsia="黑体"/>
          <w:kern w:val="0"/>
          <w:sz w:val="32"/>
          <w:szCs w:val="32"/>
        </w:rPr>
        <w:t>一、项目基本情况</w:t>
      </w:r>
      <w:bookmarkEnd w:id="73"/>
    </w:p>
    <w:p>
      <w:pPr>
        <w:overflowPunct w:val="0"/>
        <w:autoSpaceDE w:val="0"/>
        <w:autoSpaceDN w:val="0"/>
        <w:adjustRightInd w:val="0"/>
        <w:spacing w:line="600" w:lineRule="exact"/>
        <w:jc w:val="left"/>
        <w:textAlignment w:val="baseline"/>
        <w:outlineLvl w:val="1"/>
        <w:rPr>
          <w:rFonts w:eastAsia="楷体"/>
          <w:kern w:val="0"/>
          <w:sz w:val="32"/>
          <w:szCs w:val="32"/>
        </w:rPr>
      </w:pPr>
      <w:bookmarkStart w:id="82" w:name="_Toc24503"/>
      <w:r>
        <w:rPr>
          <w:rFonts w:hint="eastAsia" w:eastAsia="楷体"/>
          <w:kern w:val="0"/>
          <w:sz w:val="32"/>
          <w:szCs w:val="32"/>
        </w:rPr>
        <w:t>（一）项目</w:t>
      </w:r>
      <w:bookmarkEnd w:id="74"/>
      <w:bookmarkEnd w:id="75"/>
      <w:bookmarkEnd w:id="76"/>
      <w:bookmarkEnd w:id="77"/>
      <w:r>
        <w:rPr>
          <w:rFonts w:hint="eastAsia" w:eastAsia="楷体"/>
          <w:kern w:val="0"/>
          <w:sz w:val="32"/>
          <w:szCs w:val="32"/>
        </w:rPr>
        <w:t>立项</w:t>
      </w:r>
      <w:bookmarkEnd w:id="78"/>
      <w:bookmarkEnd w:id="82"/>
    </w:p>
    <w:p>
      <w:pPr>
        <w:spacing w:line="600" w:lineRule="exact"/>
        <w:rPr>
          <w:rFonts w:eastAsia="仿宋_GB2312"/>
          <w:kern w:val="0"/>
          <w:sz w:val="32"/>
          <w:szCs w:val="32"/>
        </w:rPr>
      </w:pPr>
      <w:r>
        <w:rPr>
          <w:rFonts w:eastAsia="仿宋_GB2312"/>
          <w:kern w:val="0"/>
          <w:sz w:val="32"/>
          <w:szCs w:val="32"/>
        </w:rPr>
        <w:t>兖州区体育事业发展中心隶属于兖州区教育和体育局，体育彩票公益金是按照规定比例从体育彩票发行销售收入中提取的，专项用于发展体育事业的资金。</w:t>
      </w:r>
    </w:p>
    <w:p>
      <w:pPr>
        <w:spacing w:line="600" w:lineRule="exact"/>
        <w:rPr>
          <w:rFonts w:eastAsia="仿宋_GB2312"/>
          <w:kern w:val="0"/>
          <w:sz w:val="32"/>
          <w:szCs w:val="32"/>
        </w:rPr>
      </w:pPr>
      <w:r>
        <w:rPr>
          <w:rFonts w:eastAsia="仿宋_GB2312"/>
          <w:kern w:val="0"/>
          <w:sz w:val="32"/>
          <w:szCs w:val="32"/>
        </w:rPr>
        <w:t>根据《彩票管理条例》（国务院令第554号）、《财政部关于印发〈彩票公益金管理办法〉的通知》（财综〔2012〕15号）、《山东省省级体育彩票公益金支持体育事业发展专项资金管理办法》（鲁财文资〔2017〕59号）等有关法律法规和制度规定，体彩公益金按照政府性基金管理办法纳入预算，专款专用，结转结余按规定下年继续使用，不得用于平衡一般预算。体彩公益金的管理使用，应当严格执行国家法律法规和财务规章制度，遵循“取之于民、用之于民”的导向，坚持统筹规划、合理安排、突出重点的原则，推动全民健身活动广泛开展，促进全省体育事业协调发展，加快体育强省建设。体彩公益金支持范围包括公共体育服务、全民健身工程建设与活动开展、竞技体育发展、青少年体育培养和省政府确定的其他体育事业重大专项</w:t>
      </w:r>
      <w:r>
        <w:rPr>
          <w:rFonts w:hint="eastAsia" w:eastAsia="仿宋_GB2312"/>
          <w:kern w:val="0"/>
          <w:sz w:val="32"/>
          <w:szCs w:val="32"/>
        </w:rPr>
        <w:t>。</w:t>
      </w:r>
    </w:p>
    <w:p>
      <w:pPr>
        <w:spacing w:line="600" w:lineRule="exact"/>
        <w:rPr>
          <w:rFonts w:eastAsia="仿宋_GB2312"/>
          <w:kern w:val="0"/>
          <w:sz w:val="32"/>
          <w:szCs w:val="32"/>
        </w:rPr>
      </w:pPr>
      <w:r>
        <w:rPr>
          <w:rFonts w:eastAsia="仿宋_GB2312"/>
          <w:kern w:val="0"/>
          <w:sz w:val="32"/>
          <w:szCs w:val="32"/>
        </w:rPr>
        <w:t>2021年拨付项目单位体彩公益金263.68万元，主要用于公共健身场所健身器材配置与维护30万元、县校品牌体育特色项目学校18.5万元、公共体育场馆免费低收费开放及场馆设施建设与维护215.18万元。</w:t>
      </w:r>
    </w:p>
    <w:bookmarkEnd w:id="79"/>
    <w:bookmarkEnd w:id="80"/>
    <w:bookmarkEnd w:id="81"/>
    <w:p>
      <w:pPr>
        <w:overflowPunct w:val="0"/>
        <w:autoSpaceDE w:val="0"/>
        <w:autoSpaceDN w:val="0"/>
        <w:adjustRightInd w:val="0"/>
        <w:spacing w:line="600" w:lineRule="exact"/>
        <w:jc w:val="left"/>
        <w:textAlignment w:val="baseline"/>
        <w:outlineLvl w:val="1"/>
        <w:rPr>
          <w:rFonts w:eastAsia="楷体"/>
          <w:kern w:val="0"/>
          <w:sz w:val="32"/>
          <w:szCs w:val="32"/>
        </w:rPr>
      </w:pPr>
      <w:bookmarkStart w:id="83" w:name="_Toc3726"/>
      <w:bookmarkStart w:id="84" w:name="_Toc9150"/>
      <w:bookmarkStart w:id="85" w:name="_Toc5960"/>
      <w:bookmarkStart w:id="86" w:name="_Toc24939"/>
      <w:r>
        <w:rPr>
          <w:rFonts w:hint="eastAsia" w:eastAsia="楷体"/>
          <w:kern w:val="0"/>
          <w:sz w:val="32"/>
          <w:szCs w:val="32"/>
        </w:rPr>
        <w:t>（二）项目预算</w:t>
      </w:r>
      <w:bookmarkEnd w:id="83"/>
      <w:bookmarkEnd w:id="84"/>
    </w:p>
    <w:p>
      <w:pPr>
        <w:pStyle w:val="6"/>
        <w:spacing w:line="600" w:lineRule="exact"/>
        <w:ind w:firstLine="640"/>
        <w:rPr>
          <w:rFonts w:eastAsia="仿宋_GB2312"/>
          <w:b w:val="0"/>
          <w:kern w:val="0"/>
          <w:sz w:val="32"/>
          <w:szCs w:val="32"/>
        </w:rPr>
      </w:pPr>
      <w:bookmarkStart w:id="87" w:name="_Toc8115"/>
      <w:bookmarkStart w:id="88" w:name="_Toc276"/>
      <w:bookmarkStart w:id="89" w:name="_Toc29119"/>
      <w:r>
        <w:rPr>
          <w:rFonts w:hint="eastAsia" w:eastAsia="仿宋_GB2312"/>
          <w:b w:val="0"/>
          <w:kern w:val="0"/>
          <w:sz w:val="32"/>
          <w:szCs w:val="32"/>
        </w:rPr>
        <w:t>1.资金来源</w:t>
      </w:r>
      <w:bookmarkEnd w:id="85"/>
      <w:bookmarkEnd w:id="86"/>
      <w:bookmarkEnd w:id="87"/>
      <w:bookmarkEnd w:id="88"/>
      <w:bookmarkEnd w:id="89"/>
    </w:p>
    <w:p>
      <w:pPr>
        <w:spacing w:line="600" w:lineRule="exact"/>
        <w:rPr>
          <w:rFonts w:eastAsia="仿宋_GB2312"/>
          <w:kern w:val="0"/>
          <w:sz w:val="32"/>
          <w:szCs w:val="32"/>
        </w:rPr>
      </w:pPr>
      <w:bookmarkStart w:id="90" w:name="_Toc31160"/>
      <w:bookmarkStart w:id="91" w:name="_Toc16834"/>
      <w:r>
        <w:rPr>
          <w:rFonts w:eastAsia="仿宋_GB2312"/>
          <w:kern w:val="0"/>
          <w:sz w:val="32"/>
          <w:szCs w:val="32"/>
        </w:rPr>
        <w:t>（</w:t>
      </w:r>
      <w:r>
        <w:rPr>
          <w:rFonts w:hint="eastAsia" w:eastAsia="仿宋_GB2312"/>
          <w:kern w:val="0"/>
          <w:sz w:val="32"/>
          <w:szCs w:val="32"/>
        </w:rPr>
        <w:t>1</w:t>
      </w:r>
      <w:r>
        <w:rPr>
          <w:rFonts w:eastAsia="仿宋_GB2312"/>
          <w:kern w:val="0"/>
          <w:sz w:val="32"/>
          <w:szCs w:val="32"/>
        </w:rPr>
        <w:t>）省级下达资金</w:t>
      </w:r>
    </w:p>
    <w:p>
      <w:pPr>
        <w:spacing w:line="600" w:lineRule="exact"/>
        <w:rPr>
          <w:rFonts w:eastAsia="仿宋_GB2312"/>
          <w:kern w:val="0"/>
          <w:sz w:val="32"/>
          <w:szCs w:val="32"/>
        </w:rPr>
      </w:pPr>
      <w:r>
        <w:rPr>
          <w:rFonts w:eastAsia="仿宋_GB2312"/>
          <w:kern w:val="0"/>
          <w:sz w:val="32"/>
          <w:szCs w:val="32"/>
        </w:rPr>
        <w:t>济宁市财政局《关于提前下达2020年公共体育场馆向社会免费或低收费开放补助资金预算指标的通知》（济财教指（2019）84号）省级补助资金列“2296003用于体育事业的彩票公益金支出”50万元。</w:t>
      </w:r>
    </w:p>
    <w:p>
      <w:pPr>
        <w:spacing w:line="600" w:lineRule="exact"/>
        <w:rPr>
          <w:rFonts w:eastAsia="仿宋_GB2312"/>
          <w:kern w:val="0"/>
          <w:sz w:val="32"/>
          <w:szCs w:val="32"/>
        </w:rPr>
      </w:pPr>
      <w:r>
        <w:rPr>
          <w:rFonts w:eastAsia="仿宋_GB2312"/>
          <w:kern w:val="0"/>
          <w:sz w:val="32"/>
          <w:szCs w:val="32"/>
        </w:rPr>
        <w:t>济宁市财政局《关于提前下达2021年公共体育场馆向社会免费或低收费开放补助资金预算指标的通知》（济财教指（2020）59号）省级补助资金列“2296003用于体育事业的彩票公益金支出”50万元。</w:t>
      </w:r>
    </w:p>
    <w:p>
      <w:pPr>
        <w:spacing w:line="600" w:lineRule="exact"/>
        <w:rPr>
          <w:rFonts w:eastAsia="仿宋_GB2312"/>
          <w:kern w:val="0"/>
          <w:sz w:val="32"/>
          <w:szCs w:val="32"/>
        </w:rPr>
      </w:pPr>
      <w:r>
        <w:rPr>
          <w:rFonts w:eastAsia="仿宋_GB2312"/>
          <w:kern w:val="0"/>
          <w:sz w:val="32"/>
          <w:szCs w:val="32"/>
        </w:rPr>
        <w:t>（</w:t>
      </w:r>
      <w:r>
        <w:rPr>
          <w:rFonts w:hint="eastAsia" w:eastAsia="仿宋_GB2312"/>
          <w:kern w:val="0"/>
          <w:sz w:val="32"/>
          <w:szCs w:val="32"/>
        </w:rPr>
        <w:t>2</w:t>
      </w:r>
      <w:r>
        <w:rPr>
          <w:rFonts w:eastAsia="仿宋_GB2312"/>
          <w:kern w:val="0"/>
          <w:sz w:val="32"/>
          <w:szCs w:val="32"/>
        </w:rPr>
        <w:t>）市级下达资金</w:t>
      </w:r>
    </w:p>
    <w:p>
      <w:pPr>
        <w:spacing w:line="600" w:lineRule="exact"/>
        <w:rPr>
          <w:rFonts w:eastAsia="仿宋_GB2312"/>
          <w:kern w:val="0"/>
          <w:sz w:val="32"/>
          <w:szCs w:val="32"/>
        </w:rPr>
      </w:pPr>
      <w:r>
        <w:rPr>
          <w:rFonts w:eastAsia="仿宋_GB2312"/>
          <w:kern w:val="0"/>
          <w:sz w:val="32"/>
          <w:szCs w:val="32"/>
        </w:rPr>
        <w:t>济宁市财政局《关于下达市级体彩公益金资助“县校品牌”特色项目支出预算指标的通知》（济财综指（2018）32号）（济财综指（2019）21号）（济财综指（2020）14号）下达2018-2020年市级体彩公益金资助“县校品牌”特色项目支出预算指标合计18.5万元。</w:t>
      </w:r>
    </w:p>
    <w:p>
      <w:pPr>
        <w:spacing w:line="600" w:lineRule="exact"/>
        <w:rPr>
          <w:rFonts w:eastAsia="仿宋_GB2312"/>
          <w:kern w:val="0"/>
          <w:sz w:val="32"/>
          <w:szCs w:val="32"/>
        </w:rPr>
      </w:pPr>
      <w:r>
        <w:rPr>
          <w:rFonts w:eastAsia="仿宋_GB2312"/>
          <w:kern w:val="0"/>
          <w:sz w:val="32"/>
          <w:szCs w:val="32"/>
        </w:rPr>
        <w:t>（</w:t>
      </w:r>
      <w:r>
        <w:rPr>
          <w:rFonts w:hint="eastAsia" w:eastAsia="仿宋_GB2312"/>
          <w:kern w:val="0"/>
          <w:sz w:val="32"/>
          <w:szCs w:val="32"/>
        </w:rPr>
        <w:t>3</w:t>
      </w:r>
      <w:r>
        <w:rPr>
          <w:rFonts w:eastAsia="仿宋_GB2312"/>
          <w:kern w:val="0"/>
          <w:sz w:val="32"/>
          <w:szCs w:val="32"/>
        </w:rPr>
        <w:t>）其他资金安排情况。</w:t>
      </w:r>
    </w:p>
    <w:p>
      <w:pPr>
        <w:spacing w:line="600" w:lineRule="exact"/>
        <w:rPr>
          <w:rFonts w:eastAsia="仿宋_GB2312"/>
          <w:kern w:val="0"/>
          <w:sz w:val="32"/>
          <w:szCs w:val="32"/>
        </w:rPr>
      </w:pPr>
      <w:r>
        <w:rPr>
          <w:rFonts w:eastAsia="仿宋_GB2312"/>
          <w:kern w:val="0"/>
          <w:sz w:val="32"/>
          <w:szCs w:val="32"/>
        </w:rPr>
        <w:t>2021年度，兖州区安排本级政府性基金预算145.18万元。</w:t>
      </w:r>
    </w:p>
    <w:p>
      <w:pPr>
        <w:spacing w:line="600" w:lineRule="exact"/>
        <w:rPr>
          <w:rFonts w:hint="eastAsia" w:eastAsia="仿宋_GB2312"/>
          <w:kern w:val="0"/>
          <w:sz w:val="32"/>
          <w:szCs w:val="32"/>
          <w:lang w:eastAsia="zh-CN"/>
        </w:rPr>
      </w:pPr>
      <w:r>
        <w:rPr>
          <w:rFonts w:eastAsia="仿宋_GB2312"/>
          <w:kern w:val="0"/>
          <w:sz w:val="32"/>
          <w:szCs w:val="32"/>
        </w:rPr>
        <w:t>其中</w:t>
      </w:r>
      <w:r>
        <w:rPr>
          <w:rFonts w:hint="eastAsia" w:eastAsia="仿宋_GB2312"/>
          <w:kern w:val="0"/>
          <w:sz w:val="32"/>
          <w:szCs w:val="32"/>
          <w:lang w:eastAsia="zh-CN"/>
        </w:rPr>
        <w:t>，</w:t>
      </w:r>
      <w:r>
        <w:rPr>
          <w:rFonts w:eastAsia="仿宋_GB2312"/>
          <w:kern w:val="0"/>
          <w:sz w:val="32"/>
          <w:szCs w:val="32"/>
        </w:rPr>
        <w:t>老体育中心物业服务资金</w:t>
      </w:r>
      <w:r>
        <w:rPr>
          <w:rFonts w:hint="eastAsia" w:eastAsia="仿宋_GB2312"/>
          <w:kern w:val="0"/>
          <w:sz w:val="32"/>
          <w:szCs w:val="32"/>
          <w:lang w:val="en-US" w:eastAsia="zh-CN"/>
        </w:rPr>
        <w:t>35.18</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新体育中心管理费用资金</w:t>
      </w:r>
      <w:r>
        <w:rPr>
          <w:rFonts w:hint="eastAsia" w:eastAsia="仿宋_GB2312"/>
          <w:kern w:val="0"/>
          <w:sz w:val="32"/>
          <w:szCs w:val="32"/>
          <w:lang w:val="en-US" w:eastAsia="zh-CN"/>
        </w:rPr>
        <w:t>96</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新体育馆消防改造资金</w:t>
      </w:r>
      <w:r>
        <w:rPr>
          <w:rFonts w:hint="eastAsia" w:eastAsia="仿宋_GB2312"/>
          <w:kern w:val="0"/>
          <w:sz w:val="32"/>
          <w:szCs w:val="32"/>
          <w:lang w:val="en-US" w:eastAsia="zh-CN"/>
        </w:rPr>
        <w:t>14万元。</w:t>
      </w:r>
    </w:p>
    <w:p>
      <w:pPr>
        <w:pStyle w:val="6"/>
        <w:spacing w:line="600" w:lineRule="exact"/>
        <w:ind w:firstLine="640"/>
        <w:rPr>
          <w:rFonts w:eastAsia="仿宋_GB2312"/>
          <w:b w:val="0"/>
          <w:kern w:val="0"/>
          <w:sz w:val="32"/>
          <w:szCs w:val="32"/>
        </w:rPr>
      </w:pPr>
      <w:bookmarkStart w:id="92" w:name="_Toc26550"/>
      <w:bookmarkStart w:id="93" w:name="_Toc4468"/>
      <w:bookmarkStart w:id="94" w:name="_Toc1097"/>
      <w:r>
        <w:rPr>
          <w:rFonts w:hint="eastAsia" w:eastAsia="仿宋_GB2312"/>
          <w:b w:val="0"/>
          <w:kern w:val="0"/>
          <w:sz w:val="32"/>
          <w:szCs w:val="32"/>
        </w:rPr>
        <w:t>2.资金使用</w:t>
      </w:r>
      <w:bookmarkEnd w:id="90"/>
      <w:bookmarkEnd w:id="91"/>
      <w:bookmarkEnd w:id="92"/>
      <w:bookmarkEnd w:id="93"/>
      <w:bookmarkEnd w:id="94"/>
    </w:p>
    <w:p>
      <w:pPr>
        <w:spacing w:line="600" w:lineRule="exact"/>
        <w:rPr>
          <w:rFonts w:eastAsia="仿宋_GB2312"/>
          <w:kern w:val="0"/>
          <w:sz w:val="32"/>
          <w:szCs w:val="32"/>
        </w:rPr>
      </w:pPr>
      <w:r>
        <w:rPr>
          <w:rFonts w:eastAsia="仿宋_GB2312"/>
          <w:kern w:val="0"/>
          <w:sz w:val="32"/>
          <w:szCs w:val="32"/>
        </w:rPr>
        <w:t>2021年度，兖州区已完成年初设定目标。健身器材更换和维修支出29.996万元，2018-2020“县校品牌”拨付18.5万元，老体育中心物业费和维修费支出33.04万元，新体育中心支付欠济宁珠江体育文化发展有限公司以前年度运营费96万元、欠永康物业过渡期临时管理费用14.5779万元，新体育中心支付电梯维保费、监控、网球馆大屏维修费、电费、泳池消杀用品费等合计约71.566万元。</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95" w:name="_Toc21775"/>
      <w:bookmarkStart w:id="96" w:name="_Toc24585"/>
      <w:r>
        <w:rPr>
          <w:rFonts w:hint="eastAsia" w:eastAsia="楷体"/>
          <w:kern w:val="0"/>
          <w:sz w:val="32"/>
          <w:szCs w:val="32"/>
        </w:rPr>
        <w:t>（三）项目计划实施内容</w:t>
      </w:r>
      <w:bookmarkEnd w:id="95"/>
      <w:bookmarkEnd w:id="96"/>
    </w:p>
    <w:p>
      <w:pPr>
        <w:spacing w:line="600" w:lineRule="exact"/>
        <w:rPr>
          <w:rFonts w:eastAsia="仿宋_GB2312"/>
          <w:kern w:val="0"/>
          <w:sz w:val="32"/>
          <w:szCs w:val="32"/>
        </w:rPr>
      </w:pPr>
      <w:r>
        <w:rPr>
          <w:rFonts w:eastAsia="仿宋_GB2312"/>
          <w:kern w:val="0"/>
          <w:sz w:val="32"/>
          <w:szCs w:val="32"/>
        </w:rPr>
        <w:t>1.新、老体育中心场馆和设施免费、低收费向社会开放，全年不间断开放330天以上，公休日、法定节假日、学校寒暑假期间、全民健身日等节日期间，向特定人群免费开放。其中老体育中心全民健身广场全年免费对外开放，极大的提高了场馆利用率，场馆内外整体布局整洁，绿化覆盖率高，群众参与全民健身积极性大幅提升，全民健身意识增强，极大地满足了群众体育健身需求，形成了良好的群众满意氛围。新体育中心东馆在不影响正常经营的情况下，完成兖州区组织的突发新冠疫情况下对社区全员核酸检测的演练活动，区政府将网球馆作为兖州新冠疫苗临时接种点；严格按照疫情时间节点实行对新、老体育馆的管控，对来馆参加健身的人员实行疫情常态化管理，保证场馆的人员安全，完成新冠防疫工作任务。</w:t>
      </w:r>
    </w:p>
    <w:p>
      <w:pPr>
        <w:spacing w:line="600" w:lineRule="exact"/>
        <w:rPr>
          <w:rFonts w:eastAsia="仿宋_GB2312"/>
          <w:kern w:val="0"/>
          <w:sz w:val="32"/>
          <w:szCs w:val="32"/>
        </w:rPr>
      </w:pPr>
      <w:r>
        <w:rPr>
          <w:rFonts w:eastAsia="仿宋_GB2312"/>
          <w:kern w:val="0"/>
          <w:sz w:val="32"/>
          <w:szCs w:val="32"/>
        </w:rPr>
        <w:t>2.为切实做好群众满意度工作，提高人民群众幸福指数，按照《济宁市全民健身实施计划（2021-2025）》工作要求，对我区需要更新器材的村（居）根据原有器材损坏或老化程度合理进行配备、更换240件，目前已投入使用，进一步拓展了村民健身空间，丰富了村民健身娱乐生活。</w:t>
      </w:r>
    </w:p>
    <w:p>
      <w:pPr>
        <w:spacing w:line="600" w:lineRule="exact"/>
        <w:rPr>
          <w:rFonts w:eastAsia="仿宋_GB2312"/>
          <w:kern w:val="0"/>
          <w:sz w:val="32"/>
          <w:szCs w:val="32"/>
        </w:rPr>
      </w:pPr>
      <w:r>
        <w:rPr>
          <w:rFonts w:eastAsia="仿宋_GB2312"/>
          <w:kern w:val="0"/>
          <w:sz w:val="32"/>
          <w:szCs w:val="32"/>
        </w:rPr>
        <w:t>3.为贯彻落实《国务院办公厅转发教育部等部门关于进一步加强学校体育工作若干建议的通知》和《济宁市人民政府办公室关于进一步加强全市青少年体育工作的意见》精神，全民推进学校体育项目发展，形成全市“县县有品牌、校校有特色、人人有特长”的体育特色，确定兖州区大安镇中心中学、新驿镇郭村联办小学为“县校品牌”足球和跳绳特色项目学校，不断提高中小学生的健康素质，培养更多的优秀体育后备人才。</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97" w:name="_Toc16821"/>
      <w:bookmarkStart w:id="98" w:name="_Toc2732"/>
      <w:bookmarkStart w:id="99" w:name="_Toc32234"/>
      <w:r>
        <w:rPr>
          <w:rFonts w:hint="eastAsia" w:eastAsia="楷体"/>
          <w:kern w:val="0"/>
          <w:sz w:val="32"/>
          <w:szCs w:val="32"/>
        </w:rPr>
        <w:t>（四）项目组织管理</w:t>
      </w:r>
      <w:bookmarkEnd w:id="97"/>
      <w:bookmarkEnd w:id="98"/>
      <w:bookmarkEnd w:id="99"/>
    </w:p>
    <w:p>
      <w:pPr>
        <w:spacing w:line="600" w:lineRule="exact"/>
      </w:pPr>
      <w:r>
        <w:rPr>
          <w:rFonts w:hint="eastAsia" w:eastAsia="仿宋_GB2312"/>
          <w:kern w:val="0"/>
          <w:sz w:val="32"/>
          <w:szCs w:val="32"/>
        </w:rPr>
        <w:t>兖州区2021年用于体育事业的彩票公益金支出项目严格按照</w:t>
      </w:r>
      <w:r>
        <w:rPr>
          <w:rFonts w:eastAsia="仿宋_GB2312"/>
          <w:kern w:val="0"/>
          <w:sz w:val="32"/>
          <w:szCs w:val="32"/>
        </w:rPr>
        <w:t>《彩票管理条例》（国务院令第554号）、《财政部关于印发〈彩票公益金管理办法〉的通知》（财综〔2012〕15号）、《山东省省级体育彩票公益金支持体育事业发展专项资金管理办法》（鲁财文资〔2017〕59号）等</w:t>
      </w:r>
      <w:r>
        <w:rPr>
          <w:rFonts w:hint="eastAsia" w:eastAsia="仿宋_GB2312"/>
          <w:kern w:val="0"/>
          <w:sz w:val="32"/>
          <w:szCs w:val="32"/>
        </w:rPr>
        <w:t>文件规定开展项目的组织管理工作。</w:t>
      </w:r>
    </w:p>
    <w:p>
      <w:pPr>
        <w:overflowPunct w:val="0"/>
        <w:autoSpaceDE w:val="0"/>
        <w:autoSpaceDN w:val="0"/>
        <w:adjustRightInd w:val="0"/>
        <w:spacing w:line="600" w:lineRule="exact"/>
        <w:textAlignment w:val="baseline"/>
        <w:outlineLvl w:val="0"/>
        <w:rPr>
          <w:rFonts w:eastAsia="黑体"/>
          <w:kern w:val="0"/>
          <w:sz w:val="32"/>
          <w:szCs w:val="32"/>
        </w:rPr>
      </w:pPr>
      <w:bookmarkStart w:id="100" w:name="_Toc1770"/>
      <w:bookmarkStart w:id="101" w:name="_Toc26606"/>
      <w:r>
        <w:rPr>
          <w:rFonts w:hint="eastAsia" w:eastAsia="黑体"/>
          <w:kern w:val="0"/>
          <w:sz w:val="32"/>
          <w:szCs w:val="32"/>
        </w:rPr>
        <w:t>二、项目绩效目标</w:t>
      </w:r>
      <w:bookmarkEnd w:id="100"/>
      <w:bookmarkEnd w:id="101"/>
    </w:p>
    <w:p>
      <w:pPr>
        <w:spacing w:line="600" w:lineRule="exact"/>
        <w:rPr>
          <w:rFonts w:eastAsia="仿宋_GB2312"/>
          <w:kern w:val="0"/>
          <w:sz w:val="32"/>
          <w:szCs w:val="32"/>
        </w:rPr>
      </w:pPr>
      <w:r>
        <w:rPr>
          <w:rFonts w:eastAsia="仿宋_GB2312"/>
          <w:kern w:val="0"/>
          <w:sz w:val="32"/>
          <w:szCs w:val="32"/>
        </w:rPr>
        <w:t>绩效目标是建设项目库、编制预算、实施绩效监控、开展绩效评价等的重要基础和依据，指财政预算资金计划在一定期限内达到的产出和效果。其中，长期绩效目标是指预算资金在跨度多年的计划期内预期达到的产出和效果。年度绩效目标是指预算资金在一个预算年度内预期达到的产出和效果。</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102" w:name="_Toc28422"/>
      <w:bookmarkStart w:id="103" w:name="_Toc5725"/>
      <w:r>
        <w:rPr>
          <w:rFonts w:hint="eastAsia" w:eastAsia="楷体"/>
          <w:kern w:val="0"/>
          <w:sz w:val="32"/>
          <w:szCs w:val="32"/>
        </w:rPr>
        <w:t>（一）总体绩效目标</w:t>
      </w:r>
      <w:bookmarkEnd w:id="102"/>
      <w:bookmarkEnd w:id="103"/>
    </w:p>
    <w:p>
      <w:pPr>
        <w:spacing w:line="600" w:lineRule="exact"/>
        <w:rPr>
          <w:rFonts w:eastAsia="仿宋_GB2312"/>
          <w:kern w:val="0"/>
          <w:sz w:val="32"/>
          <w:szCs w:val="32"/>
        </w:rPr>
      </w:pPr>
      <w:r>
        <w:rPr>
          <w:rFonts w:eastAsia="仿宋_GB2312"/>
          <w:kern w:val="0"/>
          <w:sz w:val="32"/>
          <w:szCs w:val="32"/>
        </w:rPr>
        <w:t>通过体彩公益金的投入，确保公共体育场馆免费、低收费开放，做好体育场馆、设施建设与维护工作，保证场馆建筑、设备设施的常态化运行及完好率，做好公共健身场所建设器材配置维护和"县校品牌"体育特色项目，确保广大人民群众参与全民健身活动的积极性高涨，全民健身意识增强，健身环境显著提升，收到良好的社会效益。</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104" w:name="_Toc19416"/>
      <w:bookmarkStart w:id="105" w:name="_Toc24398"/>
      <w:bookmarkStart w:id="106" w:name="_Toc19136_WPSOffice_Level1"/>
      <w:bookmarkStart w:id="107" w:name="_Toc24374207"/>
      <w:bookmarkStart w:id="108" w:name="_Toc25650492"/>
      <w:bookmarkStart w:id="109" w:name="_Toc24311768"/>
      <w:bookmarkStart w:id="110" w:name="_Toc24374848"/>
      <w:r>
        <w:rPr>
          <w:rFonts w:hint="eastAsia" w:eastAsia="楷体"/>
          <w:kern w:val="0"/>
          <w:sz w:val="32"/>
          <w:szCs w:val="32"/>
        </w:rPr>
        <w:t>（二）年度绩效目标</w:t>
      </w:r>
      <w:bookmarkEnd w:id="104"/>
      <w:bookmarkEnd w:id="105"/>
    </w:p>
    <w:p>
      <w:pPr>
        <w:spacing w:line="600" w:lineRule="exact"/>
      </w:pPr>
      <w:r>
        <w:rPr>
          <w:rFonts w:eastAsia="仿宋_GB2312"/>
          <w:kern w:val="0"/>
          <w:sz w:val="32"/>
          <w:szCs w:val="32"/>
        </w:rPr>
        <w:t>通过体彩公益金的投入，确保2021年场馆免费、低收费开放，做好体育场馆、设施建设与维护工作，保证场馆建筑、设备设施的常态化运行及完好率,做好公共健身场所建设器材配置维护和“县校品牌”体育特色项目工作。</w:t>
      </w:r>
    </w:p>
    <w:bookmarkEnd w:id="106"/>
    <w:bookmarkEnd w:id="107"/>
    <w:bookmarkEnd w:id="108"/>
    <w:bookmarkEnd w:id="109"/>
    <w:bookmarkEnd w:id="110"/>
    <w:p>
      <w:pPr>
        <w:overflowPunct w:val="0"/>
        <w:autoSpaceDE w:val="0"/>
        <w:autoSpaceDN w:val="0"/>
        <w:adjustRightInd w:val="0"/>
        <w:spacing w:line="600" w:lineRule="exact"/>
        <w:textAlignment w:val="baseline"/>
        <w:outlineLvl w:val="0"/>
        <w:rPr>
          <w:rFonts w:eastAsia="黑体"/>
          <w:kern w:val="0"/>
          <w:sz w:val="32"/>
          <w:szCs w:val="32"/>
        </w:rPr>
      </w:pPr>
      <w:bookmarkStart w:id="111" w:name="_Toc2912"/>
      <w:bookmarkStart w:id="112" w:name="_Toc31404"/>
      <w:bookmarkStart w:id="113" w:name="_Toc25650493"/>
      <w:bookmarkStart w:id="114" w:name="_Toc24374208"/>
      <w:bookmarkStart w:id="115" w:name="_Toc24374849"/>
      <w:bookmarkStart w:id="116" w:name="_Toc25495_WPSOffice_Level2"/>
      <w:r>
        <w:rPr>
          <w:rFonts w:hint="eastAsia" w:eastAsia="黑体"/>
          <w:kern w:val="0"/>
          <w:sz w:val="32"/>
          <w:szCs w:val="32"/>
        </w:rPr>
        <w:t>三、评价基本情况</w:t>
      </w:r>
      <w:bookmarkEnd w:id="111"/>
      <w:bookmarkEnd w:id="112"/>
    </w:p>
    <w:bookmarkEnd w:id="113"/>
    <w:bookmarkEnd w:id="114"/>
    <w:bookmarkEnd w:id="115"/>
    <w:p>
      <w:pPr>
        <w:overflowPunct w:val="0"/>
        <w:autoSpaceDE w:val="0"/>
        <w:autoSpaceDN w:val="0"/>
        <w:adjustRightInd w:val="0"/>
        <w:spacing w:line="600" w:lineRule="exact"/>
        <w:jc w:val="left"/>
        <w:textAlignment w:val="baseline"/>
        <w:outlineLvl w:val="1"/>
        <w:rPr>
          <w:rFonts w:eastAsia="楷体"/>
          <w:kern w:val="0"/>
          <w:sz w:val="32"/>
          <w:szCs w:val="32"/>
        </w:rPr>
      </w:pPr>
      <w:bookmarkStart w:id="117" w:name="_Toc11571"/>
      <w:bookmarkStart w:id="118" w:name="_Toc19073"/>
      <w:bookmarkStart w:id="119" w:name="_Toc24374209"/>
      <w:bookmarkStart w:id="120" w:name="_Toc24374850"/>
      <w:bookmarkStart w:id="121" w:name="_Toc25650494"/>
      <w:r>
        <w:rPr>
          <w:rFonts w:hint="eastAsia" w:eastAsia="楷体"/>
          <w:kern w:val="0"/>
          <w:sz w:val="32"/>
          <w:szCs w:val="32"/>
        </w:rPr>
        <w:t>（一）评价目的</w:t>
      </w:r>
      <w:bookmarkEnd w:id="117"/>
      <w:bookmarkEnd w:id="118"/>
    </w:p>
    <w:p>
      <w:pPr>
        <w:spacing w:line="600" w:lineRule="exact"/>
        <w:rPr>
          <w:rFonts w:eastAsia="仿宋_GB2312"/>
          <w:kern w:val="0"/>
          <w:sz w:val="32"/>
          <w:szCs w:val="32"/>
        </w:rPr>
      </w:pPr>
      <w:r>
        <w:rPr>
          <w:rFonts w:eastAsia="仿宋_GB2312"/>
          <w:kern w:val="0"/>
          <w:sz w:val="32"/>
          <w:szCs w:val="32"/>
        </w:rPr>
        <w:t>针对2021年度用于体育事业的彩票公益金支出项目，逐项调查济宁市兖州区体育事业发展中心在项目执行过程中的项目决策、项目管理和项目绩效情况，主要涉及项目执行过程中的投入建设、管理制度建设、资金使用规范性、项目资金的使用和产出效果等，全面评价项目绩效状况。在此基础上，针对项目执行过程中存在的问题及不足，提出针对性的改进意见，以促进项目单位的项目管理水平，提升项目实施效果和财政资金的使用效益，为下一步的预算资金安排和完善提供参考。</w:t>
      </w:r>
    </w:p>
    <w:bookmarkEnd w:id="116"/>
    <w:bookmarkEnd w:id="119"/>
    <w:bookmarkEnd w:id="120"/>
    <w:bookmarkEnd w:id="121"/>
    <w:p>
      <w:pPr>
        <w:overflowPunct w:val="0"/>
        <w:autoSpaceDE w:val="0"/>
        <w:autoSpaceDN w:val="0"/>
        <w:adjustRightInd w:val="0"/>
        <w:spacing w:line="600" w:lineRule="exact"/>
        <w:jc w:val="left"/>
        <w:textAlignment w:val="baseline"/>
        <w:outlineLvl w:val="1"/>
        <w:rPr>
          <w:rFonts w:eastAsia="楷体"/>
          <w:kern w:val="0"/>
          <w:sz w:val="32"/>
          <w:szCs w:val="32"/>
        </w:rPr>
      </w:pPr>
      <w:bookmarkStart w:id="122" w:name="_Toc21724"/>
      <w:bookmarkStart w:id="123" w:name="_Toc4654"/>
      <w:bookmarkStart w:id="124" w:name="_Toc9029_WPSOffice_Level2"/>
      <w:bookmarkStart w:id="125" w:name="_Toc24374851"/>
      <w:bookmarkStart w:id="126" w:name="_Toc24374210"/>
      <w:bookmarkStart w:id="127" w:name="_Toc25650497"/>
      <w:r>
        <w:rPr>
          <w:rFonts w:hint="eastAsia" w:eastAsia="楷体"/>
          <w:kern w:val="0"/>
          <w:sz w:val="32"/>
          <w:szCs w:val="32"/>
        </w:rPr>
        <w:t>（二）评价对象与范围</w:t>
      </w:r>
      <w:bookmarkEnd w:id="122"/>
      <w:bookmarkEnd w:id="123"/>
    </w:p>
    <w:p>
      <w:pPr>
        <w:spacing w:line="600" w:lineRule="exact"/>
        <w:rPr>
          <w:rFonts w:eastAsia="仿宋_GB2312"/>
          <w:kern w:val="0"/>
          <w:sz w:val="32"/>
          <w:szCs w:val="32"/>
        </w:rPr>
      </w:pPr>
      <w:r>
        <w:rPr>
          <w:rFonts w:eastAsia="仿宋_GB2312"/>
          <w:kern w:val="0"/>
          <w:sz w:val="32"/>
          <w:szCs w:val="32"/>
        </w:rPr>
        <w:t>本次绩效评价由山东德睿融投资咨询有限公司对所有项目资料进行书面评审、进行现场实地查看走访，以及电话访谈基础上完成。绩效评价的评价对象为2021年度用于体育事业的彩票公益金支出项目的使用绩效。</w:t>
      </w:r>
    </w:p>
    <w:p>
      <w:pPr>
        <w:spacing w:line="600" w:lineRule="exact"/>
        <w:rPr>
          <w:rFonts w:eastAsia="仿宋_GB2312"/>
          <w:kern w:val="0"/>
          <w:sz w:val="32"/>
          <w:szCs w:val="32"/>
        </w:rPr>
      </w:pPr>
      <w:r>
        <w:rPr>
          <w:rFonts w:eastAsia="仿宋_GB2312"/>
          <w:kern w:val="0"/>
          <w:sz w:val="32"/>
          <w:szCs w:val="32"/>
        </w:rPr>
        <w:t>本次绩效评价主要内容包括：</w:t>
      </w:r>
    </w:p>
    <w:p>
      <w:pPr>
        <w:spacing w:line="600" w:lineRule="exact"/>
        <w:rPr>
          <w:rFonts w:eastAsia="仿宋_GB2312"/>
          <w:kern w:val="0"/>
          <w:sz w:val="32"/>
          <w:szCs w:val="32"/>
        </w:rPr>
      </w:pPr>
      <w:r>
        <w:rPr>
          <w:rFonts w:hint="eastAsia" w:eastAsia="仿宋_GB2312"/>
          <w:kern w:val="0"/>
          <w:sz w:val="32"/>
          <w:szCs w:val="32"/>
        </w:rPr>
        <w:t>（1）</w:t>
      </w:r>
      <w:r>
        <w:rPr>
          <w:rFonts w:eastAsia="仿宋_GB2312"/>
          <w:kern w:val="0"/>
          <w:sz w:val="32"/>
          <w:szCs w:val="32"/>
        </w:rPr>
        <w:t>项目资金投入情况：涵盖项目申请内容、绩效目标设定情况、绩效目标合理性；</w:t>
      </w:r>
    </w:p>
    <w:p>
      <w:pPr>
        <w:spacing w:line="600" w:lineRule="exact"/>
        <w:rPr>
          <w:rFonts w:eastAsia="仿宋_GB2312"/>
          <w:kern w:val="0"/>
          <w:sz w:val="32"/>
          <w:szCs w:val="32"/>
        </w:rPr>
      </w:pPr>
      <w:r>
        <w:rPr>
          <w:rFonts w:hint="eastAsia" w:eastAsia="仿宋_GB2312"/>
          <w:kern w:val="0"/>
          <w:sz w:val="32"/>
          <w:szCs w:val="32"/>
        </w:rPr>
        <w:t>（2）</w:t>
      </w:r>
      <w:r>
        <w:rPr>
          <w:rFonts w:eastAsia="仿宋_GB2312"/>
          <w:kern w:val="0"/>
          <w:sz w:val="32"/>
          <w:szCs w:val="32"/>
        </w:rPr>
        <w:t>项目管理情况：涵盖组织管理制度建设、财务管理制度建设、会计信息质量监控；</w:t>
      </w:r>
    </w:p>
    <w:p>
      <w:pPr>
        <w:spacing w:line="600" w:lineRule="exact"/>
        <w:rPr>
          <w:rFonts w:eastAsia="仿宋_GB2312"/>
          <w:kern w:val="0"/>
          <w:sz w:val="32"/>
          <w:szCs w:val="32"/>
        </w:rPr>
      </w:pPr>
      <w:r>
        <w:rPr>
          <w:rFonts w:hint="eastAsia" w:eastAsia="仿宋_GB2312"/>
          <w:kern w:val="0"/>
          <w:sz w:val="32"/>
          <w:szCs w:val="32"/>
        </w:rPr>
        <w:t>（3）</w:t>
      </w:r>
      <w:r>
        <w:rPr>
          <w:rFonts w:eastAsia="仿宋_GB2312"/>
          <w:kern w:val="0"/>
          <w:sz w:val="32"/>
          <w:szCs w:val="32"/>
        </w:rPr>
        <w:t xml:space="preserve">项目资金使用情况：涵盖资金投入使用、资金支付相符性、资金支出合规性； </w:t>
      </w:r>
    </w:p>
    <w:p>
      <w:pPr>
        <w:spacing w:line="600" w:lineRule="exact"/>
        <w:rPr>
          <w:rFonts w:eastAsia="仿宋_GB2312"/>
          <w:kern w:val="0"/>
          <w:sz w:val="32"/>
          <w:szCs w:val="32"/>
        </w:rPr>
      </w:pPr>
      <w:r>
        <w:rPr>
          <w:rFonts w:hint="eastAsia" w:eastAsia="仿宋_GB2312"/>
          <w:kern w:val="0"/>
          <w:sz w:val="32"/>
          <w:szCs w:val="32"/>
        </w:rPr>
        <w:t>（4）</w:t>
      </w:r>
      <w:r>
        <w:rPr>
          <w:rFonts w:eastAsia="仿宋_GB2312"/>
          <w:kern w:val="0"/>
          <w:sz w:val="32"/>
          <w:szCs w:val="32"/>
        </w:rPr>
        <w:t xml:space="preserve">项目完成情况：涵盖项目绩效目标完成情况、绩效目标完成质量、检查验收情况； </w:t>
      </w:r>
    </w:p>
    <w:p>
      <w:pPr>
        <w:spacing w:line="600" w:lineRule="exact"/>
        <w:rPr>
          <w:rFonts w:eastAsia="仿宋_GB2312"/>
          <w:kern w:val="0"/>
          <w:sz w:val="32"/>
          <w:szCs w:val="32"/>
        </w:rPr>
      </w:pPr>
      <w:r>
        <w:rPr>
          <w:rFonts w:hint="eastAsia" w:eastAsia="仿宋_GB2312"/>
          <w:kern w:val="0"/>
          <w:sz w:val="32"/>
          <w:szCs w:val="32"/>
        </w:rPr>
        <w:t>（5）</w:t>
      </w:r>
      <w:r>
        <w:rPr>
          <w:rFonts w:eastAsia="仿宋_GB2312"/>
          <w:kern w:val="0"/>
          <w:sz w:val="32"/>
          <w:szCs w:val="32"/>
        </w:rPr>
        <w:t>项目效益情况：涵盖项目完成后使用效益、社会效益及其它。</w:t>
      </w:r>
    </w:p>
    <w:bookmarkEnd w:id="124"/>
    <w:bookmarkEnd w:id="125"/>
    <w:bookmarkEnd w:id="126"/>
    <w:bookmarkEnd w:id="127"/>
    <w:p>
      <w:pPr>
        <w:overflowPunct w:val="0"/>
        <w:autoSpaceDE w:val="0"/>
        <w:autoSpaceDN w:val="0"/>
        <w:adjustRightInd w:val="0"/>
        <w:spacing w:line="600" w:lineRule="exact"/>
        <w:jc w:val="left"/>
        <w:textAlignment w:val="baseline"/>
        <w:outlineLvl w:val="1"/>
        <w:rPr>
          <w:rFonts w:eastAsia="楷体"/>
          <w:kern w:val="0"/>
          <w:sz w:val="32"/>
          <w:szCs w:val="32"/>
        </w:rPr>
      </w:pPr>
      <w:bookmarkStart w:id="128" w:name="_Toc23491"/>
      <w:bookmarkStart w:id="129" w:name="_Toc3644"/>
      <w:bookmarkStart w:id="130" w:name="_Toc24374854"/>
      <w:bookmarkStart w:id="131" w:name="_Toc24374213"/>
      <w:bookmarkStart w:id="132" w:name="_Toc25885_WPSOffice_Level2"/>
      <w:bookmarkStart w:id="133" w:name="_Toc25650500"/>
      <w:r>
        <w:rPr>
          <w:rFonts w:hint="eastAsia" w:eastAsia="楷体"/>
          <w:kern w:val="0"/>
          <w:sz w:val="32"/>
          <w:szCs w:val="32"/>
        </w:rPr>
        <w:t>（三）评价依据</w:t>
      </w:r>
      <w:bookmarkEnd w:id="128"/>
      <w:bookmarkEnd w:id="129"/>
    </w:p>
    <w:p>
      <w:pPr>
        <w:spacing w:line="600" w:lineRule="exact"/>
        <w:rPr>
          <w:rFonts w:eastAsia="仿宋_GB2312"/>
          <w:kern w:val="0"/>
          <w:sz w:val="32"/>
          <w:szCs w:val="32"/>
        </w:rPr>
      </w:pPr>
      <w:r>
        <w:rPr>
          <w:rFonts w:eastAsia="仿宋_GB2312"/>
          <w:kern w:val="0"/>
          <w:sz w:val="32"/>
          <w:szCs w:val="32"/>
        </w:rPr>
        <w:t>按照科学、规范、客观、公正的原则，全面分析和综合评价2021年度用于体育事业的彩票公益金支出的使用情况，对照相关法律法规，评价资金支付的质量和成效，科学系统评估财政补助资金的社会效益和经济效益，为后续财政补助资金的投入提供参考依据。本次绩效评价的主要依据包括：</w:t>
      </w:r>
    </w:p>
    <w:p>
      <w:pPr>
        <w:spacing w:line="600" w:lineRule="exact"/>
        <w:rPr>
          <w:rFonts w:eastAsia="仿宋_GB2312"/>
          <w:kern w:val="0"/>
          <w:sz w:val="32"/>
          <w:szCs w:val="32"/>
        </w:rPr>
      </w:pPr>
      <w:r>
        <w:rPr>
          <w:rFonts w:hint="eastAsia" w:eastAsia="仿宋_GB2312"/>
          <w:kern w:val="0"/>
          <w:sz w:val="32"/>
          <w:szCs w:val="32"/>
        </w:rPr>
        <w:t>（1）</w:t>
      </w:r>
      <w:r>
        <w:rPr>
          <w:rFonts w:eastAsia="仿宋_GB2312"/>
          <w:kern w:val="0"/>
          <w:sz w:val="32"/>
          <w:szCs w:val="32"/>
        </w:rPr>
        <w:t>《中共中央国务院关于全面实施预算绩效管理的意见》（财预〔2018〕167号）；</w:t>
      </w:r>
    </w:p>
    <w:p>
      <w:pPr>
        <w:spacing w:line="600" w:lineRule="exact"/>
        <w:rPr>
          <w:rFonts w:eastAsia="仿宋_GB2312"/>
          <w:kern w:val="0"/>
          <w:sz w:val="32"/>
          <w:szCs w:val="32"/>
        </w:rPr>
      </w:pPr>
      <w:r>
        <w:rPr>
          <w:rFonts w:hint="eastAsia" w:eastAsia="仿宋_GB2312"/>
          <w:kern w:val="0"/>
          <w:sz w:val="32"/>
          <w:szCs w:val="32"/>
        </w:rPr>
        <w:t>（2）</w:t>
      </w:r>
      <w:r>
        <w:rPr>
          <w:rFonts w:eastAsia="仿宋_GB2312"/>
          <w:kern w:val="0"/>
          <w:sz w:val="32"/>
          <w:szCs w:val="32"/>
        </w:rPr>
        <w:t>《财政支出绩效评价管理暂行办法》（财预〔2011〕285号）；</w:t>
      </w:r>
    </w:p>
    <w:p>
      <w:pPr>
        <w:spacing w:line="600" w:lineRule="exact"/>
        <w:rPr>
          <w:rFonts w:eastAsia="仿宋_GB2312"/>
          <w:kern w:val="0"/>
          <w:sz w:val="32"/>
          <w:szCs w:val="32"/>
        </w:rPr>
      </w:pPr>
      <w:r>
        <w:rPr>
          <w:rFonts w:hint="eastAsia" w:eastAsia="仿宋_GB2312"/>
          <w:kern w:val="0"/>
          <w:sz w:val="32"/>
          <w:szCs w:val="32"/>
        </w:rPr>
        <w:t>（3）</w:t>
      </w:r>
      <w:r>
        <w:rPr>
          <w:rFonts w:eastAsia="仿宋_GB2312"/>
          <w:kern w:val="0"/>
          <w:sz w:val="32"/>
          <w:szCs w:val="32"/>
        </w:rPr>
        <w:t>《山东省省级财政支出绩效评价管理暂行办法》（鲁财预〔2011〕67号）；</w:t>
      </w:r>
    </w:p>
    <w:p>
      <w:pPr>
        <w:spacing w:line="600" w:lineRule="exact"/>
        <w:rPr>
          <w:rFonts w:eastAsia="仿宋_GB2312"/>
          <w:kern w:val="0"/>
          <w:sz w:val="32"/>
          <w:szCs w:val="32"/>
        </w:rPr>
      </w:pPr>
      <w:r>
        <w:rPr>
          <w:rFonts w:hint="eastAsia" w:eastAsia="仿宋_GB2312"/>
          <w:kern w:val="0"/>
          <w:sz w:val="32"/>
          <w:szCs w:val="32"/>
        </w:rPr>
        <w:t>（4）</w:t>
      </w:r>
      <w:r>
        <w:rPr>
          <w:rFonts w:eastAsia="仿宋_GB2312"/>
          <w:kern w:val="0"/>
          <w:sz w:val="32"/>
          <w:szCs w:val="32"/>
        </w:rPr>
        <w:t>《中共山东省委山东省人民政府关于全面推进预算绩效管理的实施意见》（鲁发〔2019〕2号）；</w:t>
      </w:r>
    </w:p>
    <w:p>
      <w:pPr>
        <w:spacing w:line="600" w:lineRule="exact"/>
        <w:rPr>
          <w:rFonts w:eastAsia="仿宋_GB2312"/>
          <w:kern w:val="0"/>
          <w:sz w:val="32"/>
          <w:szCs w:val="32"/>
        </w:rPr>
      </w:pPr>
      <w:r>
        <w:rPr>
          <w:rFonts w:hint="eastAsia" w:eastAsia="仿宋_GB2312"/>
          <w:kern w:val="0"/>
          <w:sz w:val="32"/>
          <w:szCs w:val="32"/>
        </w:rPr>
        <w:t>（5）</w:t>
      </w:r>
      <w:r>
        <w:rPr>
          <w:rFonts w:eastAsia="仿宋_GB2312"/>
          <w:kern w:val="0"/>
          <w:sz w:val="32"/>
          <w:szCs w:val="32"/>
        </w:rPr>
        <w:t>《彩票管理条例》（国务院令第554号）；</w:t>
      </w:r>
    </w:p>
    <w:p>
      <w:pPr>
        <w:spacing w:line="600" w:lineRule="exact"/>
        <w:rPr>
          <w:rFonts w:eastAsia="仿宋_GB2312"/>
          <w:kern w:val="0"/>
          <w:sz w:val="32"/>
          <w:szCs w:val="32"/>
        </w:rPr>
      </w:pPr>
      <w:r>
        <w:rPr>
          <w:rFonts w:hint="eastAsia" w:eastAsia="仿宋_GB2312"/>
          <w:kern w:val="0"/>
          <w:sz w:val="32"/>
          <w:szCs w:val="32"/>
        </w:rPr>
        <w:t>（6）</w:t>
      </w:r>
      <w:r>
        <w:rPr>
          <w:rFonts w:eastAsia="仿宋_GB2312"/>
          <w:kern w:val="0"/>
          <w:sz w:val="32"/>
          <w:szCs w:val="32"/>
        </w:rPr>
        <w:t>《财政部关于印发〈彩票公益金管理办法〉的通知》（财综〔2012〕15号）；</w:t>
      </w:r>
    </w:p>
    <w:p>
      <w:pPr>
        <w:spacing w:line="600" w:lineRule="exact"/>
        <w:rPr>
          <w:rFonts w:eastAsia="仿宋_GB2312"/>
          <w:kern w:val="0"/>
          <w:sz w:val="32"/>
          <w:szCs w:val="32"/>
        </w:rPr>
      </w:pPr>
      <w:r>
        <w:rPr>
          <w:rFonts w:hint="eastAsia" w:eastAsia="仿宋_GB2312"/>
          <w:kern w:val="0"/>
          <w:sz w:val="32"/>
          <w:szCs w:val="32"/>
        </w:rPr>
        <w:t>（7）</w:t>
      </w:r>
      <w:r>
        <w:rPr>
          <w:rFonts w:eastAsia="仿宋_GB2312"/>
          <w:kern w:val="0"/>
          <w:sz w:val="32"/>
          <w:szCs w:val="32"/>
        </w:rPr>
        <w:t>《山东省省级体育彩票公益金支持体育事业发展专项资金管理办法》（鲁财文资〔2017〕59号）。</w:t>
      </w:r>
    </w:p>
    <w:bookmarkEnd w:id="130"/>
    <w:bookmarkEnd w:id="131"/>
    <w:bookmarkEnd w:id="132"/>
    <w:bookmarkEnd w:id="133"/>
    <w:p>
      <w:pPr>
        <w:overflowPunct w:val="0"/>
        <w:autoSpaceDE w:val="0"/>
        <w:autoSpaceDN w:val="0"/>
        <w:adjustRightInd w:val="0"/>
        <w:spacing w:line="600" w:lineRule="exact"/>
        <w:jc w:val="left"/>
        <w:textAlignment w:val="baseline"/>
        <w:outlineLvl w:val="1"/>
        <w:rPr>
          <w:rFonts w:eastAsia="楷体"/>
          <w:kern w:val="0"/>
          <w:sz w:val="32"/>
          <w:szCs w:val="32"/>
        </w:rPr>
      </w:pPr>
      <w:bookmarkStart w:id="134" w:name="_Toc30469"/>
      <w:bookmarkStart w:id="135" w:name="_Toc31784"/>
      <w:bookmarkStart w:id="136" w:name="_Toc7577"/>
      <w:bookmarkStart w:id="137" w:name="_Toc28180160"/>
      <w:bookmarkStart w:id="138" w:name="_Toc27571595"/>
      <w:bookmarkStart w:id="139" w:name="_Toc9922"/>
      <w:bookmarkStart w:id="140" w:name="_Toc21979"/>
      <w:bookmarkStart w:id="141" w:name="_Toc25650501"/>
      <w:bookmarkStart w:id="142" w:name="_Toc28005408"/>
      <w:bookmarkStart w:id="143" w:name="_Toc11694_WPSOffice_Level3"/>
      <w:bookmarkStart w:id="144" w:name="_Toc28279525"/>
      <w:r>
        <w:rPr>
          <w:rFonts w:hint="eastAsia" w:eastAsia="楷体"/>
          <w:kern w:val="0"/>
          <w:sz w:val="32"/>
          <w:szCs w:val="32"/>
        </w:rPr>
        <w:t>（四）评价原则、评价方法</w:t>
      </w:r>
      <w:bookmarkEnd w:id="134"/>
      <w:bookmarkEnd w:id="135"/>
      <w:bookmarkEnd w:id="136"/>
    </w:p>
    <w:p>
      <w:pPr>
        <w:pStyle w:val="6"/>
        <w:spacing w:line="600" w:lineRule="exact"/>
        <w:ind w:firstLine="640"/>
        <w:rPr>
          <w:rFonts w:eastAsia="仿宋_GB2312"/>
          <w:b w:val="0"/>
          <w:kern w:val="0"/>
          <w:sz w:val="32"/>
          <w:szCs w:val="32"/>
        </w:rPr>
      </w:pPr>
      <w:bookmarkStart w:id="145" w:name="_Toc12499"/>
      <w:bookmarkStart w:id="146" w:name="_Toc19454"/>
      <w:bookmarkStart w:id="147" w:name="_Toc20397"/>
      <w:r>
        <w:rPr>
          <w:rFonts w:hint="eastAsia" w:eastAsia="仿宋_GB2312"/>
          <w:b w:val="0"/>
          <w:kern w:val="0"/>
          <w:sz w:val="32"/>
          <w:szCs w:val="32"/>
        </w:rPr>
        <w:t>1.指标设计总体思路</w:t>
      </w:r>
      <w:bookmarkEnd w:id="137"/>
      <w:bookmarkEnd w:id="138"/>
      <w:bookmarkEnd w:id="139"/>
      <w:bookmarkEnd w:id="140"/>
      <w:bookmarkEnd w:id="141"/>
      <w:bookmarkEnd w:id="142"/>
      <w:bookmarkEnd w:id="143"/>
      <w:bookmarkEnd w:id="144"/>
      <w:bookmarkEnd w:id="145"/>
      <w:bookmarkEnd w:id="146"/>
      <w:bookmarkEnd w:id="147"/>
    </w:p>
    <w:p>
      <w:pPr>
        <w:spacing w:line="600" w:lineRule="exact"/>
        <w:rPr>
          <w:rFonts w:eastAsia="仿宋_GB2312"/>
          <w:kern w:val="0"/>
          <w:sz w:val="32"/>
          <w:szCs w:val="32"/>
        </w:rPr>
      </w:pPr>
      <w:bookmarkStart w:id="148" w:name="_Toc31775_WPSOffice_Level3"/>
      <w:bookmarkStart w:id="149" w:name="_Toc21558"/>
      <w:bookmarkStart w:id="150" w:name="_Toc25650502"/>
      <w:bookmarkStart w:id="151" w:name="_Toc4656"/>
      <w:bookmarkStart w:id="152" w:name="_Toc28005409"/>
      <w:bookmarkStart w:id="153" w:name="_Toc28180161"/>
      <w:bookmarkStart w:id="154" w:name="_Toc27571596"/>
      <w:bookmarkStart w:id="155" w:name="_Toc28279526"/>
      <w:r>
        <w:rPr>
          <w:rFonts w:eastAsia="仿宋_GB2312"/>
          <w:kern w:val="0"/>
          <w:sz w:val="32"/>
          <w:szCs w:val="32"/>
        </w:rPr>
        <w:t>根据本次评价项目属性和特点等项目的实际情况，结合《关于印发&lt;预算绩效评价共性指标体系框架&gt;的通知》（财预〔2013〕53号）和《财政部关于印发&lt;财政支出绩效评价管理暂行办法&gt;的通知》（财预〔2011〕285号）等文件，参照省财政厅预算绩效管理处印发的《财政重点项目第三方绩效评价组织实施工作流程》等的文件政策的要求，结合项目的具体情况，形成2021年度用于体育事业的彩票公益金支出绩效评价指标体系。</w:t>
      </w:r>
    </w:p>
    <w:p>
      <w:pPr>
        <w:pStyle w:val="6"/>
        <w:spacing w:line="600" w:lineRule="exact"/>
        <w:ind w:firstLine="640"/>
        <w:rPr>
          <w:rFonts w:eastAsia="仿宋_GB2312"/>
          <w:b w:val="0"/>
          <w:kern w:val="0"/>
          <w:sz w:val="32"/>
          <w:szCs w:val="32"/>
        </w:rPr>
      </w:pPr>
      <w:bookmarkStart w:id="156" w:name="_Toc26807"/>
      <w:bookmarkStart w:id="157" w:name="_Toc12127"/>
      <w:bookmarkStart w:id="158" w:name="_Toc27781"/>
      <w:r>
        <w:rPr>
          <w:rFonts w:hint="eastAsia" w:eastAsia="仿宋_GB2312"/>
          <w:b w:val="0"/>
          <w:kern w:val="0"/>
          <w:sz w:val="32"/>
          <w:szCs w:val="32"/>
        </w:rPr>
        <w:t>2.绩效评价指标的确定原则</w:t>
      </w:r>
      <w:bookmarkEnd w:id="148"/>
      <w:bookmarkEnd w:id="149"/>
      <w:bookmarkEnd w:id="150"/>
      <w:bookmarkEnd w:id="151"/>
      <w:bookmarkEnd w:id="152"/>
      <w:bookmarkEnd w:id="153"/>
      <w:bookmarkEnd w:id="154"/>
      <w:bookmarkEnd w:id="155"/>
      <w:bookmarkEnd w:id="156"/>
      <w:bookmarkEnd w:id="157"/>
      <w:bookmarkEnd w:id="158"/>
    </w:p>
    <w:p>
      <w:pPr>
        <w:spacing w:line="600" w:lineRule="exact"/>
        <w:rPr>
          <w:rFonts w:eastAsia="仿宋_GB2312"/>
          <w:kern w:val="0"/>
          <w:sz w:val="32"/>
          <w:szCs w:val="32"/>
        </w:rPr>
      </w:pPr>
      <w:r>
        <w:rPr>
          <w:rFonts w:eastAsia="仿宋_GB2312"/>
          <w:kern w:val="0"/>
          <w:sz w:val="32"/>
          <w:szCs w:val="32"/>
        </w:rPr>
        <w:t>（1）相关性原则。应当与绩效目标有直接的联系，能够恰当反映目标的实现程度。</w:t>
      </w:r>
    </w:p>
    <w:p>
      <w:pPr>
        <w:spacing w:line="600" w:lineRule="exact"/>
        <w:rPr>
          <w:rFonts w:eastAsia="仿宋_GB2312"/>
          <w:kern w:val="0"/>
          <w:sz w:val="32"/>
          <w:szCs w:val="32"/>
        </w:rPr>
      </w:pPr>
      <w:r>
        <w:rPr>
          <w:rFonts w:eastAsia="仿宋_GB2312"/>
          <w:kern w:val="0"/>
          <w:sz w:val="32"/>
          <w:szCs w:val="32"/>
        </w:rPr>
        <w:t>（2）重要性原则。应当优先使用最具评价对象代表性、最能反映评价要求的核心指标。</w:t>
      </w:r>
    </w:p>
    <w:p>
      <w:pPr>
        <w:spacing w:line="600" w:lineRule="exact"/>
        <w:rPr>
          <w:rFonts w:eastAsia="仿宋_GB2312"/>
          <w:kern w:val="0"/>
          <w:sz w:val="32"/>
          <w:szCs w:val="32"/>
        </w:rPr>
      </w:pPr>
      <w:r>
        <w:rPr>
          <w:rFonts w:eastAsia="仿宋_GB2312"/>
          <w:kern w:val="0"/>
          <w:sz w:val="32"/>
          <w:szCs w:val="32"/>
        </w:rPr>
        <w:t>（3）可比性原则。对同类评价对象要设定共性的绩效评价指标，以便于评价结果可以相互比较。</w:t>
      </w:r>
    </w:p>
    <w:p>
      <w:pPr>
        <w:spacing w:line="600" w:lineRule="exact"/>
        <w:rPr>
          <w:rFonts w:eastAsia="仿宋_GB2312"/>
          <w:kern w:val="0"/>
          <w:sz w:val="32"/>
          <w:szCs w:val="32"/>
        </w:rPr>
      </w:pPr>
      <w:r>
        <w:rPr>
          <w:rFonts w:eastAsia="仿宋_GB2312"/>
          <w:kern w:val="0"/>
          <w:sz w:val="32"/>
          <w:szCs w:val="32"/>
        </w:rPr>
        <w:t>（4）系统性原则。应当将定量指标与定性指标相结合，系统反映财政支出所产生的社会效益、经济效益、环境效益和可持续影响等。</w:t>
      </w:r>
    </w:p>
    <w:p>
      <w:pPr>
        <w:spacing w:line="600" w:lineRule="exact"/>
        <w:rPr>
          <w:rFonts w:eastAsia="仿宋_GB2312"/>
          <w:kern w:val="0"/>
          <w:sz w:val="32"/>
          <w:szCs w:val="32"/>
        </w:rPr>
      </w:pPr>
      <w:r>
        <w:rPr>
          <w:rFonts w:eastAsia="仿宋_GB2312"/>
          <w:kern w:val="0"/>
          <w:sz w:val="32"/>
          <w:szCs w:val="32"/>
        </w:rPr>
        <w:t>（5）经济性原则。应当通俗易懂、简便易行，数据的获得应当考虑现实条件和可操作性，符合成本效益原则。</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159" w:name="_Toc28279527"/>
      <w:bookmarkStart w:id="160" w:name="_Toc28180162"/>
      <w:bookmarkStart w:id="161" w:name="_Toc9187"/>
      <w:bookmarkStart w:id="162" w:name="_Toc15188"/>
      <w:bookmarkStart w:id="163" w:name="_Toc28005410"/>
      <w:bookmarkStart w:id="164" w:name="_Toc27571597"/>
      <w:bookmarkStart w:id="165" w:name="_Toc2529"/>
      <w:bookmarkStart w:id="166" w:name="_Toc6924"/>
      <w:bookmarkStart w:id="167" w:name="_Toc31859"/>
      <w:bookmarkStart w:id="168" w:name="_Toc28180163"/>
      <w:bookmarkStart w:id="169" w:name="_Toc2152_WPSOffice_Level3"/>
      <w:bookmarkStart w:id="170" w:name="_Toc28279528"/>
      <w:bookmarkStart w:id="171" w:name="_Toc24115"/>
      <w:bookmarkStart w:id="172" w:name="_Toc24733"/>
      <w:bookmarkStart w:id="173" w:name="_Toc28005411"/>
      <w:bookmarkStart w:id="174" w:name="_Toc25650504"/>
      <w:bookmarkStart w:id="175" w:name="_Toc27571598"/>
      <w:r>
        <w:rPr>
          <w:rFonts w:hint="eastAsia" w:eastAsia="楷体"/>
          <w:kern w:val="0"/>
          <w:sz w:val="32"/>
          <w:szCs w:val="32"/>
        </w:rPr>
        <w:t>（五）</w:t>
      </w:r>
      <w:bookmarkEnd w:id="159"/>
      <w:bookmarkEnd w:id="160"/>
      <w:bookmarkEnd w:id="161"/>
      <w:bookmarkEnd w:id="162"/>
      <w:bookmarkEnd w:id="163"/>
      <w:bookmarkEnd w:id="164"/>
      <w:r>
        <w:rPr>
          <w:rFonts w:hint="eastAsia" w:eastAsia="楷体"/>
          <w:kern w:val="0"/>
          <w:sz w:val="32"/>
          <w:szCs w:val="32"/>
        </w:rPr>
        <w:t>绩效评价指标体系</w:t>
      </w:r>
      <w:bookmarkEnd w:id="165"/>
      <w:bookmarkEnd w:id="166"/>
      <w:bookmarkEnd w:id="167"/>
    </w:p>
    <w:p>
      <w:pPr>
        <w:spacing w:line="600" w:lineRule="exact"/>
        <w:rPr>
          <w:rFonts w:eastAsia="仿宋_GB2312"/>
          <w:kern w:val="0"/>
          <w:sz w:val="32"/>
          <w:szCs w:val="32"/>
        </w:rPr>
      </w:pPr>
      <w:r>
        <w:rPr>
          <w:rFonts w:eastAsia="仿宋_GB2312"/>
          <w:kern w:val="0"/>
          <w:sz w:val="32"/>
          <w:szCs w:val="32"/>
        </w:rPr>
        <w:t>本次绩效评价指标总标准分值为100分，根据项目特点，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p>
      <w:pPr>
        <w:spacing w:line="600" w:lineRule="exact"/>
        <w:rPr>
          <w:rFonts w:eastAsia="仿宋_GB2312"/>
          <w:kern w:val="0"/>
          <w:sz w:val="32"/>
          <w:szCs w:val="32"/>
        </w:rPr>
      </w:pPr>
      <w:r>
        <w:rPr>
          <w:rFonts w:eastAsia="仿宋_GB2312"/>
          <w:kern w:val="0"/>
          <w:sz w:val="32"/>
          <w:szCs w:val="32"/>
        </w:rPr>
        <w:t>详见本报告附录1：《</w:t>
      </w:r>
      <w:r>
        <w:rPr>
          <w:rFonts w:hint="eastAsia" w:eastAsia="仿宋_GB2312"/>
          <w:kern w:val="0"/>
          <w:sz w:val="32"/>
          <w:szCs w:val="32"/>
        </w:rPr>
        <w:t>兖州区2021年用于体育事业的彩票公益金支出项目</w:t>
      </w:r>
      <w:r>
        <w:rPr>
          <w:rFonts w:eastAsia="仿宋_GB2312"/>
          <w:kern w:val="0"/>
          <w:sz w:val="32"/>
          <w:szCs w:val="32"/>
        </w:rPr>
        <w:t>绩效评价指标体系》。</w:t>
      </w:r>
    </w:p>
    <w:bookmarkEnd w:id="168"/>
    <w:bookmarkEnd w:id="169"/>
    <w:bookmarkEnd w:id="170"/>
    <w:bookmarkEnd w:id="171"/>
    <w:bookmarkEnd w:id="172"/>
    <w:bookmarkEnd w:id="173"/>
    <w:bookmarkEnd w:id="174"/>
    <w:bookmarkEnd w:id="175"/>
    <w:p>
      <w:pPr>
        <w:spacing w:line="600" w:lineRule="exact"/>
        <w:rPr>
          <w:rFonts w:eastAsia="仿宋_GB2312"/>
          <w:kern w:val="0"/>
          <w:sz w:val="32"/>
          <w:szCs w:val="32"/>
        </w:rPr>
      </w:pPr>
      <w:r>
        <w:rPr>
          <w:rFonts w:eastAsia="仿宋_GB2312"/>
          <w:kern w:val="0"/>
          <w:sz w:val="32"/>
          <w:szCs w:val="32"/>
        </w:rPr>
        <w:t>本次绩效评价综合绩效级别根据山东省财政厅印发的《山东省省级预算支出项目第三方绩效评价工作规程（试行）》相关规定确定，综合绩效级别分为4个等级：</w:t>
      </w:r>
    </w:p>
    <w:p>
      <w:pPr>
        <w:spacing w:line="600" w:lineRule="exact"/>
        <w:rPr>
          <w:rFonts w:eastAsia="仿宋_GB2312"/>
          <w:kern w:val="0"/>
          <w:sz w:val="32"/>
          <w:szCs w:val="32"/>
        </w:rPr>
      </w:pPr>
      <w:r>
        <w:rPr>
          <w:rFonts w:eastAsia="仿宋_GB2312"/>
          <w:kern w:val="0"/>
          <w:sz w:val="32"/>
          <w:szCs w:val="32"/>
        </w:rPr>
        <w:t>（1）综合得分90-100分（含90分）为优；</w:t>
      </w:r>
    </w:p>
    <w:p>
      <w:pPr>
        <w:spacing w:line="600" w:lineRule="exact"/>
        <w:rPr>
          <w:rFonts w:eastAsia="仿宋_GB2312"/>
          <w:kern w:val="0"/>
          <w:sz w:val="32"/>
          <w:szCs w:val="32"/>
        </w:rPr>
      </w:pPr>
      <w:r>
        <w:rPr>
          <w:rFonts w:eastAsia="仿宋_GB2312"/>
          <w:kern w:val="0"/>
          <w:sz w:val="32"/>
          <w:szCs w:val="32"/>
        </w:rPr>
        <w:t>（2）综合得分80—89分（含80分）为良；</w:t>
      </w:r>
    </w:p>
    <w:p>
      <w:pPr>
        <w:spacing w:line="600" w:lineRule="exact"/>
        <w:rPr>
          <w:rFonts w:eastAsia="仿宋_GB2312"/>
          <w:kern w:val="0"/>
          <w:sz w:val="32"/>
          <w:szCs w:val="32"/>
        </w:rPr>
      </w:pPr>
      <w:r>
        <w:rPr>
          <w:rFonts w:eastAsia="仿宋_GB2312"/>
          <w:kern w:val="0"/>
          <w:sz w:val="32"/>
          <w:szCs w:val="32"/>
        </w:rPr>
        <w:t>（3）综合得分60-79分（含60分）为中；</w:t>
      </w:r>
    </w:p>
    <w:p>
      <w:pPr>
        <w:spacing w:line="600" w:lineRule="exact"/>
        <w:rPr>
          <w:rFonts w:eastAsia="仿宋_GB2312"/>
          <w:kern w:val="0"/>
          <w:sz w:val="32"/>
          <w:szCs w:val="32"/>
        </w:rPr>
      </w:pPr>
      <w:r>
        <w:rPr>
          <w:rFonts w:eastAsia="仿宋_GB2312"/>
          <w:kern w:val="0"/>
          <w:sz w:val="32"/>
          <w:szCs w:val="32"/>
        </w:rPr>
        <w:t>（4）综合得分60分以下为差。</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176" w:name="_Toc24279744"/>
      <w:bookmarkStart w:id="177" w:name="_Toc10143"/>
      <w:bookmarkStart w:id="178" w:name="_Toc5647"/>
      <w:bookmarkStart w:id="179" w:name="_Toc2971"/>
      <w:bookmarkStart w:id="180" w:name="_Toc4616"/>
      <w:bookmarkStart w:id="181" w:name="_Toc31117"/>
      <w:bookmarkStart w:id="182" w:name="_Toc13428"/>
      <w:bookmarkStart w:id="183" w:name="_Toc27018"/>
      <w:bookmarkStart w:id="184" w:name="_Toc11183"/>
      <w:r>
        <w:rPr>
          <w:rFonts w:hint="eastAsia" w:eastAsia="楷体"/>
          <w:kern w:val="0"/>
          <w:sz w:val="32"/>
          <w:szCs w:val="32"/>
        </w:rPr>
        <w:t>（六）评价人员组成</w:t>
      </w:r>
      <w:bookmarkEnd w:id="176"/>
      <w:bookmarkEnd w:id="177"/>
      <w:bookmarkEnd w:id="178"/>
      <w:bookmarkEnd w:id="179"/>
      <w:bookmarkEnd w:id="180"/>
      <w:bookmarkEnd w:id="181"/>
      <w:bookmarkEnd w:id="182"/>
      <w:bookmarkEnd w:id="183"/>
      <w:bookmarkEnd w:id="184"/>
    </w:p>
    <w:p>
      <w:pPr>
        <w:spacing w:line="600" w:lineRule="exact"/>
        <w:rPr>
          <w:rFonts w:eastAsia="仿宋_GB2312"/>
          <w:kern w:val="0"/>
          <w:sz w:val="32"/>
          <w:szCs w:val="32"/>
        </w:rPr>
      </w:pPr>
      <w:r>
        <w:rPr>
          <w:rFonts w:eastAsia="仿宋_GB2312"/>
          <w:kern w:val="0"/>
          <w:sz w:val="32"/>
          <w:szCs w:val="32"/>
        </w:rPr>
        <w:t>受济宁市兖州区财政局委托，山东德睿融投资咨询有限公司对2021年</w:t>
      </w:r>
      <w:r>
        <w:rPr>
          <w:rFonts w:hint="eastAsia" w:eastAsia="仿宋_GB2312"/>
          <w:kern w:val="0"/>
          <w:sz w:val="32"/>
          <w:szCs w:val="32"/>
        </w:rPr>
        <w:t>用于体育事业的彩票公益金</w:t>
      </w:r>
      <w:r>
        <w:rPr>
          <w:rFonts w:eastAsia="仿宋_GB2312"/>
          <w:kern w:val="0"/>
          <w:sz w:val="32"/>
          <w:szCs w:val="32"/>
        </w:rPr>
        <w:t>项目进行绩效评价。评价相关方涉及委托方、主管部门和评价机构三方的相关人员，评价机构人员构成及职责见下表</w:t>
      </w:r>
      <w:r>
        <w:rPr>
          <w:rFonts w:hint="eastAsia" w:eastAsia="仿宋_GB2312"/>
          <w:kern w:val="0"/>
          <w:sz w:val="32"/>
          <w:szCs w:val="32"/>
        </w:rPr>
        <w:t>1</w:t>
      </w:r>
      <w:r>
        <w:rPr>
          <w:rFonts w:eastAsia="仿宋_GB2312"/>
          <w:kern w:val="0"/>
          <w:sz w:val="32"/>
          <w:szCs w:val="32"/>
        </w:rPr>
        <w:t>。</w:t>
      </w:r>
    </w:p>
    <w:p>
      <w:pPr>
        <w:pStyle w:val="2"/>
      </w:pPr>
    </w:p>
    <w:p>
      <w:pPr>
        <w:pStyle w:val="2"/>
        <w:ind w:firstLine="540"/>
      </w:pPr>
    </w:p>
    <w:p>
      <w:pPr>
        <w:ind w:firstLine="0" w:firstLineChars="0"/>
        <w:jc w:val="center"/>
        <w:rPr>
          <w:rFonts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表1.评价小组成员构成与职责表</w:t>
      </w:r>
    </w:p>
    <w:tbl>
      <w:tblPr>
        <w:tblStyle w:val="2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1100"/>
        <w:gridCol w:w="6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组内职务</w:t>
            </w:r>
          </w:p>
        </w:tc>
        <w:tc>
          <w:tcPr>
            <w:tcW w:w="1100"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人员</w:t>
            </w:r>
          </w:p>
        </w:tc>
        <w:tc>
          <w:tcPr>
            <w:tcW w:w="6402"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项目总负责人</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常昊然</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全程监督评价活动实施，为评价活动提供必要支持；与相关部门、绩效管理专家、项目管理者沟通；审核评价报告初稿是否符合文件要求，是否符合评价机构文本质量要求，审定评价报告。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高级项目经理</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张旭东</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编写评价方案、专家工作手册；协调评价小组工作，指导评价小组理解评价任务要求，组织实施评价活动；分析评价数据，撰写绩效评价报告初稿，修改形成绩效评价报告。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项目经理</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韩泽晖</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组织实施现场评价工作，协助高级项目经理分析评价数据、撰写评价报告。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项目助理</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肖绘丽</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搜集、整理相关资料，协助项目经理开展绩效评价活动，汇总评价数据。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行业专家</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谢金廷</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对照评价指标体系，对项目业务方面的内容进行评价，出具评价意见。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69"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财务专家</w:t>
            </w:r>
          </w:p>
        </w:tc>
        <w:tc>
          <w:tcPr>
            <w:tcW w:w="110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刘德胜</w:t>
            </w:r>
          </w:p>
        </w:tc>
        <w:tc>
          <w:tcPr>
            <w:tcW w:w="6402" w:type="dxa"/>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对照评价指标体系，对项目财务方面的内容进行评价，出具评价意见</w:t>
            </w:r>
          </w:p>
        </w:tc>
      </w:tr>
    </w:tbl>
    <w:p>
      <w:pPr>
        <w:spacing w:line="600" w:lineRule="exact"/>
        <w:rPr>
          <w:rFonts w:eastAsia="仿宋_GB2312"/>
          <w:kern w:val="0"/>
          <w:sz w:val="32"/>
          <w:szCs w:val="32"/>
        </w:rPr>
      </w:pPr>
      <w:bookmarkStart w:id="185" w:name="_Toc9192"/>
      <w:bookmarkStart w:id="186" w:name="_Toc14532"/>
      <w:bookmarkStart w:id="187" w:name="_Toc26324"/>
      <w:bookmarkStart w:id="188" w:name="_Toc24968"/>
      <w:bookmarkStart w:id="189" w:name="_Toc21666_WPSOffice_Level2"/>
      <w:bookmarkStart w:id="190" w:name="_Toc22474_WPSOffice_Level2"/>
      <w:bookmarkStart w:id="191" w:name="_Toc19503"/>
      <w:bookmarkStart w:id="192" w:name="_Toc8653"/>
      <w:bookmarkStart w:id="193" w:name="_Toc24279747"/>
      <w:bookmarkStart w:id="194" w:name="_Toc1384"/>
      <w:r>
        <w:rPr>
          <w:rFonts w:eastAsia="仿宋_GB2312"/>
          <w:kern w:val="0"/>
          <w:sz w:val="32"/>
          <w:szCs w:val="32"/>
        </w:rPr>
        <w:t>其中，评价机构相关人员包括评价专家组和工作人员。评价专家组由业务专家和财务专家组成：业务专家由具有副高级以上专业技术职称，具有多年被评价项目所属领域或行业的专业技术工作经验，熟悉被评价项目相关领域的政策法规，有良好的职业道德和敬业精神的专家组成；财务专家由具有丰富财会知识和管理经验的财会专业人员组成。工作人员由具备绩效评价知识和经验，熟悉评价项目、评价规范和技术规范的人员组成。</w:t>
      </w:r>
    </w:p>
    <w:bookmarkEnd w:id="185"/>
    <w:bookmarkEnd w:id="186"/>
    <w:bookmarkEnd w:id="187"/>
    <w:bookmarkEnd w:id="188"/>
    <w:bookmarkEnd w:id="189"/>
    <w:bookmarkEnd w:id="190"/>
    <w:bookmarkEnd w:id="191"/>
    <w:bookmarkEnd w:id="192"/>
    <w:bookmarkEnd w:id="193"/>
    <w:bookmarkEnd w:id="194"/>
    <w:p>
      <w:pPr>
        <w:overflowPunct w:val="0"/>
        <w:autoSpaceDE w:val="0"/>
        <w:autoSpaceDN w:val="0"/>
        <w:adjustRightInd w:val="0"/>
        <w:spacing w:line="600" w:lineRule="exact"/>
        <w:jc w:val="left"/>
        <w:textAlignment w:val="baseline"/>
        <w:outlineLvl w:val="1"/>
        <w:rPr>
          <w:rFonts w:eastAsia="楷体"/>
          <w:kern w:val="0"/>
          <w:sz w:val="32"/>
          <w:szCs w:val="32"/>
        </w:rPr>
      </w:pPr>
      <w:bookmarkStart w:id="195" w:name="_Toc17221"/>
      <w:bookmarkStart w:id="196" w:name="_Toc20170"/>
      <w:r>
        <w:rPr>
          <w:rFonts w:hint="eastAsia" w:eastAsia="楷体"/>
          <w:kern w:val="0"/>
          <w:sz w:val="32"/>
          <w:szCs w:val="32"/>
        </w:rPr>
        <w:t>（七）绩效评价工作过程</w:t>
      </w:r>
      <w:bookmarkEnd w:id="195"/>
      <w:bookmarkEnd w:id="196"/>
    </w:p>
    <w:p>
      <w:pPr>
        <w:spacing w:line="600" w:lineRule="exact"/>
        <w:rPr>
          <w:rFonts w:eastAsia="仿宋_GB2312"/>
          <w:kern w:val="0"/>
          <w:sz w:val="32"/>
          <w:szCs w:val="32"/>
        </w:rPr>
      </w:pPr>
      <w:r>
        <w:rPr>
          <w:rFonts w:eastAsia="仿宋_GB2312"/>
          <w:kern w:val="0"/>
          <w:sz w:val="32"/>
          <w:szCs w:val="32"/>
        </w:rPr>
        <w:t>本次绩效评价是在项目执行单位提供评价所需材料的基础上，对所有项目资料进行书面（非现场）评审。本次绩效评价组织实施过程共分为四个阶段，包括前期准备、组织实施、分析评价、报告撰写（见图1）：</w:t>
      </w:r>
      <w:bookmarkStart w:id="197" w:name="_Toc25495_WPSOffice_Level3"/>
    </w:p>
    <w:p>
      <w:pPr>
        <w:ind w:firstLine="0" w:firstLineChars="0"/>
        <w:jc w:val="center"/>
        <w:rPr>
          <w:rFonts w:ascii="方正小标宋简体" w:hAnsi="仿宋" w:eastAsia="方正小标宋简体"/>
          <w:kern w:val="0"/>
          <w:sz w:val="32"/>
          <w:szCs w:val="32"/>
        </w:rPr>
      </w:pPr>
      <w:r>
        <w:drawing>
          <wp:inline distT="0" distB="0" distL="114300" distR="114300">
            <wp:extent cx="5267960" cy="4459605"/>
            <wp:effectExtent l="0" t="0" r="889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7960" cy="4459605"/>
                    </a:xfrm>
                    <a:prstGeom prst="rect">
                      <a:avLst/>
                    </a:prstGeom>
                    <a:noFill/>
                    <a:ln>
                      <a:noFill/>
                    </a:ln>
                  </pic:spPr>
                </pic:pic>
              </a:graphicData>
            </a:graphic>
          </wp:inline>
        </w:drawing>
      </w:r>
    </w:p>
    <w:p>
      <w:pPr>
        <w:ind w:firstLine="0" w:firstLineChars="0"/>
        <w:jc w:val="center"/>
        <w:rPr>
          <w:rFonts w:ascii="方正小标宋_GBK" w:hAnsi="方正小标宋_GBK" w:eastAsia="方正小标宋_GBK" w:cs="方正小标宋_GBK"/>
          <w:color w:val="000000"/>
          <w:sz w:val="32"/>
          <w:szCs w:val="32"/>
        </w:rPr>
      </w:pPr>
      <w:bookmarkStart w:id="198" w:name="_Toc24279748"/>
      <w:bookmarkStart w:id="199" w:name="_Toc30915"/>
      <w:bookmarkStart w:id="200" w:name="_Toc5398"/>
      <w:bookmarkStart w:id="201" w:name="_Toc20579"/>
      <w:bookmarkStart w:id="202" w:name="_Toc6814"/>
      <w:bookmarkStart w:id="203" w:name="_Toc22852"/>
      <w:bookmarkStart w:id="204" w:name="_Toc27209"/>
      <w:bookmarkStart w:id="205" w:name="_Toc7124"/>
      <w:bookmarkStart w:id="206" w:name="_Toc6970"/>
      <w:bookmarkStart w:id="207" w:name="_Toc16794"/>
      <w:r>
        <w:rPr>
          <w:rFonts w:hint="eastAsia" w:ascii="方正小标宋_GBK" w:hAnsi="方正小标宋_GBK" w:eastAsia="方正小标宋_GBK" w:cs="方正小标宋_GBK"/>
          <w:color w:val="000000"/>
          <w:sz w:val="32"/>
          <w:szCs w:val="32"/>
        </w:rPr>
        <w:t>图1.绩效评价工作流程</w:t>
      </w:r>
    </w:p>
    <w:p>
      <w:pPr>
        <w:pStyle w:val="6"/>
        <w:spacing w:line="600" w:lineRule="exact"/>
        <w:ind w:firstLine="640"/>
        <w:rPr>
          <w:rFonts w:eastAsia="仿宋_GB2312"/>
          <w:b w:val="0"/>
          <w:kern w:val="0"/>
          <w:sz w:val="32"/>
          <w:szCs w:val="32"/>
        </w:rPr>
      </w:pPr>
      <w:r>
        <w:rPr>
          <w:rFonts w:hint="eastAsia" w:eastAsia="仿宋_GB2312"/>
          <w:b w:val="0"/>
          <w:kern w:val="0"/>
          <w:sz w:val="32"/>
          <w:szCs w:val="32"/>
        </w:rPr>
        <w:t>1、前期准备</w:t>
      </w:r>
      <w:bookmarkEnd w:id="197"/>
      <w:bookmarkEnd w:id="198"/>
      <w:bookmarkEnd w:id="199"/>
      <w:bookmarkEnd w:id="200"/>
      <w:bookmarkEnd w:id="201"/>
      <w:bookmarkEnd w:id="202"/>
      <w:bookmarkEnd w:id="203"/>
      <w:bookmarkEnd w:id="204"/>
      <w:bookmarkEnd w:id="205"/>
      <w:bookmarkEnd w:id="206"/>
      <w:bookmarkEnd w:id="207"/>
    </w:p>
    <w:p>
      <w:pPr>
        <w:spacing w:line="600" w:lineRule="exact"/>
        <w:rPr>
          <w:rFonts w:eastAsia="仿宋_GB2312"/>
          <w:kern w:val="0"/>
          <w:sz w:val="32"/>
          <w:szCs w:val="32"/>
        </w:rPr>
      </w:pPr>
      <w:bookmarkStart w:id="208" w:name="_Toc15847"/>
      <w:bookmarkStart w:id="209" w:name="_Toc9029_WPSOffice_Level3"/>
      <w:bookmarkStart w:id="210" w:name="_Toc13311"/>
      <w:bookmarkStart w:id="211" w:name="_Toc24279749"/>
      <w:bookmarkStart w:id="212" w:name="_Toc9409"/>
      <w:bookmarkStart w:id="213" w:name="_Toc980"/>
      <w:bookmarkStart w:id="214" w:name="_Toc22472"/>
      <w:r>
        <w:rPr>
          <w:rFonts w:eastAsia="仿宋_GB2312"/>
          <w:kern w:val="0"/>
          <w:sz w:val="32"/>
          <w:szCs w:val="32"/>
        </w:rPr>
        <w:t>本次绩效评价工作的前期准备工作从2022年8月份开始，前期准备工作主要包括以下内容：</w:t>
      </w:r>
    </w:p>
    <w:p>
      <w:pPr>
        <w:spacing w:line="600" w:lineRule="exact"/>
        <w:rPr>
          <w:rFonts w:eastAsia="仿宋_GB2312"/>
          <w:kern w:val="0"/>
          <w:sz w:val="32"/>
          <w:szCs w:val="32"/>
        </w:rPr>
      </w:pPr>
      <w:r>
        <w:rPr>
          <w:rFonts w:eastAsia="仿宋_GB2312"/>
          <w:kern w:val="0"/>
          <w:sz w:val="32"/>
          <w:szCs w:val="32"/>
        </w:rPr>
        <w:t>（1）进行专业理论知识学习。公司组织业务骨干人员参加绩效评价培训研讨会议，深入学习财政资金绩效评价的理论创新发展和实务前沿，为后期绩效评价工作有序开展提供了坚实的理论支持。</w:t>
      </w:r>
    </w:p>
    <w:p>
      <w:pPr>
        <w:spacing w:line="600" w:lineRule="exact"/>
        <w:rPr>
          <w:rFonts w:eastAsia="仿宋_GB2312"/>
          <w:kern w:val="0"/>
          <w:sz w:val="32"/>
          <w:szCs w:val="32"/>
        </w:rPr>
      </w:pPr>
      <w:r>
        <w:rPr>
          <w:rFonts w:eastAsia="仿宋_GB2312"/>
          <w:kern w:val="0"/>
          <w:sz w:val="32"/>
          <w:szCs w:val="32"/>
        </w:rPr>
        <w:t>（2）成立绩效评价质量标准委员会。绩效评价质量标准委员会由具有良好理论素养和丰富实践经验的工作人员组成，包括注册会计师、税务师以及专家教授等组成。绩效评价质量标准委员会主要负责制定绩效评价指标体系、编写绩效评价实施方案、组织绩效评价人员培训、进行现场评价工作指导、撰写专项资金绩效评价总报告等工作。</w:t>
      </w:r>
    </w:p>
    <w:p>
      <w:pPr>
        <w:spacing w:line="600" w:lineRule="exact"/>
        <w:rPr>
          <w:rFonts w:eastAsia="仿宋_GB2312"/>
          <w:kern w:val="0"/>
          <w:sz w:val="32"/>
          <w:szCs w:val="32"/>
        </w:rPr>
      </w:pPr>
      <w:r>
        <w:rPr>
          <w:rFonts w:eastAsia="仿宋_GB2312"/>
          <w:kern w:val="0"/>
          <w:sz w:val="32"/>
          <w:szCs w:val="32"/>
        </w:rPr>
        <w:t>（3）制定绩效评价指标体系。绩效评价质量标准委员会负责制定绩效评价指标体系。本次绩效评价指标体系制定以《关于印发〈预算绩效评价共性指标体系框架〉的通知》（财预〔2013〕53号）和《财政部关于印发〈财政支出绩效评价管理暂行办法〉的通知》（财预〔2011〕285号），参照省财政厅预算绩效管理处印发的《财政重点项目第三方绩效评价组织实施工作流程》，结合项目的特有属性及项目实际情况，设计指标体系，进行指标细化和分值设定。</w:t>
      </w:r>
    </w:p>
    <w:p>
      <w:pPr>
        <w:spacing w:line="600" w:lineRule="exact"/>
        <w:rPr>
          <w:rFonts w:eastAsia="仿宋_GB2312"/>
          <w:kern w:val="0"/>
          <w:sz w:val="32"/>
          <w:szCs w:val="32"/>
        </w:rPr>
      </w:pPr>
      <w:r>
        <w:rPr>
          <w:rFonts w:eastAsia="仿宋_GB2312"/>
          <w:kern w:val="0"/>
          <w:sz w:val="32"/>
          <w:szCs w:val="32"/>
        </w:rPr>
        <w:t>（4）初步制定绩效评价实施方案。本次绩效评价实施方案由质量标准委员会制定初稿，针对委托方与相关专家意见质量指标委员会进行再次讨论并定稿。</w:t>
      </w:r>
    </w:p>
    <w:p>
      <w:pPr>
        <w:spacing w:line="600" w:lineRule="exact"/>
        <w:rPr>
          <w:rFonts w:eastAsia="仿宋_GB2312"/>
          <w:kern w:val="0"/>
          <w:sz w:val="32"/>
          <w:szCs w:val="32"/>
        </w:rPr>
      </w:pPr>
      <w:r>
        <w:rPr>
          <w:rFonts w:eastAsia="仿宋_GB2312"/>
          <w:kern w:val="0"/>
          <w:sz w:val="32"/>
          <w:szCs w:val="32"/>
        </w:rPr>
        <w:t>（5）进行绩效评价工作人员培训。评价工作开始前专门针对财政专项资金绩效评价工作进行了系统培训，培训工作由质量标准委员会组织，本次绩效评价员工培训内容包括绩效评价基础理论、绩效评价实务工作流程、绩效评价过程中容易出现的问题和应对措施、绩效评价指标体系说明，其中指标体系说明包括指标说明、评价标准说明。</w:t>
      </w:r>
    </w:p>
    <w:p>
      <w:pPr>
        <w:pStyle w:val="6"/>
        <w:spacing w:line="600" w:lineRule="exact"/>
        <w:ind w:firstLine="640"/>
        <w:rPr>
          <w:rFonts w:eastAsia="仿宋_GB2312"/>
          <w:b w:val="0"/>
          <w:kern w:val="0"/>
          <w:sz w:val="32"/>
          <w:szCs w:val="32"/>
        </w:rPr>
      </w:pPr>
      <w:bookmarkStart w:id="215" w:name="_Toc22540"/>
      <w:bookmarkStart w:id="216" w:name="_Toc27290"/>
      <w:bookmarkStart w:id="217" w:name="_Toc3271"/>
      <w:bookmarkStart w:id="218" w:name="_Toc1406"/>
      <w:r>
        <w:rPr>
          <w:rFonts w:hint="eastAsia" w:eastAsia="仿宋_GB2312"/>
          <w:b w:val="0"/>
          <w:kern w:val="0"/>
          <w:sz w:val="32"/>
          <w:szCs w:val="32"/>
        </w:rPr>
        <w:t>2、组织实施</w:t>
      </w:r>
      <w:bookmarkEnd w:id="208"/>
      <w:bookmarkEnd w:id="209"/>
      <w:bookmarkEnd w:id="210"/>
      <w:bookmarkEnd w:id="211"/>
      <w:bookmarkEnd w:id="212"/>
      <w:bookmarkEnd w:id="213"/>
      <w:bookmarkEnd w:id="214"/>
      <w:bookmarkEnd w:id="215"/>
      <w:bookmarkEnd w:id="216"/>
      <w:bookmarkEnd w:id="217"/>
      <w:bookmarkEnd w:id="218"/>
    </w:p>
    <w:p>
      <w:pPr>
        <w:spacing w:line="600" w:lineRule="exact"/>
        <w:rPr>
          <w:rFonts w:eastAsia="仿宋_GB2312"/>
          <w:kern w:val="0"/>
          <w:sz w:val="32"/>
          <w:szCs w:val="32"/>
        </w:rPr>
      </w:pPr>
      <w:r>
        <w:rPr>
          <w:rFonts w:eastAsia="仿宋_GB2312"/>
          <w:kern w:val="0"/>
          <w:sz w:val="32"/>
          <w:szCs w:val="32"/>
        </w:rPr>
        <w:t>本次绩效评价组织实施包括事前沟通、收集评价资料、针对项目单位提供的书面材料进行评价打分、现场评价四个部分。</w:t>
      </w:r>
    </w:p>
    <w:p>
      <w:pPr>
        <w:spacing w:line="600" w:lineRule="exact"/>
        <w:rPr>
          <w:rFonts w:eastAsia="仿宋_GB2312"/>
          <w:kern w:val="0"/>
          <w:sz w:val="32"/>
          <w:szCs w:val="32"/>
        </w:rPr>
      </w:pPr>
      <w:r>
        <w:rPr>
          <w:rFonts w:eastAsia="仿宋_GB2312"/>
          <w:kern w:val="0"/>
          <w:sz w:val="32"/>
          <w:szCs w:val="32"/>
        </w:rPr>
        <w:t>（1）事前沟通</w:t>
      </w:r>
    </w:p>
    <w:p>
      <w:pPr>
        <w:spacing w:line="600" w:lineRule="exact"/>
        <w:rPr>
          <w:rFonts w:eastAsia="仿宋_GB2312"/>
          <w:kern w:val="0"/>
          <w:sz w:val="32"/>
          <w:szCs w:val="32"/>
        </w:rPr>
      </w:pPr>
      <w:r>
        <w:rPr>
          <w:rFonts w:eastAsia="仿宋_GB2312"/>
          <w:kern w:val="0"/>
          <w:sz w:val="32"/>
          <w:szCs w:val="32"/>
        </w:rPr>
        <w:t>在进驻项目单位之前，与济宁市兖州区财政局相关负责人、项目单位进行联系，就评价流程、评价时间安排、评价资料收集进行沟通，要求主管部门以及项目单位针对本次绩效评价工作进行相关资料准备工作。同时，由济宁市兖州区财政局相关负责人把绩效评价项目第三方单位负责人的联系方式告知项目单位，以便于及时沟通解决项目单位在资料准备过程中疑问。</w:t>
      </w:r>
    </w:p>
    <w:p>
      <w:pPr>
        <w:spacing w:line="600" w:lineRule="exact"/>
        <w:rPr>
          <w:rFonts w:eastAsia="仿宋_GB2312"/>
          <w:kern w:val="0"/>
          <w:sz w:val="32"/>
          <w:szCs w:val="32"/>
        </w:rPr>
      </w:pPr>
      <w:r>
        <w:rPr>
          <w:rFonts w:eastAsia="仿宋_GB2312"/>
          <w:kern w:val="0"/>
          <w:sz w:val="32"/>
          <w:szCs w:val="32"/>
        </w:rPr>
        <w:t>（2）书面评价</w:t>
      </w:r>
    </w:p>
    <w:p>
      <w:pPr>
        <w:spacing w:line="600" w:lineRule="exact"/>
        <w:rPr>
          <w:rFonts w:eastAsia="仿宋_GB2312"/>
          <w:kern w:val="0"/>
          <w:sz w:val="32"/>
          <w:szCs w:val="32"/>
        </w:rPr>
      </w:pPr>
      <w:r>
        <w:rPr>
          <w:rFonts w:eastAsia="仿宋_GB2312"/>
          <w:kern w:val="0"/>
          <w:sz w:val="32"/>
          <w:szCs w:val="32"/>
        </w:rPr>
        <w:t>项目评价小组依据主管部门和项目单位提供的材料，按照评价指标体系对项目单位绩效情况进行打分。</w:t>
      </w:r>
    </w:p>
    <w:p>
      <w:pPr>
        <w:spacing w:line="600" w:lineRule="exact"/>
        <w:rPr>
          <w:rFonts w:eastAsia="仿宋_GB2312"/>
          <w:kern w:val="0"/>
          <w:sz w:val="32"/>
          <w:szCs w:val="32"/>
        </w:rPr>
      </w:pPr>
      <w:r>
        <w:rPr>
          <w:rFonts w:eastAsia="仿宋_GB2312"/>
          <w:kern w:val="0"/>
          <w:sz w:val="32"/>
          <w:szCs w:val="32"/>
        </w:rPr>
        <w:t>①资料收集并审核。评价准备阶段要求各项目单位把相关评价材料准备齐全后统一归集到绩效评价的评价工作点。评价小组到达工作地点后，对项目单位提交的材料进行审核，针对每一个项目列出缺失资料清单，要求项目单位进行资料补充。</w:t>
      </w:r>
    </w:p>
    <w:p>
      <w:pPr>
        <w:spacing w:line="600" w:lineRule="exact"/>
        <w:rPr>
          <w:rFonts w:eastAsia="仿宋_GB2312"/>
          <w:kern w:val="0"/>
          <w:sz w:val="32"/>
          <w:szCs w:val="32"/>
        </w:rPr>
      </w:pPr>
      <w:r>
        <w:rPr>
          <w:rFonts w:eastAsia="仿宋_GB2312"/>
          <w:kern w:val="0"/>
          <w:sz w:val="32"/>
          <w:szCs w:val="32"/>
        </w:rPr>
        <w:t>②书面资料评价打分。评价小组根据所收集资料，按照评级指标和评价标准，对全部项目进行打分。这一工作大幅度增加了绩效评价工作复杂性，但同时增加了绩效评价结果反映的全面性和评价结果精准性。</w:t>
      </w:r>
    </w:p>
    <w:p>
      <w:pPr>
        <w:spacing w:line="600" w:lineRule="exact"/>
        <w:rPr>
          <w:rFonts w:eastAsia="仿宋_GB2312"/>
          <w:kern w:val="0"/>
          <w:sz w:val="32"/>
          <w:szCs w:val="32"/>
        </w:rPr>
      </w:pPr>
      <w:r>
        <w:rPr>
          <w:rFonts w:eastAsia="仿宋_GB2312"/>
          <w:kern w:val="0"/>
          <w:sz w:val="32"/>
          <w:szCs w:val="32"/>
        </w:rPr>
        <w:t>（3）现场评价</w:t>
      </w:r>
    </w:p>
    <w:p>
      <w:pPr>
        <w:spacing w:line="600" w:lineRule="exact"/>
        <w:rPr>
          <w:rFonts w:eastAsia="仿宋_GB2312"/>
          <w:kern w:val="0"/>
          <w:sz w:val="32"/>
          <w:szCs w:val="32"/>
        </w:rPr>
      </w:pPr>
      <w:r>
        <w:rPr>
          <w:rFonts w:eastAsia="仿宋_GB2312"/>
          <w:kern w:val="0"/>
          <w:sz w:val="32"/>
          <w:szCs w:val="32"/>
        </w:rPr>
        <w:t>现场评价的基本流程包括以下三个步骤：</w:t>
      </w:r>
    </w:p>
    <w:p>
      <w:pPr>
        <w:spacing w:line="600" w:lineRule="exact"/>
        <w:rPr>
          <w:rFonts w:eastAsia="仿宋_GB2312"/>
          <w:kern w:val="0"/>
          <w:sz w:val="32"/>
          <w:szCs w:val="32"/>
        </w:rPr>
      </w:pPr>
      <w:r>
        <w:rPr>
          <w:rFonts w:eastAsia="仿宋_GB2312"/>
          <w:kern w:val="0"/>
          <w:sz w:val="32"/>
          <w:szCs w:val="32"/>
        </w:rPr>
        <w:t>①资料审核并进行二次收集。针对现场评价项目所提供的材料，进行资料清单的查阅，包括未提供原始资料的文件要求进行二次补充。</w:t>
      </w:r>
    </w:p>
    <w:p>
      <w:pPr>
        <w:spacing w:line="600" w:lineRule="exact"/>
        <w:rPr>
          <w:rFonts w:eastAsia="仿宋_GB2312"/>
          <w:kern w:val="0"/>
          <w:sz w:val="32"/>
          <w:szCs w:val="32"/>
        </w:rPr>
      </w:pPr>
      <w:r>
        <w:rPr>
          <w:rFonts w:eastAsia="仿宋_GB2312"/>
          <w:kern w:val="0"/>
          <w:sz w:val="32"/>
          <w:szCs w:val="32"/>
        </w:rPr>
        <w:t>②书面评价。评价小组根据所收集资料，按照评级指标和评价标准，对需要现场评价的项目进行打分。</w:t>
      </w:r>
    </w:p>
    <w:p>
      <w:pPr>
        <w:spacing w:line="600" w:lineRule="exact"/>
        <w:rPr>
          <w:rFonts w:eastAsia="仿宋_GB2312"/>
          <w:kern w:val="0"/>
          <w:sz w:val="32"/>
          <w:szCs w:val="32"/>
        </w:rPr>
      </w:pPr>
      <w:r>
        <w:rPr>
          <w:rFonts w:eastAsia="仿宋_GB2312"/>
          <w:kern w:val="0"/>
          <w:sz w:val="32"/>
          <w:szCs w:val="32"/>
        </w:rPr>
        <w:t>③现场评价。项目评价小组在书面评价结果基础上进行现场评价。现场评价主要包括实地考评和材料核实两方面。</w:t>
      </w:r>
    </w:p>
    <w:p>
      <w:pPr>
        <w:pStyle w:val="6"/>
        <w:spacing w:line="600" w:lineRule="exact"/>
        <w:ind w:firstLine="640"/>
        <w:rPr>
          <w:rFonts w:eastAsia="仿宋_GB2312"/>
          <w:b w:val="0"/>
          <w:kern w:val="0"/>
          <w:sz w:val="32"/>
          <w:szCs w:val="32"/>
        </w:rPr>
      </w:pPr>
      <w:bookmarkStart w:id="219" w:name="_Toc21720"/>
      <w:bookmarkStart w:id="220" w:name="_Toc11083"/>
      <w:bookmarkStart w:id="221" w:name="_Toc29414"/>
      <w:bookmarkStart w:id="222" w:name="_Toc22657"/>
      <w:bookmarkStart w:id="223" w:name="_Toc11327"/>
      <w:bookmarkStart w:id="224" w:name="_Toc1277_WPSOffice_Level3"/>
      <w:bookmarkStart w:id="225" w:name="_Toc24279750"/>
      <w:bookmarkStart w:id="226" w:name="_Toc20505"/>
      <w:bookmarkStart w:id="227" w:name="_Toc5490"/>
      <w:bookmarkStart w:id="228" w:name="_Toc22456"/>
      <w:bookmarkStart w:id="229" w:name="_Toc24717"/>
      <w:r>
        <w:rPr>
          <w:rFonts w:hint="eastAsia" w:eastAsia="仿宋_GB2312"/>
          <w:b w:val="0"/>
          <w:kern w:val="0"/>
          <w:sz w:val="32"/>
          <w:szCs w:val="32"/>
        </w:rPr>
        <w:t>3、评价分析</w:t>
      </w:r>
      <w:bookmarkEnd w:id="219"/>
      <w:bookmarkEnd w:id="220"/>
      <w:bookmarkEnd w:id="221"/>
      <w:bookmarkEnd w:id="222"/>
      <w:bookmarkEnd w:id="223"/>
      <w:bookmarkEnd w:id="224"/>
      <w:bookmarkEnd w:id="225"/>
      <w:bookmarkEnd w:id="226"/>
      <w:bookmarkEnd w:id="227"/>
      <w:bookmarkEnd w:id="228"/>
      <w:bookmarkEnd w:id="229"/>
    </w:p>
    <w:p>
      <w:pPr>
        <w:spacing w:line="600" w:lineRule="exact"/>
        <w:rPr>
          <w:rFonts w:eastAsia="仿宋_GB2312"/>
          <w:kern w:val="0"/>
          <w:sz w:val="32"/>
          <w:szCs w:val="32"/>
        </w:rPr>
      </w:pPr>
      <w:r>
        <w:rPr>
          <w:rFonts w:eastAsia="仿宋_GB2312"/>
          <w:kern w:val="0"/>
          <w:sz w:val="32"/>
          <w:szCs w:val="32"/>
        </w:rPr>
        <w:t>评价分析是本次绩效评价的主要过程，包括：</w:t>
      </w:r>
    </w:p>
    <w:p>
      <w:pPr>
        <w:spacing w:line="600" w:lineRule="exact"/>
        <w:rPr>
          <w:rFonts w:eastAsia="仿宋_GB2312"/>
          <w:kern w:val="0"/>
          <w:sz w:val="32"/>
          <w:szCs w:val="32"/>
        </w:rPr>
      </w:pPr>
      <w:r>
        <w:rPr>
          <w:rFonts w:eastAsia="仿宋_GB2312"/>
          <w:kern w:val="0"/>
          <w:sz w:val="32"/>
          <w:szCs w:val="32"/>
        </w:rPr>
        <w:t>（1）各项目小组针对绩效评价打分情况，完成绩效评价汇总表；</w:t>
      </w:r>
    </w:p>
    <w:p>
      <w:pPr>
        <w:spacing w:line="600" w:lineRule="exact"/>
        <w:rPr>
          <w:rFonts w:eastAsia="仿宋_GB2312"/>
          <w:kern w:val="0"/>
          <w:sz w:val="32"/>
          <w:szCs w:val="32"/>
        </w:rPr>
      </w:pPr>
      <w:r>
        <w:rPr>
          <w:rFonts w:eastAsia="仿宋_GB2312"/>
          <w:kern w:val="0"/>
          <w:sz w:val="32"/>
          <w:szCs w:val="32"/>
        </w:rPr>
        <w:t>（2）分指标对项目的业务和财务情况进行分析评价。</w:t>
      </w:r>
    </w:p>
    <w:p>
      <w:pPr>
        <w:pStyle w:val="6"/>
        <w:spacing w:line="600" w:lineRule="exact"/>
        <w:ind w:firstLine="640"/>
        <w:rPr>
          <w:rFonts w:eastAsia="仿宋_GB2312"/>
          <w:b w:val="0"/>
          <w:kern w:val="0"/>
          <w:sz w:val="32"/>
          <w:szCs w:val="32"/>
        </w:rPr>
      </w:pPr>
      <w:bookmarkStart w:id="230" w:name="_Toc7493"/>
      <w:bookmarkStart w:id="231" w:name="_Toc23737"/>
      <w:bookmarkStart w:id="232" w:name="_Toc11048"/>
      <w:bookmarkStart w:id="233" w:name="_Toc24279751"/>
      <w:bookmarkStart w:id="234" w:name="_Toc4552"/>
      <w:bookmarkStart w:id="235" w:name="_Toc28117"/>
      <w:bookmarkStart w:id="236" w:name="_Toc30982"/>
      <w:bookmarkStart w:id="237" w:name="_Toc13256"/>
      <w:bookmarkStart w:id="238" w:name="_Toc18932"/>
      <w:bookmarkStart w:id="239" w:name="_Toc65_WPSOffice_Level3"/>
      <w:bookmarkStart w:id="240" w:name="_Toc8248"/>
      <w:r>
        <w:rPr>
          <w:rFonts w:hint="eastAsia" w:eastAsia="仿宋_GB2312"/>
          <w:b w:val="0"/>
          <w:kern w:val="0"/>
          <w:sz w:val="32"/>
          <w:szCs w:val="32"/>
        </w:rPr>
        <w:t>4、报告撰写</w:t>
      </w:r>
      <w:bookmarkEnd w:id="230"/>
      <w:bookmarkEnd w:id="231"/>
      <w:bookmarkEnd w:id="232"/>
      <w:bookmarkEnd w:id="233"/>
      <w:bookmarkEnd w:id="234"/>
      <w:bookmarkEnd w:id="235"/>
      <w:bookmarkEnd w:id="236"/>
      <w:bookmarkEnd w:id="237"/>
      <w:bookmarkEnd w:id="238"/>
      <w:bookmarkEnd w:id="239"/>
      <w:bookmarkEnd w:id="240"/>
    </w:p>
    <w:p>
      <w:pPr>
        <w:spacing w:line="600" w:lineRule="exact"/>
        <w:ind w:firstLine="540"/>
      </w:pPr>
      <w:r>
        <w:t>报告的撰写包括三个步骤。首先，质量标准委员会负责编制初稿并进行讨论修改；第二，与相关部门负责人就初稿进行讨论；第三，针对初稿的修改意见，质量标准委员会进行初稿的修改，并经过济宁市兖州区财政局沟通汇报并审核后出具正式评价报告。</w:t>
      </w:r>
      <w:bookmarkStart w:id="241" w:name="_Toc24374216"/>
      <w:bookmarkStart w:id="242" w:name="_Toc24374857"/>
      <w:bookmarkStart w:id="243" w:name="_Toc25650511"/>
      <w:bookmarkStart w:id="244" w:name="_Toc24311769"/>
    </w:p>
    <w:p>
      <w:pPr>
        <w:overflowPunct w:val="0"/>
        <w:autoSpaceDE w:val="0"/>
        <w:autoSpaceDN w:val="0"/>
        <w:adjustRightInd w:val="0"/>
        <w:spacing w:line="600" w:lineRule="exact"/>
        <w:textAlignment w:val="baseline"/>
        <w:outlineLvl w:val="0"/>
        <w:rPr>
          <w:rFonts w:eastAsia="黑体"/>
          <w:kern w:val="0"/>
          <w:sz w:val="32"/>
          <w:szCs w:val="32"/>
        </w:rPr>
      </w:pPr>
      <w:bookmarkStart w:id="245" w:name="_Toc22301"/>
      <w:bookmarkStart w:id="246" w:name="_Toc482"/>
      <w:r>
        <w:rPr>
          <w:rFonts w:hint="eastAsia" w:eastAsia="黑体"/>
          <w:kern w:val="0"/>
          <w:sz w:val="32"/>
          <w:szCs w:val="32"/>
        </w:rPr>
        <w:t>四、评价结论及分析</w:t>
      </w:r>
      <w:bookmarkEnd w:id="245"/>
      <w:bookmarkEnd w:id="246"/>
    </w:p>
    <w:p>
      <w:pPr>
        <w:overflowPunct w:val="0"/>
        <w:autoSpaceDE w:val="0"/>
        <w:autoSpaceDN w:val="0"/>
        <w:adjustRightInd w:val="0"/>
        <w:spacing w:line="600" w:lineRule="exact"/>
        <w:jc w:val="left"/>
        <w:textAlignment w:val="baseline"/>
        <w:outlineLvl w:val="1"/>
        <w:rPr>
          <w:rFonts w:eastAsia="楷体"/>
          <w:kern w:val="0"/>
          <w:sz w:val="32"/>
          <w:szCs w:val="32"/>
        </w:rPr>
      </w:pPr>
      <w:bookmarkStart w:id="247" w:name="_Toc20737"/>
      <w:bookmarkStart w:id="248" w:name="_Toc14526"/>
      <w:bookmarkStart w:id="249" w:name="_Toc1989"/>
      <w:bookmarkStart w:id="250" w:name="_Toc6171"/>
      <w:bookmarkStart w:id="251" w:name="_Toc28279536"/>
      <w:bookmarkStart w:id="252" w:name="_Toc28005419"/>
      <w:bookmarkStart w:id="253" w:name="_Toc28180171"/>
      <w:bookmarkStart w:id="254" w:name="_Toc27571606"/>
      <w:bookmarkStart w:id="255" w:name="_Toc27499174"/>
      <w:bookmarkStart w:id="256" w:name="_Toc27498927"/>
      <w:bookmarkStart w:id="257" w:name="_Toc10344"/>
      <w:bookmarkStart w:id="258" w:name="_Toc25650520"/>
      <w:r>
        <w:rPr>
          <w:rFonts w:hint="eastAsia" w:eastAsia="楷体"/>
          <w:kern w:val="0"/>
          <w:sz w:val="32"/>
          <w:szCs w:val="32"/>
        </w:rPr>
        <w:t>（一）综合评价情况及结论</w:t>
      </w:r>
      <w:bookmarkEnd w:id="247"/>
      <w:bookmarkEnd w:id="248"/>
      <w:bookmarkEnd w:id="249"/>
    </w:p>
    <w:p>
      <w:pPr>
        <w:pStyle w:val="2"/>
        <w:spacing w:line="600" w:lineRule="exact"/>
        <w:rPr>
          <w:rFonts w:eastAsia="仿宋_GB2312"/>
          <w:kern w:val="0"/>
          <w:sz w:val="32"/>
          <w:szCs w:val="32"/>
        </w:rPr>
      </w:pPr>
      <w:bookmarkStart w:id="259" w:name="_Toc15016"/>
      <w:r>
        <w:rPr>
          <w:rFonts w:hint="eastAsia" w:eastAsia="仿宋_GB2312"/>
          <w:kern w:val="0"/>
          <w:sz w:val="32"/>
          <w:szCs w:val="32"/>
        </w:rPr>
        <w:t>本次兖州区2021年用于体育事业的彩票公益金支出项目绩效评价得分88分，评价等级为“良”。该项目立项依据充分，程序规范，执行到位，项目基本实现了预期目标，取得了较好的社会效益。但存在的问题也较为突出，比如，绩效指标不够细化、量化；未制定对第三方运营服务公司相关考核监管细则；未及时组织老体育中心室外羽毛球、篮球场地面维修；未编制体彩公益金项目预算等等。</w:t>
      </w:r>
      <w:bookmarkEnd w:id="259"/>
    </w:p>
    <w:p>
      <w:pPr>
        <w:overflowPunct w:val="0"/>
        <w:autoSpaceDE w:val="0"/>
        <w:autoSpaceDN w:val="0"/>
        <w:adjustRightInd w:val="0"/>
        <w:spacing w:line="600" w:lineRule="exact"/>
        <w:jc w:val="left"/>
        <w:textAlignment w:val="baseline"/>
        <w:outlineLvl w:val="1"/>
        <w:rPr>
          <w:rFonts w:eastAsia="楷体"/>
          <w:kern w:val="0"/>
          <w:sz w:val="32"/>
          <w:szCs w:val="32"/>
        </w:rPr>
      </w:pPr>
      <w:bookmarkStart w:id="260" w:name="_Toc32749"/>
      <w:bookmarkStart w:id="261" w:name="_Toc17662"/>
      <w:bookmarkStart w:id="262" w:name="_Toc1952"/>
      <w:r>
        <w:rPr>
          <w:rFonts w:hint="eastAsia" w:eastAsia="楷体"/>
          <w:kern w:val="0"/>
          <w:sz w:val="32"/>
          <w:szCs w:val="32"/>
        </w:rPr>
        <w:t>（二）绩效评价结果分析</w:t>
      </w:r>
      <w:bookmarkEnd w:id="260"/>
      <w:bookmarkEnd w:id="261"/>
      <w:bookmarkEnd w:id="262"/>
    </w:p>
    <w:p>
      <w:pPr>
        <w:pStyle w:val="6"/>
        <w:spacing w:line="600" w:lineRule="exact"/>
        <w:ind w:firstLine="640"/>
        <w:rPr>
          <w:rFonts w:eastAsia="仿宋_GB2312"/>
          <w:b w:val="0"/>
          <w:kern w:val="0"/>
          <w:sz w:val="32"/>
          <w:szCs w:val="32"/>
        </w:rPr>
      </w:pPr>
      <w:bookmarkStart w:id="263" w:name="_Toc25650513"/>
      <w:bookmarkStart w:id="264" w:name="_Toc24642"/>
      <w:bookmarkStart w:id="265" w:name="_Toc31592"/>
      <w:r>
        <w:rPr>
          <w:rFonts w:hint="eastAsia" w:eastAsia="仿宋_GB2312"/>
          <w:b w:val="0"/>
          <w:kern w:val="0"/>
          <w:sz w:val="32"/>
          <w:szCs w:val="32"/>
        </w:rPr>
        <w:t>1.</w:t>
      </w:r>
      <w:bookmarkEnd w:id="263"/>
      <w:r>
        <w:rPr>
          <w:rFonts w:hint="eastAsia" w:eastAsia="仿宋_GB2312"/>
          <w:b w:val="0"/>
          <w:kern w:val="0"/>
          <w:sz w:val="32"/>
          <w:szCs w:val="32"/>
        </w:rPr>
        <w:t>决策情况</w:t>
      </w:r>
      <w:bookmarkEnd w:id="264"/>
      <w:bookmarkEnd w:id="265"/>
    </w:p>
    <w:p>
      <w:pPr>
        <w:pStyle w:val="2"/>
        <w:spacing w:line="600" w:lineRule="exact"/>
        <w:rPr>
          <w:rFonts w:eastAsia="仿宋_GB2312"/>
          <w:kern w:val="0"/>
          <w:sz w:val="32"/>
          <w:szCs w:val="32"/>
        </w:rPr>
      </w:pPr>
      <w:r>
        <w:rPr>
          <w:rFonts w:hint="eastAsia" w:eastAsia="仿宋_GB2312"/>
          <w:kern w:val="0"/>
          <w:sz w:val="32"/>
          <w:szCs w:val="32"/>
        </w:rPr>
        <w:t>决策指标满分为20分，分为三个二级指标：项目立项、绩效目标和资金投入，该项评价得分为17分。</w:t>
      </w:r>
    </w:p>
    <w:p>
      <w:pPr>
        <w:pStyle w:val="6"/>
        <w:spacing w:line="600" w:lineRule="exact"/>
        <w:ind w:firstLine="640"/>
        <w:rPr>
          <w:rFonts w:eastAsia="仿宋_GB2312"/>
          <w:b w:val="0"/>
          <w:kern w:val="0"/>
          <w:sz w:val="32"/>
          <w:szCs w:val="32"/>
        </w:rPr>
      </w:pPr>
      <w:bookmarkStart w:id="266" w:name="_Toc1641"/>
      <w:bookmarkStart w:id="267" w:name="_Toc15803"/>
      <w:r>
        <w:rPr>
          <w:rFonts w:hint="eastAsia" w:eastAsia="仿宋_GB2312"/>
          <w:b w:val="0"/>
          <w:kern w:val="0"/>
          <w:sz w:val="32"/>
          <w:szCs w:val="32"/>
        </w:rPr>
        <w:t>2.过程情况</w:t>
      </w:r>
      <w:bookmarkEnd w:id="266"/>
      <w:bookmarkEnd w:id="267"/>
    </w:p>
    <w:p>
      <w:pPr>
        <w:pStyle w:val="2"/>
        <w:spacing w:line="600" w:lineRule="exact"/>
        <w:rPr>
          <w:sz w:val="32"/>
          <w:szCs w:val="32"/>
        </w:rPr>
      </w:pPr>
      <w:r>
        <w:rPr>
          <w:rFonts w:hint="eastAsia" w:eastAsia="仿宋_GB2312"/>
          <w:kern w:val="0"/>
          <w:sz w:val="32"/>
          <w:szCs w:val="32"/>
        </w:rPr>
        <w:t>过程指标满分为20分，分为两个二级指标：资金管理和组织实施，该项评价得分为18分。</w:t>
      </w:r>
    </w:p>
    <w:p>
      <w:pPr>
        <w:pStyle w:val="6"/>
        <w:spacing w:line="600" w:lineRule="exact"/>
        <w:ind w:firstLine="640"/>
        <w:rPr>
          <w:rFonts w:eastAsia="仿宋_GB2312"/>
          <w:b w:val="0"/>
          <w:kern w:val="0"/>
          <w:sz w:val="32"/>
          <w:szCs w:val="32"/>
        </w:rPr>
      </w:pPr>
      <w:bookmarkStart w:id="268" w:name="_Toc30655"/>
      <w:bookmarkStart w:id="269" w:name="_Toc12286"/>
      <w:r>
        <w:rPr>
          <w:rFonts w:hint="eastAsia" w:eastAsia="仿宋_GB2312"/>
          <w:b w:val="0"/>
          <w:kern w:val="0"/>
          <w:sz w:val="32"/>
          <w:szCs w:val="32"/>
        </w:rPr>
        <w:t>3.产出情况</w:t>
      </w:r>
      <w:bookmarkEnd w:id="268"/>
      <w:bookmarkEnd w:id="269"/>
    </w:p>
    <w:p>
      <w:pPr>
        <w:pStyle w:val="2"/>
        <w:spacing w:line="600" w:lineRule="exact"/>
        <w:rPr>
          <w:sz w:val="32"/>
          <w:szCs w:val="32"/>
        </w:rPr>
      </w:pPr>
      <w:r>
        <w:rPr>
          <w:rFonts w:hint="eastAsia" w:eastAsia="仿宋_GB2312"/>
          <w:kern w:val="0"/>
          <w:sz w:val="32"/>
          <w:szCs w:val="32"/>
        </w:rPr>
        <w:t>产出指标满分为25分，分为四个二级指标：产出数量、产出质量、产出时效和产出成本，该项评价得分为20分。</w:t>
      </w:r>
    </w:p>
    <w:p>
      <w:pPr>
        <w:pStyle w:val="6"/>
        <w:spacing w:line="600" w:lineRule="exact"/>
        <w:ind w:firstLine="640"/>
        <w:rPr>
          <w:rFonts w:eastAsia="仿宋_GB2312"/>
          <w:b w:val="0"/>
          <w:kern w:val="0"/>
          <w:sz w:val="32"/>
          <w:szCs w:val="32"/>
        </w:rPr>
      </w:pPr>
      <w:bookmarkStart w:id="270" w:name="_Toc12212"/>
      <w:bookmarkStart w:id="271" w:name="_Toc23691"/>
      <w:r>
        <w:rPr>
          <w:rFonts w:hint="eastAsia" w:eastAsia="仿宋_GB2312"/>
          <w:b w:val="0"/>
          <w:kern w:val="0"/>
          <w:sz w:val="32"/>
          <w:szCs w:val="32"/>
        </w:rPr>
        <w:t>4.效益情况</w:t>
      </w:r>
      <w:bookmarkEnd w:id="270"/>
      <w:bookmarkEnd w:id="271"/>
    </w:p>
    <w:p>
      <w:pPr>
        <w:spacing w:line="600" w:lineRule="exact"/>
        <w:rPr>
          <w:rFonts w:eastAsia="仿宋_GB2312"/>
          <w:kern w:val="0"/>
          <w:sz w:val="32"/>
          <w:szCs w:val="32"/>
        </w:rPr>
      </w:pPr>
      <w:r>
        <w:rPr>
          <w:rFonts w:hint="eastAsia" w:eastAsia="仿宋_GB2312"/>
          <w:kern w:val="0"/>
          <w:sz w:val="32"/>
          <w:szCs w:val="32"/>
        </w:rPr>
        <w:t>项目绩效指标满分为35分，包含项目效益一个二级指标，三个三级指标：社会效益、可持续影响和服务对象满意度，该项评价得分为33分。</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272" w:name="_Toc5934"/>
      <w:bookmarkStart w:id="273" w:name="_Toc26242"/>
      <w:r>
        <w:rPr>
          <w:rFonts w:hint="eastAsia" w:eastAsia="楷体"/>
          <w:kern w:val="0"/>
          <w:sz w:val="32"/>
          <w:szCs w:val="32"/>
        </w:rPr>
        <w:t>（三）</w:t>
      </w:r>
      <w:bookmarkEnd w:id="272"/>
      <w:r>
        <w:rPr>
          <w:rFonts w:hint="eastAsia" w:eastAsia="楷体"/>
          <w:kern w:val="0"/>
          <w:sz w:val="32"/>
          <w:szCs w:val="32"/>
        </w:rPr>
        <w:t>评价得分及结论</w:t>
      </w:r>
      <w:bookmarkEnd w:id="273"/>
    </w:p>
    <w:p>
      <w:pPr>
        <w:pStyle w:val="6"/>
        <w:spacing w:line="600" w:lineRule="exact"/>
        <w:ind w:firstLine="640"/>
        <w:rPr>
          <w:rFonts w:eastAsia="仿宋_GB2312"/>
          <w:b w:val="0"/>
          <w:kern w:val="0"/>
          <w:sz w:val="32"/>
          <w:szCs w:val="32"/>
        </w:rPr>
      </w:pPr>
      <w:bookmarkStart w:id="274" w:name="_Toc25650519"/>
      <w:bookmarkStart w:id="275" w:name="_Toc28005418"/>
      <w:bookmarkStart w:id="276" w:name="_Toc28180170"/>
      <w:bookmarkStart w:id="277" w:name="_Toc28279535"/>
      <w:bookmarkStart w:id="278" w:name="_Toc9185"/>
      <w:bookmarkStart w:id="279" w:name="_Toc27571605"/>
      <w:bookmarkStart w:id="280" w:name="_Toc11970"/>
      <w:bookmarkStart w:id="281" w:name="_Toc12770"/>
      <w:bookmarkStart w:id="282" w:name="_Toc13302"/>
      <w:r>
        <w:rPr>
          <w:rFonts w:hint="eastAsia" w:eastAsia="仿宋_GB2312"/>
          <w:b w:val="0"/>
          <w:kern w:val="0"/>
          <w:sz w:val="32"/>
          <w:szCs w:val="32"/>
        </w:rPr>
        <w:t>1.</w:t>
      </w:r>
      <w:bookmarkEnd w:id="274"/>
      <w:r>
        <w:rPr>
          <w:rFonts w:hint="eastAsia" w:eastAsia="仿宋_GB2312"/>
          <w:b w:val="0"/>
          <w:kern w:val="0"/>
          <w:sz w:val="32"/>
          <w:szCs w:val="32"/>
        </w:rPr>
        <w:t>评分</w:t>
      </w:r>
      <w:bookmarkEnd w:id="275"/>
      <w:bookmarkEnd w:id="276"/>
      <w:bookmarkEnd w:id="277"/>
      <w:bookmarkEnd w:id="278"/>
      <w:bookmarkEnd w:id="279"/>
      <w:bookmarkEnd w:id="280"/>
      <w:r>
        <w:rPr>
          <w:rFonts w:hint="eastAsia" w:eastAsia="仿宋_GB2312"/>
          <w:b w:val="0"/>
          <w:kern w:val="0"/>
          <w:sz w:val="32"/>
          <w:szCs w:val="32"/>
        </w:rPr>
        <w:t>得分</w:t>
      </w:r>
      <w:bookmarkEnd w:id="281"/>
      <w:bookmarkEnd w:id="282"/>
    </w:p>
    <w:p>
      <w:pPr>
        <w:pStyle w:val="17"/>
        <w:ind w:firstLine="640"/>
        <w:rPr>
          <w:rFonts w:eastAsia="仿宋_GB2312" w:cs="Times New Roman"/>
          <w:b w:val="0"/>
          <w:bCs w:val="0"/>
          <w:kern w:val="0"/>
          <w:sz w:val="32"/>
        </w:rPr>
      </w:pPr>
      <w:bookmarkStart w:id="283" w:name="_Toc31476"/>
      <w:r>
        <w:rPr>
          <w:rFonts w:eastAsia="仿宋_GB2312" w:cs="Times New Roman"/>
          <w:b w:val="0"/>
          <w:bCs w:val="0"/>
          <w:kern w:val="0"/>
          <w:sz w:val="32"/>
        </w:rPr>
        <w:t>2021年度用于体育事业的彩票公益金支出得分88</w:t>
      </w:r>
      <w:r>
        <w:rPr>
          <w:rFonts w:hint="eastAsia" w:eastAsia="仿宋_GB2312" w:cs="Times New Roman"/>
          <w:b w:val="0"/>
          <w:bCs w:val="0"/>
          <w:kern w:val="0"/>
          <w:sz w:val="32"/>
        </w:rPr>
        <w:t>分。评级等次根据项目总得分确定为优（100--90）、良（89--80）、中（79--60）、差（59--0）四个等级，本项目评价等级为“良”。</w:t>
      </w:r>
      <w:bookmarkEnd w:id="250"/>
      <w:bookmarkEnd w:id="251"/>
      <w:bookmarkEnd w:id="252"/>
      <w:bookmarkEnd w:id="253"/>
      <w:bookmarkEnd w:id="254"/>
      <w:bookmarkEnd w:id="255"/>
      <w:bookmarkEnd w:id="256"/>
      <w:bookmarkEnd w:id="257"/>
      <w:bookmarkEnd w:id="283"/>
      <w:r>
        <w:rPr>
          <w:rFonts w:hint="eastAsia" w:eastAsia="仿宋_GB2312" w:cs="Times New Roman"/>
          <w:b w:val="0"/>
          <w:bCs w:val="0"/>
          <w:kern w:val="0"/>
          <w:sz w:val="32"/>
        </w:rPr>
        <w:t>具体见下表2：</w:t>
      </w:r>
    </w:p>
    <w:p>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kern w:val="0"/>
          <w:sz w:val="32"/>
          <w:szCs w:val="32"/>
        </w:rPr>
        <w:t>表2.评价得分表</w:t>
      </w:r>
    </w:p>
    <w:tbl>
      <w:tblPr>
        <w:tblStyle w:val="2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3024"/>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评价指标</w:t>
            </w:r>
          </w:p>
        </w:tc>
        <w:tc>
          <w:tcPr>
            <w:tcW w:w="2841"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评价分值</w:t>
            </w:r>
          </w:p>
        </w:tc>
        <w:tc>
          <w:tcPr>
            <w:tcW w:w="2841" w:type="dxa"/>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项目得分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项目决策指标</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项目过程指标</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项目产出指标</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项目效益指标</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35</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0"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100</w:t>
            </w:r>
          </w:p>
        </w:tc>
        <w:tc>
          <w:tcPr>
            <w:tcW w:w="2841" w:type="dxa"/>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88</w:t>
            </w:r>
          </w:p>
        </w:tc>
      </w:tr>
      <w:bookmarkEnd w:id="258"/>
    </w:tbl>
    <w:p>
      <w:pPr>
        <w:pStyle w:val="6"/>
        <w:spacing w:line="600" w:lineRule="exact"/>
        <w:ind w:firstLine="640"/>
        <w:rPr>
          <w:rFonts w:eastAsia="仿宋_GB2312"/>
          <w:b w:val="0"/>
          <w:kern w:val="0"/>
          <w:sz w:val="32"/>
          <w:szCs w:val="32"/>
        </w:rPr>
      </w:pPr>
      <w:bookmarkStart w:id="284" w:name="_Toc28005420"/>
      <w:bookmarkStart w:id="285" w:name="_Toc22624"/>
      <w:bookmarkStart w:id="286" w:name="_Toc18714"/>
      <w:bookmarkStart w:id="287" w:name="_Toc10692"/>
      <w:bookmarkStart w:id="288" w:name="_Toc27571607"/>
      <w:bookmarkStart w:id="289" w:name="_Toc28180172"/>
      <w:bookmarkStart w:id="290" w:name="_Toc28279537"/>
      <w:bookmarkStart w:id="291" w:name="_Toc12506"/>
      <w:r>
        <w:rPr>
          <w:rFonts w:hint="eastAsia" w:eastAsia="仿宋_GB2312"/>
          <w:b w:val="0"/>
          <w:kern w:val="0"/>
          <w:sz w:val="32"/>
          <w:szCs w:val="32"/>
        </w:rPr>
        <w:t>2.评价结论</w:t>
      </w:r>
      <w:bookmarkEnd w:id="284"/>
      <w:bookmarkEnd w:id="285"/>
      <w:bookmarkEnd w:id="286"/>
      <w:bookmarkEnd w:id="287"/>
      <w:bookmarkEnd w:id="288"/>
      <w:bookmarkEnd w:id="289"/>
      <w:bookmarkEnd w:id="290"/>
      <w:bookmarkEnd w:id="291"/>
    </w:p>
    <w:p>
      <w:pPr>
        <w:spacing w:line="600" w:lineRule="exact"/>
        <w:rPr>
          <w:rFonts w:eastAsia="仿宋_GB2312"/>
          <w:kern w:val="0"/>
          <w:sz w:val="32"/>
          <w:szCs w:val="32"/>
        </w:rPr>
      </w:pPr>
      <w:r>
        <w:rPr>
          <w:rFonts w:eastAsia="仿宋_GB2312"/>
          <w:kern w:val="0"/>
          <w:sz w:val="32"/>
          <w:szCs w:val="32"/>
        </w:rPr>
        <w:t>2021年拨付项目单位体彩公益金263.68万元，主要用于公共体育场馆免费低收费开放及场馆设施建设与维护215.18万元、公共健身场所健身器材配置与维护30万元、县校品牌体育特色项目学校18.5万元。</w:t>
      </w:r>
    </w:p>
    <w:p>
      <w:pPr>
        <w:spacing w:line="600" w:lineRule="exact"/>
      </w:pPr>
      <w:r>
        <w:rPr>
          <w:rFonts w:eastAsia="仿宋_GB2312"/>
          <w:kern w:val="0"/>
          <w:sz w:val="32"/>
          <w:szCs w:val="32"/>
        </w:rPr>
        <w:t>该项目立项依据比较充分，绩效目标合理，业务管理比较规范，资金到位及时，支出合规合理，但项目绩效目标不够细化，指标值不够清晰、可衡量，未制定对第三方运营服务公司相关考核监管细则，老体育中心室外羽毛球、篮球场地面起皮破损情况比较严重，尚未组织维修。项目实现了预期目标，取得了较好的社会效益，群众参与全民健身积极性大幅提升，全民健身意识增强，极大地满足了群众体育健身需求。</w:t>
      </w:r>
    </w:p>
    <w:bookmarkEnd w:id="241"/>
    <w:bookmarkEnd w:id="242"/>
    <w:bookmarkEnd w:id="243"/>
    <w:bookmarkEnd w:id="244"/>
    <w:p>
      <w:pPr>
        <w:overflowPunct w:val="0"/>
        <w:autoSpaceDE w:val="0"/>
        <w:autoSpaceDN w:val="0"/>
        <w:adjustRightInd w:val="0"/>
        <w:spacing w:line="600" w:lineRule="exact"/>
        <w:textAlignment w:val="baseline"/>
        <w:outlineLvl w:val="0"/>
        <w:rPr>
          <w:rFonts w:eastAsia="黑体"/>
          <w:kern w:val="0"/>
          <w:sz w:val="32"/>
          <w:szCs w:val="32"/>
        </w:rPr>
      </w:pPr>
      <w:bookmarkStart w:id="292" w:name="_Toc5099"/>
      <w:bookmarkStart w:id="293" w:name="_Toc8632"/>
      <w:bookmarkStart w:id="294" w:name="_Toc24374217"/>
      <w:bookmarkStart w:id="295" w:name="_Toc24374858"/>
      <w:bookmarkStart w:id="296" w:name="_Toc25650512"/>
      <w:r>
        <w:rPr>
          <w:rFonts w:hint="eastAsia" w:eastAsia="黑体"/>
          <w:kern w:val="0"/>
          <w:sz w:val="32"/>
          <w:szCs w:val="32"/>
        </w:rPr>
        <w:t>五、绩效评价指标分析</w:t>
      </w:r>
      <w:bookmarkEnd w:id="292"/>
      <w:bookmarkEnd w:id="293"/>
    </w:p>
    <w:bookmarkEnd w:id="294"/>
    <w:bookmarkEnd w:id="295"/>
    <w:bookmarkEnd w:id="296"/>
    <w:p>
      <w:pPr>
        <w:pStyle w:val="5"/>
        <w:spacing w:line="600" w:lineRule="exact"/>
        <w:rPr>
          <w:rFonts w:ascii="Times New Roman" w:hAnsi="Times New Roman" w:eastAsia="楷体"/>
          <w:b w:val="0"/>
          <w:kern w:val="0"/>
          <w:sz w:val="32"/>
          <w:szCs w:val="32"/>
        </w:rPr>
      </w:pPr>
      <w:bookmarkStart w:id="297" w:name="_Toc2402"/>
      <w:bookmarkStart w:id="298" w:name="_Toc18219"/>
      <w:bookmarkStart w:id="299" w:name="_Toc28005414"/>
      <w:bookmarkStart w:id="300" w:name="_Toc28279531"/>
      <w:bookmarkStart w:id="301" w:name="_Toc28180166"/>
      <w:bookmarkStart w:id="302" w:name="_Toc3925"/>
      <w:bookmarkStart w:id="303" w:name="_Toc27571601"/>
      <w:bookmarkStart w:id="304" w:name="_Hlk27574350"/>
      <w:r>
        <w:rPr>
          <w:rFonts w:hint="eastAsia" w:ascii="Times New Roman" w:hAnsi="Times New Roman" w:eastAsia="楷体"/>
          <w:b w:val="0"/>
          <w:kern w:val="0"/>
          <w:sz w:val="32"/>
          <w:szCs w:val="32"/>
        </w:rPr>
        <w:t>（一）项目决策情况</w:t>
      </w:r>
      <w:bookmarkEnd w:id="297"/>
      <w:bookmarkEnd w:id="298"/>
      <w:bookmarkEnd w:id="299"/>
      <w:bookmarkEnd w:id="300"/>
      <w:bookmarkEnd w:id="301"/>
      <w:bookmarkEnd w:id="302"/>
      <w:bookmarkEnd w:id="303"/>
    </w:p>
    <w:p>
      <w:pPr>
        <w:spacing w:line="600" w:lineRule="exact"/>
        <w:rPr>
          <w:rFonts w:eastAsia="仿宋_GB2312"/>
          <w:kern w:val="0"/>
          <w:sz w:val="32"/>
          <w:szCs w:val="32"/>
        </w:rPr>
      </w:pPr>
      <w:r>
        <w:rPr>
          <w:rFonts w:eastAsia="仿宋_GB2312"/>
          <w:kern w:val="0"/>
          <w:sz w:val="32"/>
          <w:szCs w:val="32"/>
        </w:rPr>
        <w:t>项目决策情况满分为20分，分为三个二级指标：项目立项、绩效目标、资金投入，该项评价得分为17分，各项得分情况如表</w:t>
      </w:r>
      <w:r>
        <w:rPr>
          <w:rFonts w:hint="eastAsia" w:eastAsia="仿宋_GB2312"/>
          <w:kern w:val="0"/>
          <w:sz w:val="32"/>
          <w:szCs w:val="32"/>
        </w:rPr>
        <w:t>3</w:t>
      </w:r>
      <w:r>
        <w:rPr>
          <w:rFonts w:eastAsia="仿宋_GB2312"/>
          <w:kern w:val="0"/>
          <w:sz w:val="32"/>
          <w:szCs w:val="32"/>
        </w:rPr>
        <w:t>：</w:t>
      </w:r>
      <w:bookmarkEnd w:id="304"/>
      <w:bookmarkStart w:id="305" w:name="_Hlk27574369"/>
    </w:p>
    <w:p>
      <w:pPr>
        <w:ind w:firstLine="0" w:firstLineChars="0"/>
        <w:jc w:val="center"/>
        <w:rPr>
          <w:rFonts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表3.项目决策得分情况统计</w:t>
      </w:r>
    </w:p>
    <w:tbl>
      <w:tblPr>
        <w:tblStyle w:val="21"/>
        <w:tblW w:w="9071" w:type="dxa"/>
        <w:jc w:val="center"/>
        <w:tblLayout w:type="autofit"/>
        <w:tblCellMar>
          <w:top w:w="0" w:type="dxa"/>
          <w:left w:w="0" w:type="dxa"/>
          <w:bottom w:w="0" w:type="dxa"/>
          <w:right w:w="0" w:type="dxa"/>
        </w:tblCellMar>
      </w:tblPr>
      <w:tblGrid>
        <w:gridCol w:w="2120"/>
        <w:gridCol w:w="4207"/>
        <w:gridCol w:w="1216"/>
        <w:gridCol w:w="1528"/>
      </w:tblGrid>
      <w:tr>
        <w:tblPrEx>
          <w:tblCellMar>
            <w:top w:w="0" w:type="dxa"/>
            <w:left w:w="0" w:type="dxa"/>
            <w:bottom w:w="0" w:type="dxa"/>
            <w:right w:w="0" w:type="dxa"/>
          </w:tblCellMar>
        </w:tblPrEx>
        <w:trPr>
          <w:trHeight w:val="454" w:hRule="atLeast"/>
          <w:jc w:val="center"/>
        </w:trPr>
        <w:tc>
          <w:tcPr>
            <w:tcW w:w="1168" w:type="pc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二级指标</w:t>
            </w:r>
          </w:p>
        </w:tc>
        <w:tc>
          <w:tcPr>
            <w:tcW w:w="2318" w:type="pc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三级指标</w:t>
            </w:r>
          </w:p>
        </w:tc>
        <w:tc>
          <w:tcPr>
            <w:tcW w:w="670" w:type="pc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分值</w:t>
            </w:r>
          </w:p>
        </w:tc>
        <w:tc>
          <w:tcPr>
            <w:tcW w:w="84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评价得分</w:t>
            </w:r>
          </w:p>
        </w:tc>
      </w:tr>
      <w:tr>
        <w:tblPrEx>
          <w:tblCellMar>
            <w:top w:w="0" w:type="dxa"/>
            <w:left w:w="0" w:type="dxa"/>
            <w:bottom w:w="0" w:type="dxa"/>
            <w:right w:w="0" w:type="dxa"/>
          </w:tblCellMar>
        </w:tblPrEx>
        <w:trPr>
          <w:trHeight w:val="454" w:hRule="atLeast"/>
          <w:jc w:val="center"/>
        </w:trPr>
        <w:tc>
          <w:tcPr>
            <w:tcW w:w="116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项目立项</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立项依据充分性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116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立项程序规范性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116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绩效目标</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绩效目标合理性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116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绩效指标明确性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CellMar>
            <w:top w:w="0" w:type="dxa"/>
            <w:left w:w="0" w:type="dxa"/>
            <w:bottom w:w="0" w:type="dxa"/>
            <w:right w:w="0" w:type="dxa"/>
          </w:tblCellMar>
        </w:tblPrEx>
        <w:trPr>
          <w:trHeight w:val="454" w:hRule="atLeast"/>
          <w:jc w:val="center"/>
        </w:trPr>
        <w:tc>
          <w:tcPr>
            <w:tcW w:w="116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资金投入</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（8分）</w:t>
            </w: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预算编制科学性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CellMar>
            <w:top w:w="0" w:type="dxa"/>
            <w:left w:w="0" w:type="dxa"/>
            <w:bottom w:w="0" w:type="dxa"/>
            <w:right w:w="0" w:type="dxa"/>
          </w:tblCellMar>
        </w:tblPrEx>
        <w:trPr>
          <w:trHeight w:val="454" w:hRule="atLeast"/>
          <w:jc w:val="center"/>
        </w:trPr>
        <w:tc>
          <w:tcPr>
            <w:tcW w:w="116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31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资金分配合理性</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CellMar>
            <w:top w:w="0" w:type="dxa"/>
            <w:left w:w="0" w:type="dxa"/>
            <w:bottom w:w="0" w:type="dxa"/>
            <w:right w:w="0" w:type="dxa"/>
          </w:tblCellMar>
        </w:tblPrEx>
        <w:trPr>
          <w:trHeight w:val="454" w:hRule="atLeast"/>
          <w:jc w:val="center"/>
        </w:trPr>
        <w:tc>
          <w:tcPr>
            <w:tcW w:w="3486"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6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c>
          <w:tcPr>
            <w:tcW w:w="842" w:type="pct"/>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17</w:t>
            </w:r>
          </w:p>
        </w:tc>
      </w:tr>
      <w:bookmarkEnd w:id="305"/>
    </w:tbl>
    <w:p>
      <w:pPr>
        <w:spacing w:line="600" w:lineRule="exact"/>
        <w:rPr>
          <w:rFonts w:eastAsia="仿宋_GB2312"/>
          <w:kern w:val="0"/>
          <w:sz w:val="32"/>
          <w:szCs w:val="32"/>
        </w:rPr>
      </w:pPr>
      <w:bookmarkStart w:id="306" w:name="_Toc21887"/>
      <w:bookmarkStart w:id="307" w:name="_Toc28180167"/>
      <w:bookmarkStart w:id="308" w:name="_Toc28005415"/>
      <w:bookmarkStart w:id="309" w:name="_Toc28279532"/>
      <w:bookmarkStart w:id="310" w:name="_Toc25650514"/>
      <w:bookmarkStart w:id="311" w:name="_Toc27571602"/>
      <w:r>
        <w:rPr>
          <w:rFonts w:hint="eastAsia" w:eastAsia="仿宋_GB2312"/>
          <w:kern w:val="0"/>
          <w:sz w:val="32"/>
          <w:szCs w:val="32"/>
        </w:rPr>
        <w:t>1.</w:t>
      </w:r>
      <w:r>
        <w:rPr>
          <w:rFonts w:eastAsia="仿宋_GB2312"/>
          <w:kern w:val="0"/>
          <w:sz w:val="32"/>
          <w:szCs w:val="32"/>
        </w:rPr>
        <w:t>项目立项情况</w:t>
      </w:r>
    </w:p>
    <w:p>
      <w:pPr>
        <w:spacing w:line="600" w:lineRule="exact"/>
        <w:rPr>
          <w:rFonts w:eastAsia="仿宋_GB2312"/>
          <w:kern w:val="0"/>
          <w:sz w:val="32"/>
          <w:szCs w:val="32"/>
        </w:rPr>
      </w:pPr>
      <w:r>
        <w:rPr>
          <w:rFonts w:eastAsia="仿宋_GB2312"/>
          <w:kern w:val="0"/>
          <w:sz w:val="32"/>
          <w:szCs w:val="32"/>
        </w:rPr>
        <w:t>①立项依据充分性分值3分，实得3分，该项目立项依据为《山东省省级体育彩票公益金支持体育事业发展专项资金管理办法》（鲁财文资〔2017〕59号）、《国家体育总局财政部关于推进大型体育场馆免费低收费开放的通知》（体经字〔2014〕34号）和省财政厅、省体育局《关于印发山东省体育场馆免费低收费开放省级补助资金管理暂行办法的通知》（鲁财文资〔2017〕60号）、《济宁市全民健身实施计划（2021-2025）》、《国务院办公厅转发教育部等部门关于进一步加强学校体育工作若干建议的通知》和《济宁市人民政府办公室关于进一步加强全市青少年体育工作的意见》。体育彩票公益金是按照规定比例从体育彩票发行销售收入中提取的，专项用于发展体育事业的资金。项目属于公共财政支持范围，符合中央、地方事权支出责任划分原则。项目与相关部门同类项目或部门内部相关项目不重复。</w:t>
      </w:r>
    </w:p>
    <w:p>
      <w:pPr>
        <w:spacing w:line="600" w:lineRule="exact"/>
        <w:rPr>
          <w:rFonts w:eastAsia="仿宋_GB2312"/>
          <w:kern w:val="0"/>
          <w:sz w:val="32"/>
          <w:szCs w:val="32"/>
        </w:rPr>
      </w:pPr>
      <w:r>
        <w:rPr>
          <w:rFonts w:eastAsia="仿宋_GB2312"/>
          <w:kern w:val="0"/>
          <w:sz w:val="32"/>
          <w:szCs w:val="32"/>
        </w:rPr>
        <w:t>②立项程序规范性分值3分，实得3分，该项目属于经常性项目，体育彩票公益金是按照规定比例从体育彩票发行销售收入中提取的，专项用于发展体育事业的资金。项目按照规定的程序申请设立；所提交的文件、材料符合相关要求；事前已经过必要的可行性研究、专家论证、风险评估、绩效评估、集体决策等。</w:t>
      </w:r>
    </w:p>
    <w:p>
      <w:pPr>
        <w:spacing w:line="600" w:lineRule="exact"/>
        <w:rPr>
          <w:rFonts w:eastAsia="仿宋_GB2312"/>
          <w:kern w:val="0"/>
          <w:sz w:val="32"/>
          <w:szCs w:val="32"/>
        </w:rPr>
      </w:pPr>
      <w:r>
        <w:rPr>
          <w:rFonts w:hint="eastAsia" w:eastAsia="仿宋_GB2312"/>
          <w:kern w:val="0"/>
          <w:sz w:val="32"/>
          <w:szCs w:val="32"/>
        </w:rPr>
        <w:t>2.</w:t>
      </w:r>
      <w:r>
        <w:rPr>
          <w:rFonts w:eastAsia="仿宋_GB2312"/>
          <w:kern w:val="0"/>
          <w:sz w:val="32"/>
          <w:szCs w:val="32"/>
        </w:rPr>
        <w:t>绩效目标情况</w:t>
      </w:r>
    </w:p>
    <w:p>
      <w:pPr>
        <w:spacing w:line="600" w:lineRule="exact"/>
        <w:rPr>
          <w:rFonts w:eastAsia="仿宋_GB2312"/>
          <w:kern w:val="0"/>
          <w:sz w:val="32"/>
          <w:szCs w:val="32"/>
        </w:rPr>
      </w:pPr>
      <w:r>
        <w:rPr>
          <w:rFonts w:eastAsia="仿宋_GB2312"/>
          <w:kern w:val="0"/>
          <w:sz w:val="32"/>
          <w:szCs w:val="32"/>
        </w:rPr>
        <w:t>①绩效目标合理性分值3分，实得3分，根据项目单位提供的济宁市用于体育事业的彩票公益金支出绩效目标申报表（2021年），项目有绩效目标；项目绩效目标与实际工作内容具有相关性；项目预期产出效益和效果符合正常的业绩水平；绩效目标与预算确定的项目投资额或资金量相匹配。</w:t>
      </w:r>
    </w:p>
    <w:p>
      <w:pPr>
        <w:spacing w:line="600" w:lineRule="exact"/>
        <w:rPr>
          <w:rFonts w:eastAsia="仿宋_GB2312"/>
          <w:kern w:val="0"/>
          <w:sz w:val="32"/>
          <w:szCs w:val="32"/>
        </w:rPr>
      </w:pPr>
      <w:r>
        <w:rPr>
          <w:rFonts w:eastAsia="仿宋_GB2312"/>
          <w:kern w:val="0"/>
          <w:sz w:val="32"/>
          <w:szCs w:val="32"/>
        </w:rPr>
        <w:t>②绩效指标明确性分值3分，实得2分，根据项目单位提供的济宁市用于体育事业的彩票公益金支出绩效目标申报表（2021年），项目绩效目标细化，产出指标的指标值清晰、可衡量，指标值与项目年度任务数或计划数相对应。但是效益指标用“体育事业发展”、“全民健身意识”等，不易衡量，酌情扣1分。</w:t>
      </w:r>
    </w:p>
    <w:p>
      <w:pPr>
        <w:spacing w:line="600" w:lineRule="exact"/>
        <w:rPr>
          <w:rFonts w:eastAsia="仿宋_GB2312"/>
          <w:kern w:val="0"/>
          <w:sz w:val="32"/>
          <w:szCs w:val="32"/>
        </w:rPr>
      </w:pPr>
      <w:r>
        <w:rPr>
          <w:rFonts w:hint="eastAsia" w:eastAsia="仿宋_GB2312"/>
          <w:kern w:val="0"/>
          <w:sz w:val="32"/>
          <w:szCs w:val="32"/>
        </w:rPr>
        <w:t>3.</w:t>
      </w:r>
      <w:r>
        <w:rPr>
          <w:rFonts w:eastAsia="仿宋_GB2312"/>
          <w:kern w:val="0"/>
          <w:sz w:val="32"/>
          <w:szCs w:val="32"/>
        </w:rPr>
        <w:t>资金投入情况</w:t>
      </w:r>
    </w:p>
    <w:p>
      <w:pPr>
        <w:spacing w:line="600" w:lineRule="exact"/>
        <w:rPr>
          <w:rFonts w:eastAsia="仿宋_GB2312"/>
          <w:kern w:val="0"/>
          <w:sz w:val="32"/>
          <w:szCs w:val="32"/>
        </w:rPr>
      </w:pPr>
      <w:r>
        <w:rPr>
          <w:rFonts w:eastAsia="仿宋_GB2312"/>
          <w:kern w:val="0"/>
          <w:sz w:val="32"/>
          <w:szCs w:val="32"/>
        </w:rPr>
        <w:t>①预算编制科学性分值4分，实得2分，2021年济宁市兖州区体育事业发展中心用于体育事业的彩票公益金支出来源包括2019省级补助资金列“2296003用于体育事业的彩票公益金支出”50万元，2020省级补助资金列“2296003用于体育事业的彩票公益金支出”50万元，济宁市财政局下达2018-2020年市级体彩公益金资助“县校品牌”特色项目支出预算指标合计18.5万元，2021年度兖州区安排本级政府性基金预算145.18万元。但是据了解，济宁市兖州区体育事业发展中心未编制体彩公益金项目预算，扣2分。</w:t>
      </w:r>
    </w:p>
    <w:p>
      <w:pPr>
        <w:spacing w:line="600" w:lineRule="exact"/>
        <w:rPr>
          <w:rFonts w:eastAsia="仿宋_GB2312"/>
          <w:kern w:val="0"/>
          <w:sz w:val="32"/>
          <w:szCs w:val="32"/>
        </w:rPr>
      </w:pPr>
      <w:r>
        <w:rPr>
          <w:rFonts w:eastAsia="仿宋_GB2312"/>
          <w:kern w:val="0"/>
          <w:sz w:val="32"/>
          <w:szCs w:val="32"/>
        </w:rPr>
        <w:t>②资金分配合理性分值4分，实得4分，项目资金分配有测算依据，济宁市财政局下达2018-2020年市级体彩公益金资助“县校品牌”特色项目支出预算指标合计18.5万元，按照文件规定数额拨付至大安中心中学、新驿镇郭村联办小学。体育中心维护、老体育中心运营维护费用与一般公共预算中的专项业务预算资金等调剂使用，健身器材更换维修使用全区体育健身器材维修更新资金，预算安排内容与专项资金的设立目的及年度工作重点匹配。</w:t>
      </w:r>
    </w:p>
    <w:bookmarkEnd w:id="306"/>
    <w:bookmarkEnd w:id="307"/>
    <w:bookmarkEnd w:id="308"/>
    <w:bookmarkEnd w:id="309"/>
    <w:bookmarkEnd w:id="310"/>
    <w:bookmarkEnd w:id="311"/>
    <w:p>
      <w:pPr>
        <w:pStyle w:val="5"/>
        <w:spacing w:line="600" w:lineRule="exact"/>
        <w:rPr>
          <w:rFonts w:ascii="Times New Roman" w:hAnsi="Times New Roman" w:eastAsia="楷体"/>
          <w:b w:val="0"/>
          <w:kern w:val="0"/>
          <w:sz w:val="32"/>
          <w:szCs w:val="32"/>
        </w:rPr>
      </w:pPr>
      <w:bookmarkStart w:id="312" w:name="_Toc675"/>
      <w:bookmarkStart w:id="313" w:name="_Toc3529"/>
      <w:bookmarkStart w:id="314" w:name="_Toc5679"/>
      <w:r>
        <w:rPr>
          <w:rFonts w:hint="eastAsia" w:ascii="Times New Roman" w:hAnsi="Times New Roman" w:eastAsia="楷体"/>
          <w:b w:val="0"/>
          <w:kern w:val="0"/>
          <w:sz w:val="32"/>
          <w:szCs w:val="32"/>
        </w:rPr>
        <w:t>（二）项目过程情况</w:t>
      </w:r>
      <w:bookmarkEnd w:id="312"/>
      <w:bookmarkEnd w:id="313"/>
    </w:p>
    <w:p>
      <w:pPr>
        <w:spacing w:line="600" w:lineRule="exact"/>
        <w:rPr>
          <w:rFonts w:eastAsia="仿宋_GB2312"/>
          <w:kern w:val="0"/>
          <w:sz w:val="32"/>
          <w:szCs w:val="32"/>
        </w:rPr>
      </w:pPr>
      <w:r>
        <w:rPr>
          <w:rFonts w:eastAsia="仿宋_GB2312"/>
          <w:kern w:val="0"/>
          <w:sz w:val="32"/>
          <w:szCs w:val="32"/>
        </w:rPr>
        <w:t>项目过程情况满分为20分，分为</w:t>
      </w:r>
      <w:r>
        <w:rPr>
          <w:rFonts w:hint="eastAsia" w:eastAsia="仿宋_GB2312"/>
          <w:kern w:val="0"/>
          <w:sz w:val="32"/>
          <w:szCs w:val="32"/>
        </w:rPr>
        <w:t>2</w:t>
      </w:r>
      <w:r>
        <w:rPr>
          <w:rFonts w:eastAsia="仿宋_GB2312"/>
          <w:kern w:val="0"/>
          <w:sz w:val="32"/>
          <w:szCs w:val="32"/>
        </w:rPr>
        <w:t>个二级指标</w:t>
      </w:r>
      <w:r>
        <w:rPr>
          <w:rFonts w:hint="eastAsia" w:eastAsia="仿宋_GB2312"/>
          <w:kern w:val="0"/>
          <w:sz w:val="32"/>
          <w:szCs w:val="32"/>
        </w:rPr>
        <w:t>，分别为：</w:t>
      </w:r>
      <w:r>
        <w:rPr>
          <w:rFonts w:eastAsia="仿宋_GB2312"/>
          <w:kern w:val="0"/>
          <w:sz w:val="32"/>
          <w:szCs w:val="32"/>
        </w:rPr>
        <w:t>资金管理、组织实施，该项评价得分为18分，各项得分情况如表</w:t>
      </w:r>
      <w:r>
        <w:rPr>
          <w:rFonts w:hint="eastAsia" w:eastAsia="仿宋_GB2312"/>
          <w:kern w:val="0"/>
          <w:sz w:val="32"/>
          <w:szCs w:val="32"/>
        </w:rPr>
        <w:t>4</w:t>
      </w:r>
      <w:r>
        <w:rPr>
          <w:rFonts w:eastAsia="仿宋_GB2312"/>
          <w:kern w:val="0"/>
          <w:sz w:val="32"/>
          <w:szCs w:val="32"/>
        </w:rPr>
        <w:t>：</w:t>
      </w:r>
    </w:p>
    <w:p>
      <w:pPr>
        <w:spacing w:line="600" w:lineRule="exact"/>
        <w:jc w:val="center"/>
        <w:rPr>
          <w:rFonts w:eastAsia="仿宋_GB2312"/>
          <w:kern w:val="0"/>
          <w:sz w:val="32"/>
          <w:szCs w:val="32"/>
        </w:rPr>
      </w:pPr>
    </w:p>
    <w:p>
      <w:pPr>
        <w:spacing w:line="600" w:lineRule="exact"/>
        <w:jc w:val="center"/>
        <w:rPr>
          <w:rFonts w:eastAsia="仿宋_GB2312"/>
          <w:kern w:val="0"/>
          <w:sz w:val="32"/>
          <w:szCs w:val="32"/>
        </w:rPr>
      </w:pPr>
    </w:p>
    <w:p>
      <w:pPr>
        <w:spacing w:line="600" w:lineRule="exact"/>
        <w:jc w:val="center"/>
        <w:rPr>
          <w:rFonts w:eastAsia="仿宋_GB2312"/>
          <w:kern w:val="0"/>
          <w:sz w:val="32"/>
          <w:szCs w:val="32"/>
        </w:rPr>
      </w:pPr>
    </w:p>
    <w:p>
      <w:pPr>
        <w:spacing w:line="600" w:lineRule="exact"/>
        <w:jc w:val="center"/>
        <w:rPr>
          <w:rFonts w:eastAsia="仿宋_GB2312"/>
          <w:kern w:val="0"/>
          <w:sz w:val="32"/>
          <w:szCs w:val="32"/>
        </w:rPr>
      </w:pPr>
    </w:p>
    <w:p>
      <w:pPr>
        <w:spacing w:line="600" w:lineRule="exact"/>
        <w:jc w:val="center"/>
        <w:rPr>
          <w:rFonts w:ascii="方正小标宋_GBK" w:hAnsi="方正小标宋_GBK" w:eastAsia="方正小标宋_GBK" w:cs="方正小标宋_GBK"/>
          <w:color w:val="000000"/>
          <w:sz w:val="32"/>
          <w:szCs w:val="32"/>
        </w:rPr>
      </w:pPr>
      <w:bookmarkStart w:id="437" w:name="_GoBack"/>
      <w:bookmarkEnd w:id="437"/>
      <w:r>
        <w:rPr>
          <w:rFonts w:hint="eastAsia" w:ascii="方正小标宋_GBK" w:hAnsi="方正小标宋_GBK" w:eastAsia="方正小标宋_GBK" w:cs="方正小标宋_GBK"/>
          <w:color w:val="000000"/>
          <w:sz w:val="32"/>
          <w:szCs w:val="32"/>
        </w:rPr>
        <w:t>表4.项目过程得分情况统计</w:t>
      </w:r>
    </w:p>
    <w:tbl>
      <w:tblPr>
        <w:tblStyle w:val="21"/>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67"/>
        <w:gridCol w:w="3323"/>
        <w:gridCol w:w="1767"/>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restar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二级指标</w:t>
            </w:r>
          </w:p>
        </w:tc>
        <w:tc>
          <w:tcPr>
            <w:tcW w:w="1830" w:type="pc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三级指标</w:t>
            </w:r>
          </w:p>
        </w:tc>
        <w:tc>
          <w:tcPr>
            <w:tcW w:w="974" w:type="pc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分值</w:t>
            </w:r>
          </w:p>
        </w:tc>
        <w:tc>
          <w:tcPr>
            <w:tcW w:w="1220" w:type="pct"/>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资金管理</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（8分）</w:t>
            </w:r>
          </w:p>
        </w:tc>
        <w:tc>
          <w:tcPr>
            <w:tcW w:w="183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资金到位率</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83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预算执行率</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83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资金使用合规性</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组织实施</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（12分）</w:t>
            </w:r>
          </w:p>
        </w:tc>
        <w:tc>
          <w:tcPr>
            <w:tcW w:w="183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管理制度健全性</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7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83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制度执行有效性</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805" w:type="pct"/>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97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c>
          <w:tcPr>
            <w:tcW w:w="1220"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18</w:t>
            </w:r>
          </w:p>
        </w:tc>
      </w:tr>
    </w:tbl>
    <w:p>
      <w:pPr>
        <w:spacing w:line="600" w:lineRule="exact"/>
        <w:rPr>
          <w:rFonts w:eastAsia="仿宋_GB2312"/>
          <w:kern w:val="0"/>
          <w:sz w:val="32"/>
          <w:szCs w:val="32"/>
        </w:rPr>
      </w:pPr>
      <w:r>
        <w:rPr>
          <w:rFonts w:hint="eastAsia" w:eastAsia="仿宋_GB2312"/>
          <w:kern w:val="0"/>
          <w:sz w:val="32"/>
          <w:szCs w:val="32"/>
        </w:rPr>
        <w:t>1.资金管理情况</w:t>
      </w:r>
    </w:p>
    <w:p>
      <w:pPr>
        <w:spacing w:line="600" w:lineRule="exact"/>
        <w:rPr>
          <w:rFonts w:eastAsia="仿宋_GB2312"/>
          <w:kern w:val="0"/>
          <w:sz w:val="32"/>
          <w:szCs w:val="32"/>
        </w:rPr>
      </w:pPr>
      <w:r>
        <w:rPr>
          <w:rFonts w:eastAsia="仿宋_GB2312"/>
          <w:kern w:val="0"/>
          <w:sz w:val="32"/>
          <w:szCs w:val="32"/>
        </w:rPr>
        <w:t>①资金到位率分值2分，实得2分，2021年度用于体育事业的彩票公益金支出资金已全部到位。</w:t>
      </w:r>
    </w:p>
    <w:p>
      <w:pPr>
        <w:spacing w:line="600" w:lineRule="exact"/>
        <w:rPr>
          <w:rFonts w:eastAsia="仿宋_GB2312"/>
          <w:kern w:val="0"/>
          <w:sz w:val="32"/>
          <w:szCs w:val="32"/>
        </w:rPr>
      </w:pPr>
      <w:r>
        <w:rPr>
          <w:rFonts w:eastAsia="仿宋_GB2312"/>
          <w:kern w:val="0"/>
          <w:sz w:val="32"/>
          <w:szCs w:val="32"/>
        </w:rPr>
        <w:t>2021年拨付体彩公益金263.68万元，主要用于公共体育场馆免费低收费开放及场馆设施建设与维护215.18万元、公共健身场所健身器材配置与维护30万元、县校品牌体育特色项目学校18.5万元，资金到位率100%。</w:t>
      </w:r>
    </w:p>
    <w:p>
      <w:pPr>
        <w:spacing w:line="600" w:lineRule="exact"/>
        <w:rPr>
          <w:rFonts w:eastAsia="仿宋_GB2312"/>
          <w:kern w:val="0"/>
          <w:sz w:val="32"/>
          <w:szCs w:val="32"/>
        </w:rPr>
      </w:pPr>
      <w:r>
        <w:rPr>
          <w:rFonts w:eastAsia="仿宋_GB2312"/>
          <w:kern w:val="0"/>
          <w:sz w:val="32"/>
          <w:szCs w:val="32"/>
        </w:rPr>
        <w:t>②预算执行率分值2分，实得2分，2021年度用于体育事业的彩票公益金支出预算执行率为100%。</w:t>
      </w:r>
    </w:p>
    <w:p>
      <w:pPr>
        <w:spacing w:line="600" w:lineRule="exact"/>
        <w:rPr>
          <w:rFonts w:eastAsia="仿宋_GB2312"/>
          <w:kern w:val="0"/>
          <w:sz w:val="32"/>
          <w:szCs w:val="32"/>
        </w:rPr>
      </w:pPr>
      <w:r>
        <w:rPr>
          <w:rFonts w:eastAsia="仿宋_GB2312"/>
          <w:kern w:val="0"/>
          <w:sz w:val="32"/>
          <w:szCs w:val="32"/>
        </w:rPr>
        <w:t>③资金使用合规性分值4分，实得4分，基本符合国家财经法规和财务管理制度以及有关专项资金管理办法的规定，包括《财政部关于印发〈彩票公益金管理办法〉的通知》（财综〔2012〕15号）、《山东省省级体育彩票公益金支持体育事业发展专项资金管理办法》（鲁财文资〔2017〕59号）等有关法律法规和制度规定等，专项资金使用需更加规范化，严格按照国家和省财政、体育部门的规定范围内使用专项资金，坚决杜绝超范围使用；资金的拨付有完整的审批程序和手续；基本符合项目预算批复规定的用途；不存在截留、挤占、挪用、虚列支出等情况。</w:t>
      </w:r>
    </w:p>
    <w:p>
      <w:pPr>
        <w:spacing w:line="600" w:lineRule="exact"/>
        <w:rPr>
          <w:rFonts w:eastAsia="仿宋_GB2312"/>
          <w:kern w:val="0"/>
          <w:sz w:val="32"/>
          <w:szCs w:val="32"/>
        </w:rPr>
      </w:pPr>
      <w:r>
        <w:rPr>
          <w:rFonts w:hint="eastAsia" w:eastAsia="仿宋_GB2312"/>
          <w:kern w:val="0"/>
          <w:sz w:val="32"/>
          <w:szCs w:val="32"/>
        </w:rPr>
        <w:t>2.</w:t>
      </w:r>
      <w:r>
        <w:rPr>
          <w:rFonts w:eastAsia="仿宋_GB2312"/>
          <w:kern w:val="0"/>
          <w:sz w:val="32"/>
          <w:szCs w:val="32"/>
        </w:rPr>
        <w:t>组织实施情况</w:t>
      </w:r>
    </w:p>
    <w:p>
      <w:pPr>
        <w:spacing w:line="600" w:lineRule="exact"/>
        <w:rPr>
          <w:rFonts w:eastAsia="仿宋_GB2312"/>
          <w:kern w:val="0"/>
          <w:sz w:val="32"/>
          <w:szCs w:val="32"/>
        </w:rPr>
      </w:pPr>
      <w:r>
        <w:rPr>
          <w:rFonts w:eastAsia="仿宋_GB2312"/>
          <w:kern w:val="0"/>
          <w:sz w:val="32"/>
          <w:szCs w:val="32"/>
        </w:rPr>
        <w:t>①管理制度健全性分值6分，实得4分，兖州区体育事业发展中心制定有《兖州区体育事业发展中心财务管理制度》、《济宁市兖州区体育事业发展中心专项资金管理办法》、《兖州新体育中心运营监督管理办公室工作职责》等。项目实施单位制定或具有相应的财务管理制度、业务管理制度且合法、合规，但未制定对第三方运营服务公司相关考核监管细则，酌情扣2分。</w:t>
      </w:r>
    </w:p>
    <w:p>
      <w:pPr>
        <w:spacing w:line="600" w:lineRule="exact"/>
        <w:rPr>
          <w:rFonts w:eastAsia="仿宋_GB2312"/>
          <w:kern w:val="0"/>
          <w:sz w:val="32"/>
          <w:szCs w:val="32"/>
        </w:rPr>
      </w:pPr>
      <w:r>
        <w:rPr>
          <w:rFonts w:eastAsia="仿宋_GB2312"/>
          <w:kern w:val="0"/>
          <w:sz w:val="32"/>
          <w:szCs w:val="32"/>
        </w:rPr>
        <w:t>②制度执行有效性分值6分，实得6分，遵守相关法律法规和相关管理规定；项目合同书、验收报告、技术鉴定等资料齐全并及时归档；项目实施的人员条件、场地设备、信息支撑等落实到位。</w:t>
      </w:r>
    </w:p>
    <w:bookmarkEnd w:id="314"/>
    <w:p>
      <w:pPr>
        <w:pStyle w:val="5"/>
        <w:spacing w:line="600" w:lineRule="exact"/>
        <w:rPr>
          <w:rFonts w:ascii="Times New Roman" w:hAnsi="Times New Roman" w:eastAsia="楷体"/>
          <w:b w:val="0"/>
          <w:kern w:val="0"/>
          <w:sz w:val="32"/>
          <w:szCs w:val="32"/>
        </w:rPr>
      </w:pPr>
      <w:bookmarkStart w:id="315" w:name="_Toc24207"/>
      <w:bookmarkStart w:id="316" w:name="_Toc13120"/>
      <w:bookmarkStart w:id="317" w:name="_Toc28005416"/>
      <w:bookmarkStart w:id="318" w:name="_Toc28279533"/>
      <w:bookmarkStart w:id="319" w:name="_Toc25650515"/>
      <w:bookmarkStart w:id="320" w:name="_Toc27571603"/>
      <w:bookmarkStart w:id="321" w:name="_Toc28180168"/>
      <w:bookmarkStart w:id="322" w:name="_Toc31818"/>
      <w:r>
        <w:rPr>
          <w:rFonts w:hint="eastAsia" w:ascii="Times New Roman" w:hAnsi="Times New Roman" w:eastAsia="楷体"/>
          <w:b w:val="0"/>
          <w:kern w:val="0"/>
          <w:sz w:val="32"/>
          <w:szCs w:val="32"/>
        </w:rPr>
        <w:t>（三）项目产出情况</w:t>
      </w:r>
      <w:bookmarkEnd w:id="315"/>
      <w:bookmarkEnd w:id="316"/>
    </w:p>
    <w:p>
      <w:pPr>
        <w:spacing w:line="600" w:lineRule="exact"/>
        <w:rPr>
          <w:rFonts w:eastAsia="仿宋_GB2312"/>
          <w:kern w:val="0"/>
          <w:sz w:val="32"/>
          <w:szCs w:val="32"/>
        </w:rPr>
      </w:pPr>
      <w:r>
        <w:rPr>
          <w:rFonts w:eastAsia="仿宋_GB2312"/>
          <w:kern w:val="0"/>
          <w:sz w:val="32"/>
          <w:szCs w:val="32"/>
        </w:rPr>
        <w:t>项目产出指标满分为25分，分为四个二级指标：产出数量、产出质量、产出时效、产出成本，该项评价得分为20分，各项得分情况情况如表</w:t>
      </w:r>
      <w:r>
        <w:rPr>
          <w:rFonts w:hint="eastAsia" w:eastAsia="仿宋_GB2312"/>
          <w:kern w:val="0"/>
          <w:sz w:val="32"/>
          <w:szCs w:val="32"/>
        </w:rPr>
        <w:t>5</w:t>
      </w:r>
      <w:r>
        <w:rPr>
          <w:rFonts w:eastAsia="仿宋_GB2312"/>
          <w:kern w:val="0"/>
          <w:sz w:val="32"/>
          <w:szCs w:val="32"/>
        </w:rPr>
        <w:t>：</w:t>
      </w:r>
    </w:p>
    <w:p>
      <w:pPr>
        <w:pStyle w:val="2"/>
        <w:rPr>
          <w:rFonts w:eastAsia="仿宋_GB2312"/>
          <w:kern w:val="0"/>
          <w:sz w:val="32"/>
          <w:szCs w:val="32"/>
        </w:rPr>
      </w:pPr>
    </w:p>
    <w:p>
      <w:pPr>
        <w:rPr>
          <w:rFonts w:eastAsia="仿宋_GB2312"/>
          <w:kern w:val="0"/>
          <w:sz w:val="32"/>
          <w:szCs w:val="32"/>
        </w:rPr>
      </w:pPr>
    </w:p>
    <w:p>
      <w:pPr>
        <w:pStyle w:val="2"/>
        <w:ind w:firstLine="540"/>
      </w:pPr>
    </w:p>
    <w:p>
      <w:pPr>
        <w:spacing w:before="312" w:beforeLines="100" w:after="312" w:afterLines="100" w:line="600" w:lineRule="exact"/>
        <w:ind w:firstLine="0" w:firstLineChars="0"/>
        <w:jc w:val="center"/>
        <w:rPr>
          <w:rFonts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表5.项目产出得分情况统计</w:t>
      </w:r>
    </w:p>
    <w:tbl>
      <w:tblPr>
        <w:tblStyle w:val="21"/>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58"/>
        <w:gridCol w:w="4106"/>
        <w:gridCol w:w="143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二级指标</w:t>
            </w:r>
          </w:p>
        </w:tc>
        <w:tc>
          <w:tcPr>
            <w:tcW w:w="2262" w:type="pc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三级指标</w:t>
            </w:r>
          </w:p>
        </w:tc>
        <w:tc>
          <w:tcPr>
            <w:tcW w:w="789" w:type="pct"/>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分值</w:t>
            </w:r>
          </w:p>
        </w:tc>
        <w:tc>
          <w:tcPr>
            <w:tcW w:w="923" w:type="pct"/>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产出数量</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（8分）</w:t>
            </w: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场馆免费低收费开放率</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健身器材更新与维修数量</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“县校品牌”体育项目完成率</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产出质量</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体育馆运营服务服务质量达标率</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是否圆满完成年初任务，无安全事故或治安事件发生</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产出时效（5分）</w:t>
            </w: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场馆破损维修及时率</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024"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产出成本（6分）</w:t>
            </w:r>
          </w:p>
        </w:tc>
        <w:tc>
          <w:tcPr>
            <w:tcW w:w="2262"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成本节约率</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286" w:type="pct"/>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789"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c>
          <w:tcPr>
            <w:tcW w:w="923" w:type="pc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w:t>
            </w:r>
          </w:p>
        </w:tc>
      </w:tr>
    </w:tbl>
    <w:p>
      <w:pPr>
        <w:spacing w:line="600" w:lineRule="exact"/>
        <w:rPr>
          <w:rFonts w:eastAsia="仿宋_GB2312"/>
          <w:kern w:val="0"/>
          <w:sz w:val="32"/>
          <w:szCs w:val="32"/>
        </w:rPr>
      </w:pPr>
      <w:r>
        <w:rPr>
          <w:rFonts w:hint="eastAsia" w:eastAsia="仿宋_GB2312"/>
          <w:kern w:val="0"/>
          <w:sz w:val="32"/>
          <w:szCs w:val="32"/>
        </w:rPr>
        <w:t>1.产出数量</w:t>
      </w:r>
    </w:p>
    <w:p>
      <w:pPr>
        <w:spacing w:line="600" w:lineRule="exact"/>
        <w:rPr>
          <w:rFonts w:eastAsia="仿宋_GB2312"/>
          <w:kern w:val="0"/>
          <w:sz w:val="32"/>
          <w:szCs w:val="32"/>
        </w:rPr>
      </w:pPr>
      <w:r>
        <w:rPr>
          <w:rFonts w:eastAsia="仿宋_GB2312"/>
          <w:kern w:val="0"/>
          <w:sz w:val="32"/>
          <w:szCs w:val="32"/>
        </w:rPr>
        <w:t>①场馆免费低收费开放率分值3分，实得3分。根据实地调研情况，老体育中心室内和室外体育场馆均能免费开放，新体育中心室外场地向社会大众免费开放，开放时间为全年周一至周日，早7:00-17:00，晚18:30-21:00，室内游泳馆、篮球馆低收费开放，开放时间为全年周一至周日，7:00-21:00，但是室内网球场平时仅针对体校学生开放，场馆免费低收费开放率基本能够达到100%。</w:t>
      </w:r>
    </w:p>
    <w:p>
      <w:pPr>
        <w:spacing w:line="600" w:lineRule="exact"/>
        <w:rPr>
          <w:rFonts w:eastAsia="仿宋_GB2312"/>
          <w:kern w:val="0"/>
          <w:sz w:val="32"/>
          <w:szCs w:val="32"/>
        </w:rPr>
      </w:pPr>
      <w:r>
        <w:rPr>
          <w:rFonts w:eastAsia="仿宋_GB2312"/>
          <w:kern w:val="0"/>
          <w:sz w:val="32"/>
          <w:szCs w:val="32"/>
        </w:rPr>
        <w:t>②健身器材更新与维修数量分值3分，实得1分。根据2021年签订的《全民健身器材更换采购合同书》、《全民健身器材货物验收单》，2021年完成健身器材更换240件，超过年初设定的绩效目标200件。但对更换前健身器材是否达到更换标准不明确，没有相关文件记录，酌情扣1分。缺少健身器材维修相关记录，酌情扣1分。</w:t>
      </w:r>
    </w:p>
    <w:p>
      <w:pPr>
        <w:spacing w:line="600" w:lineRule="exact"/>
        <w:rPr>
          <w:rFonts w:eastAsia="仿宋_GB2312"/>
          <w:kern w:val="0"/>
          <w:sz w:val="32"/>
          <w:szCs w:val="32"/>
        </w:rPr>
      </w:pPr>
      <w:r>
        <w:rPr>
          <w:rFonts w:eastAsia="仿宋_GB2312"/>
          <w:kern w:val="0"/>
          <w:sz w:val="32"/>
          <w:szCs w:val="32"/>
        </w:rPr>
        <w:t>③“县校品牌”体育项目完成率，分值2分，实得2分。根据《关于下发&lt;济宁市体育品牌学校建设与管理办法&gt;的通知》（济体青字〔2015〕4号），济宁市体育品牌学校建设与管理采取量化评估考核方式，每年确定30所学校进行扶持，原市体育局、市教育局负责评估考核工作，并对考核合格的学校进行分类奖励扶持，下拨奖励经费或器材。2021年完成2018年、2019年、2020年“县校品牌”奖励经费拨付到当年考核合格学校。</w:t>
      </w:r>
    </w:p>
    <w:p>
      <w:pPr>
        <w:spacing w:line="600" w:lineRule="exact"/>
        <w:rPr>
          <w:rFonts w:eastAsia="仿宋_GB2312"/>
          <w:kern w:val="0"/>
          <w:sz w:val="32"/>
          <w:szCs w:val="32"/>
        </w:rPr>
      </w:pPr>
      <w:r>
        <w:rPr>
          <w:rFonts w:hint="eastAsia" w:eastAsia="仿宋_GB2312"/>
          <w:kern w:val="0"/>
          <w:sz w:val="32"/>
          <w:szCs w:val="32"/>
        </w:rPr>
        <w:t>2.产出质量</w:t>
      </w:r>
    </w:p>
    <w:p>
      <w:pPr>
        <w:spacing w:line="600" w:lineRule="exact"/>
        <w:rPr>
          <w:rFonts w:eastAsia="仿宋_GB2312"/>
          <w:kern w:val="0"/>
          <w:sz w:val="32"/>
          <w:szCs w:val="32"/>
        </w:rPr>
      </w:pPr>
      <w:r>
        <w:rPr>
          <w:rFonts w:eastAsia="仿宋_GB2312"/>
          <w:kern w:val="0"/>
          <w:sz w:val="32"/>
          <w:szCs w:val="32"/>
        </w:rPr>
        <w:t>①体育馆运营服务服务质量达标率分值3分，实得2分。根据《兖州新体育中心运营监督管理办公室工作职责》，监管办每月对物业公司进行巡查一次，统计活动开展情况和运营管理情况，发现问题形成巡查记录，督查整改，每月将工作情况向区体育运动服务中心汇报一次，通报所有监管情况，但是未制定考核细则，未提供结果，老体育中心也未提供相关考核制度及结果资料，酌情扣1分。</w:t>
      </w:r>
    </w:p>
    <w:p>
      <w:pPr>
        <w:spacing w:line="600" w:lineRule="exact"/>
        <w:rPr>
          <w:rFonts w:eastAsia="仿宋_GB2312"/>
          <w:kern w:val="0"/>
          <w:sz w:val="32"/>
          <w:szCs w:val="32"/>
        </w:rPr>
      </w:pPr>
      <w:r>
        <w:rPr>
          <w:rFonts w:eastAsia="仿宋_GB2312"/>
          <w:kern w:val="0"/>
          <w:sz w:val="32"/>
          <w:szCs w:val="32"/>
        </w:rPr>
        <w:t>②是否圆满完成年初任务，无安全事故或治安事件发生分值3分，实得3分，2021年圆满完成年初任务，无安全事故或治安事件发生。</w:t>
      </w:r>
    </w:p>
    <w:p>
      <w:pPr>
        <w:spacing w:line="600" w:lineRule="exact"/>
        <w:rPr>
          <w:rFonts w:eastAsia="仿宋_GB2312"/>
          <w:kern w:val="0"/>
          <w:sz w:val="32"/>
          <w:szCs w:val="32"/>
        </w:rPr>
      </w:pPr>
      <w:r>
        <w:rPr>
          <w:rFonts w:hint="eastAsia" w:eastAsia="仿宋_GB2312"/>
          <w:kern w:val="0"/>
          <w:sz w:val="32"/>
          <w:szCs w:val="32"/>
        </w:rPr>
        <w:t>3.产出时效</w:t>
      </w:r>
    </w:p>
    <w:p>
      <w:pPr>
        <w:spacing w:line="600" w:lineRule="exact"/>
        <w:rPr>
          <w:rFonts w:eastAsia="仿宋_GB2312"/>
          <w:kern w:val="0"/>
          <w:sz w:val="32"/>
          <w:szCs w:val="32"/>
        </w:rPr>
      </w:pPr>
      <w:r>
        <w:rPr>
          <w:rFonts w:eastAsia="仿宋_GB2312"/>
          <w:kern w:val="0"/>
          <w:sz w:val="32"/>
          <w:szCs w:val="32"/>
        </w:rPr>
        <w:t>①场馆破损维修及时率分值5分，实得3分，根据现场调研了解到，老体育中心室外羽毛球、篮球场地面起皮破损情况比较严重，尚未组织维修，酌情扣2分。</w:t>
      </w:r>
    </w:p>
    <w:p>
      <w:pPr>
        <w:spacing w:line="600" w:lineRule="exact"/>
        <w:rPr>
          <w:rFonts w:eastAsia="仿宋_GB2312"/>
          <w:kern w:val="0"/>
          <w:sz w:val="32"/>
          <w:szCs w:val="32"/>
        </w:rPr>
      </w:pPr>
      <w:r>
        <w:rPr>
          <w:rFonts w:hint="eastAsia" w:eastAsia="仿宋_GB2312"/>
          <w:kern w:val="0"/>
          <w:sz w:val="32"/>
          <w:szCs w:val="32"/>
        </w:rPr>
        <w:t>4.产出成本</w:t>
      </w:r>
    </w:p>
    <w:p>
      <w:pPr>
        <w:spacing w:line="600" w:lineRule="exact"/>
        <w:rPr>
          <w:rFonts w:eastAsia="仿宋_GB2312"/>
          <w:kern w:val="0"/>
          <w:sz w:val="32"/>
          <w:szCs w:val="32"/>
        </w:rPr>
      </w:pPr>
      <w:r>
        <w:rPr>
          <w:rFonts w:eastAsia="仿宋_GB2312"/>
          <w:kern w:val="0"/>
          <w:sz w:val="32"/>
          <w:szCs w:val="32"/>
        </w:rPr>
        <w:t>①成本节约率分值6分，实得6分，根据《兖州区体育事业发展中心财务管理制度》，专项等其他费用包括工程项目、设备购置、专用材料采购等，严格按照政府规定的采购制度执行。根据《济宁市兖州区体育事业发展中心专项资金管理办法》，加强审计监督，实行单项工程决算审计，整体项目验收审计，年度资金收支审计。根据相关凭证、资料及实地调研了解到，实际按照上述要求执行，实现了成本节约。例如，新体育馆消防改造工程资金申请30万元，实际支出25万元。</w:t>
      </w:r>
    </w:p>
    <w:bookmarkEnd w:id="317"/>
    <w:bookmarkEnd w:id="318"/>
    <w:bookmarkEnd w:id="319"/>
    <w:bookmarkEnd w:id="320"/>
    <w:bookmarkEnd w:id="321"/>
    <w:bookmarkEnd w:id="322"/>
    <w:p>
      <w:pPr>
        <w:pStyle w:val="5"/>
        <w:spacing w:line="600" w:lineRule="exact"/>
        <w:rPr>
          <w:rFonts w:ascii="Times New Roman" w:hAnsi="Times New Roman" w:eastAsia="楷体"/>
          <w:b w:val="0"/>
          <w:kern w:val="0"/>
          <w:sz w:val="32"/>
          <w:szCs w:val="32"/>
        </w:rPr>
      </w:pPr>
      <w:bookmarkStart w:id="323" w:name="_Toc25015"/>
      <w:bookmarkStart w:id="324" w:name="_Toc4170"/>
      <w:bookmarkStart w:id="325" w:name="_Toc24374218"/>
      <w:bookmarkStart w:id="326" w:name="_Toc25650518"/>
      <w:bookmarkStart w:id="327" w:name="_Toc24374859"/>
      <w:r>
        <w:rPr>
          <w:rFonts w:hint="eastAsia" w:ascii="Times New Roman" w:hAnsi="Times New Roman" w:eastAsia="楷体"/>
          <w:b w:val="0"/>
          <w:kern w:val="0"/>
          <w:sz w:val="32"/>
          <w:szCs w:val="32"/>
        </w:rPr>
        <w:t>（四）项目效益情况</w:t>
      </w:r>
      <w:bookmarkEnd w:id="323"/>
      <w:bookmarkEnd w:id="324"/>
    </w:p>
    <w:p>
      <w:pPr>
        <w:spacing w:line="600" w:lineRule="exact"/>
        <w:rPr>
          <w:rFonts w:eastAsia="仿宋_GB2312"/>
          <w:kern w:val="0"/>
          <w:sz w:val="32"/>
          <w:szCs w:val="32"/>
        </w:rPr>
      </w:pPr>
      <w:r>
        <w:rPr>
          <w:rFonts w:eastAsia="仿宋_GB2312"/>
          <w:kern w:val="0"/>
          <w:sz w:val="32"/>
          <w:szCs w:val="32"/>
        </w:rPr>
        <w:t>项目效益指标满分为35分，分为三个二级指标：经济效益、社会效益、满意度，该项评价得分为33分，各项得分情况情况如表</w:t>
      </w:r>
      <w:r>
        <w:rPr>
          <w:rFonts w:hint="eastAsia" w:eastAsia="仿宋_GB2312"/>
          <w:kern w:val="0"/>
          <w:sz w:val="32"/>
          <w:szCs w:val="32"/>
        </w:rPr>
        <w:t>6</w:t>
      </w:r>
      <w:r>
        <w:rPr>
          <w:rFonts w:eastAsia="仿宋_GB2312"/>
          <w:kern w:val="0"/>
          <w:sz w:val="32"/>
          <w:szCs w:val="32"/>
        </w:rPr>
        <w:t>：</w:t>
      </w:r>
    </w:p>
    <w:p>
      <w:pPr>
        <w:ind w:firstLine="0" w:firstLineChars="0"/>
        <w:jc w:val="center"/>
        <w:rPr>
          <w:rFonts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表6. 项目效益得分情况统计</w:t>
      </w:r>
    </w:p>
    <w:tbl>
      <w:tblPr>
        <w:tblStyle w:val="21"/>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00"/>
        <w:gridCol w:w="3960"/>
        <w:gridCol w:w="1434"/>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二级指标</w:t>
            </w:r>
          </w:p>
        </w:tc>
        <w:tc>
          <w:tcPr>
            <w:tcW w:w="3960" w:type="dxa"/>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三级指标</w:t>
            </w:r>
          </w:p>
        </w:tc>
        <w:tc>
          <w:tcPr>
            <w:tcW w:w="1434" w:type="dxa"/>
            <w:shd w:val="clear" w:color="auto" w:fill="FFFFFF"/>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分值</w:t>
            </w:r>
          </w:p>
        </w:tc>
        <w:tc>
          <w:tcPr>
            <w:tcW w:w="1677" w:type="dxa"/>
            <w:tcMar>
              <w:top w:w="15" w:type="dxa"/>
              <w:left w:w="15" w:type="dxa"/>
              <w:right w:w="15" w:type="dxa"/>
            </w:tcMar>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经济效益（10分）</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体育馆低收费运营收入</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社会效益</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（20分）</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体育馆免费低收费开放惠及人次</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健身环境</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体育获奖人次</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满意度</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（5分）</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群众满意度</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0"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主管部门满意度</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960" w:type="dxa"/>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1434"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35</w:t>
            </w:r>
          </w:p>
        </w:tc>
        <w:tc>
          <w:tcPr>
            <w:tcW w:w="167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33</w:t>
            </w:r>
          </w:p>
        </w:tc>
      </w:tr>
    </w:tbl>
    <w:p>
      <w:pPr>
        <w:spacing w:line="600" w:lineRule="exact"/>
        <w:rPr>
          <w:rFonts w:eastAsia="仿宋_GB2312"/>
          <w:kern w:val="0"/>
          <w:sz w:val="32"/>
          <w:szCs w:val="32"/>
        </w:rPr>
      </w:pPr>
      <w:r>
        <w:rPr>
          <w:rFonts w:hint="eastAsia" w:eastAsia="仿宋_GB2312"/>
          <w:kern w:val="0"/>
          <w:sz w:val="32"/>
          <w:szCs w:val="32"/>
        </w:rPr>
        <w:t>1.经济效益</w:t>
      </w:r>
    </w:p>
    <w:p>
      <w:pPr>
        <w:spacing w:line="600" w:lineRule="exact"/>
        <w:rPr>
          <w:rFonts w:eastAsia="仿宋_GB2312"/>
          <w:kern w:val="0"/>
          <w:sz w:val="32"/>
          <w:szCs w:val="32"/>
        </w:rPr>
      </w:pPr>
      <w:r>
        <w:rPr>
          <w:rFonts w:eastAsia="仿宋_GB2312"/>
          <w:kern w:val="0"/>
          <w:sz w:val="32"/>
          <w:szCs w:val="32"/>
        </w:rPr>
        <w:t>①体育馆低收费运营收入分值10分，实得10分，根据兖州区体育事业发展中心提供的收入说明，济宁市兖州区永康物业服务有限公司在2020年7月1日至2021年12月31日临时服务兖州新体育中心经营期间的收入上缴兖州区财政，实现经营项目收入106635.5元，房屋租赁收入78500元。</w:t>
      </w:r>
    </w:p>
    <w:p>
      <w:pPr>
        <w:spacing w:line="600" w:lineRule="exact"/>
        <w:rPr>
          <w:rFonts w:eastAsia="仿宋_GB2312"/>
          <w:kern w:val="0"/>
          <w:sz w:val="32"/>
          <w:szCs w:val="32"/>
        </w:rPr>
      </w:pPr>
      <w:r>
        <w:rPr>
          <w:rFonts w:hint="eastAsia" w:eastAsia="仿宋_GB2312"/>
          <w:kern w:val="0"/>
          <w:sz w:val="32"/>
          <w:szCs w:val="32"/>
        </w:rPr>
        <w:t>2.社会效益</w:t>
      </w:r>
    </w:p>
    <w:p>
      <w:pPr>
        <w:spacing w:line="600" w:lineRule="exact"/>
        <w:rPr>
          <w:rFonts w:eastAsia="仿宋_GB2312"/>
          <w:kern w:val="0"/>
          <w:sz w:val="32"/>
          <w:szCs w:val="32"/>
        </w:rPr>
      </w:pPr>
      <w:r>
        <w:rPr>
          <w:rFonts w:eastAsia="仿宋_GB2312"/>
          <w:kern w:val="0"/>
          <w:sz w:val="32"/>
          <w:szCs w:val="32"/>
        </w:rPr>
        <w:t>①体育馆免费低收费开放惠及人次分值10分，实得10分，根据兖州区体育事业发展中心提供的统计数据和访谈了解的情况，兖州老体育中心2021年每日平均客流量室内80人次、室外400人次，2022年每日平均客流量室内90人次、室外500人次。兖州新体育中心2021年每日平均客流量室内200人次、室外300人次，2022年每日平均客流量室内220人次、室外400人次，体育馆免费低收费开放惠及人次呈逐年上涨趋势。</w:t>
      </w:r>
    </w:p>
    <w:p>
      <w:pPr>
        <w:spacing w:line="600" w:lineRule="exact"/>
        <w:rPr>
          <w:rFonts w:eastAsia="仿宋_GB2312"/>
          <w:kern w:val="0"/>
          <w:sz w:val="32"/>
          <w:szCs w:val="32"/>
        </w:rPr>
      </w:pPr>
      <w:r>
        <w:rPr>
          <w:rFonts w:eastAsia="仿宋_GB2312"/>
          <w:kern w:val="0"/>
          <w:sz w:val="32"/>
          <w:szCs w:val="32"/>
        </w:rPr>
        <w:t>②健身环境分值5分，实得3分，根据兖州区体育事业发展中心提供的资料和访谈情况，兖州区新老体育中心室内、室外健身环境良好，物业每日进行保洁及垃圾清运，场地设施较为齐备完好，除兖州区新体育中心室内场馆，公园、绿地等公共场所全民健身器材全年免费供公众使用。所配置的健身器材符合国家相关标准和关于健身器材配建管理工作的规定。所举办的群众健身活动或比赛严格按照相关法律法规标准制定办赛指南和参赛指引，并建立健全专项应急预案和安全保障措施。老体育中心室外羽毛球、篮球场地面目前起皮破损情况比较严重，尚未组织维修，酌情扣2分。</w:t>
      </w:r>
    </w:p>
    <w:p>
      <w:pPr>
        <w:spacing w:line="600" w:lineRule="exact"/>
        <w:rPr>
          <w:rFonts w:eastAsia="仿宋_GB2312"/>
          <w:kern w:val="0"/>
          <w:sz w:val="32"/>
          <w:szCs w:val="32"/>
        </w:rPr>
      </w:pPr>
      <w:r>
        <w:rPr>
          <w:rFonts w:eastAsia="仿宋_GB2312"/>
          <w:kern w:val="0"/>
          <w:sz w:val="32"/>
          <w:szCs w:val="32"/>
        </w:rPr>
        <w:t>③体育获奖人次分值5分，实得5分，根据《兖州区2020年国民经济和社会发展统计公报》，兖州区2020年在全国、省、济宁市体育比赛中获得奖牌6枚，其中：金牌2枚，银牌2枚，铜牌2枚。根据《兖州区2021年国民经济和社会发展统计公报》，兖州区2021年在全国、省、济宁市体育比赛中获得奖牌6枚，其中：金牌1枚，银牌2枚，铜牌3枚。获奖总人次2021年与上年持平。</w:t>
      </w:r>
    </w:p>
    <w:p>
      <w:pPr>
        <w:spacing w:line="600" w:lineRule="exact"/>
        <w:rPr>
          <w:rFonts w:eastAsia="仿宋_GB2312"/>
          <w:kern w:val="0"/>
          <w:sz w:val="32"/>
          <w:szCs w:val="32"/>
        </w:rPr>
      </w:pPr>
      <w:r>
        <w:rPr>
          <w:rFonts w:hint="eastAsia" w:eastAsia="仿宋_GB2312"/>
          <w:kern w:val="0"/>
          <w:sz w:val="32"/>
          <w:szCs w:val="32"/>
        </w:rPr>
        <w:t>3.满意度</w:t>
      </w:r>
    </w:p>
    <w:p>
      <w:pPr>
        <w:spacing w:line="600" w:lineRule="exact"/>
        <w:rPr>
          <w:rFonts w:eastAsia="仿宋_GB2312"/>
          <w:kern w:val="0"/>
          <w:sz w:val="32"/>
          <w:szCs w:val="32"/>
        </w:rPr>
      </w:pPr>
      <w:r>
        <w:rPr>
          <w:rFonts w:eastAsia="仿宋_GB2312"/>
          <w:kern w:val="0"/>
          <w:sz w:val="32"/>
          <w:szCs w:val="32"/>
        </w:rPr>
        <w:t>①群众满意度分值2.5分，实得2.5分，根据群众满意度调查结果，群众对新老体育中心免费低收费开放项目、健身器材更新和维护、“县校品牌”足球和跳绳特色项目学校扶持工作满意。</w:t>
      </w:r>
    </w:p>
    <w:p>
      <w:pPr>
        <w:spacing w:line="600" w:lineRule="exact"/>
      </w:pPr>
      <w:r>
        <w:rPr>
          <w:rFonts w:eastAsia="仿宋_GB2312"/>
          <w:kern w:val="0"/>
          <w:sz w:val="32"/>
          <w:szCs w:val="32"/>
        </w:rPr>
        <w:t>②主管部门满意度分值2.5分，实得2.5分，根据访谈情况，上级主管部门对该项目实施情况满意。</w:t>
      </w:r>
      <w:bookmarkEnd w:id="325"/>
      <w:bookmarkEnd w:id="326"/>
      <w:bookmarkEnd w:id="327"/>
      <w:bookmarkStart w:id="328" w:name="_Toc24374224"/>
      <w:bookmarkStart w:id="329" w:name="_Toc25650534"/>
      <w:bookmarkStart w:id="330" w:name="_Toc24311771"/>
      <w:bookmarkStart w:id="331" w:name="_Toc24374865"/>
    </w:p>
    <w:p>
      <w:pPr>
        <w:overflowPunct w:val="0"/>
        <w:autoSpaceDE w:val="0"/>
        <w:autoSpaceDN w:val="0"/>
        <w:adjustRightInd w:val="0"/>
        <w:spacing w:line="600" w:lineRule="exact"/>
        <w:textAlignment w:val="baseline"/>
        <w:outlineLvl w:val="0"/>
        <w:rPr>
          <w:rFonts w:eastAsia="黑体"/>
          <w:kern w:val="0"/>
          <w:sz w:val="32"/>
          <w:szCs w:val="32"/>
        </w:rPr>
      </w:pPr>
      <w:bookmarkStart w:id="332" w:name="_Toc9403"/>
      <w:bookmarkStart w:id="333" w:name="_Toc2439"/>
      <w:r>
        <w:rPr>
          <w:rFonts w:hint="eastAsia" w:eastAsia="黑体"/>
          <w:kern w:val="0"/>
          <w:sz w:val="32"/>
          <w:szCs w:val="32"/>
        </w:rPr>
        <w:t>六、取得的成效</w:t>
      </w:r>
      <w:bookmarkEnd w:id="332"/>
      <w:bookmarkEnd w:id="333"/>
    </w:p>
    <w:p>
      <w:pPr>
        <w:spacing w:line="600" w:lineRule="exact"/>
        <w:rPr>
          <w:rFonts w:eastAsia="仿宋_GB2312"/>
          <w:kern w:val="0"/>
          <w:sz w:val="32"/>
          <w:szCs w:val="32"/>
        </w:rPr>
      </w:pPr>
      <w:r>
        <w:rPr>
          <w:rFonts w:eastAsia="仿宋_GB2312"/>
          <w:kern w:val="0"/>
          <w:sz w:val="32"/>
          <w:szCs w:val="32"/>
        </w:rPr>
        <w:t>老体育中心室内和室外体育场馆均能免费开放，新体育中心室外场地向社会大众免费开放，开放时间为全年周一至周日，早7:00-17:00，晚18:30-21:00，室内游泳馆、篮球馆低收费开放，开放时间为全年周一至周日，7:00-21:00，场馆免费低收费开放率基本能够达到100%。2021年完成健身器材更换240件，超过年初设定的绩效目标200件。济宁市体育品牌学校建设与管理采取量化评估考核方式，每年确定30所学校进行扶持，原市体育局、市教育局负责评估考核工作，并对考核合格的学校进行分类奖励扶持，下拨奖励经费或器材。2021年完成2018年、2019年、2020年“县校品牌”奖励经费拨付到当年考核合格学校。</w:t>
      </w:r>
    </w:p>
    <w:p>
      <w:pPr>
        <w:pStyle w:val="2"/>
      </w:pPr>
      <w:r>
        <w:rPr>
          <w:rFonts w:eastAsia="仿宋_GB2312"/>
          <w:kern w:val="0"/>
          <w:sz w:val="32"/>
          <w:szCs w:val="32"/>
        </w:rPr>
        <w:t>根据《兖州区2021年国民经济和社会发展统计公报》，兖州区2021年在全国、省、济宁市体育比赛中获得奖牌6枚，其中：金牌1枚，银牌2枚，铜牌3枚。</w:t>
      </w:r>
    </w:p>
    <w:p>
      <w:pPr>
        <w:overflowPunct w:val="0"/>
        <w:autoSpaceDE w:val="0"/>
        <w:autoSpaceDN w:val="0"/>
        <w:adjustRightInd w:val="0"/>
        <w:spacing w:line="600" w:lineRule="exact"/>
        <w:textAlignment w:val="baseline"/>
        <w:outlineLvl w:val="0"/>
        <w:rPr>
          <w:rFonts w:eastAsia="黑体"/>
          <w:kern w:val="0"/>
          <w:sz w:val="32"/>
          <w:szCs w:val="32"/>
        </w:rPr>
      </w:pPr>
      <w:bookmarkStart w:id="334" w:name="_Toc15402"/>
      <w:bookmarkStart w:id="335" w:name="_Toc2356"/>
      <w:r>
        <w:rPr>
          <w:rFonts w:hint="eastAsia" w:eastAsia="黑体"/>
          <w:kern w:val="0"/>
          <w:sz w:val="32"/>
          <w:szCs w:val="32"/>
        </w:rPr>
        <w:t>七、存在的问题及原因分析</w:t>
      </w:r>
      <w:bookmarkEnd w:id="334"/>
      <w:bookmarkEnd w:id="335"/>
    </w:p>
    <w:bookmarkEnd w:id="328"/>
    <w:bookmarkEnd w:id="329"/>
    <w:bookmarkEnd w:id="330"/>
    <w:bookmarkEnd w:id="331"/>
    <w:p>
      <w:pPr>
        <w:overflowPunct w:val="0"/>
        <w:autoSpaceDE w:val="0"/>
        <w:autoSpaceDN w:val="0"/>
        <w:adjustRightInd w:val="0"/>
        <w:spacing w:line="600" w:lineRule="exact"/>
        <w:jc w:val="left"/>
        <w:textAlignment w:val="baseline"/>
        <w:outlineLvl w:val="1"/>
        <w:rPr>
          <w:rFonts w:eastAsia="楷体"/>
          <w:kern w:val="0"/>
          <w:sz w:val="32"/>
          <w:szCs w:val="32"/>
        </w:rPr>
      </w:pPr>
      <w:bookmarkStart w:id="336" w:name="_Toc2976"/>
      <w:bookmarkStart w:id="337" w:name="_Toc27529"/>
      <w:bookmarkStart w:id="338" w:name="_Toc17410"/>
      <w:bookmarkStart w:id="339" w:name="_Toc24374867"/>
      <w:bookmarkStart w:id="340" w:name="_Toc24374226"/>
      <w:bookmarkStart w:id="341" w:name="_Toc25650540"/>
      <w:r>
        <w:rPr>
          <w:rFonts w:hint="eastAsia" w:eastAsia="楷体"/>
          <w:kern w:val="0"/>
          <w:sz w:val="32"/>
          <w:szCs w:val="32"/>
        </w:rPr>
        <w:t>（一）绩效指标不够细化、量化</w:t>
      </w:r>
      <w:bookmarkEnd w:id="336"/>
      <w:bookmarkEnd w:id="337"/>
      <w:bookmarkEnd w:id="338"/>
    </w:p>
    <w:p>
      <w:pPr>
        <w:spacing w:line="600" w:lineRule="exact"/>
        <w:rPr>
          <w:rFonts w:eastAsia="仿宋_GB2312"/>
          <w:kern w:val="0"/>
          <w:sz w:val="32"/>
          <w:szCs w:val="32"/>
        </w:rPr>
      </w:pPr>
      <w:r>
        <w:rPr>
          <w:rFonts w:eastAsia="仿宋_GB2312"/>
          <w:kern w:val="0"/>
          <w:sz w:val="32"/>
          <w:szCs w:val="32"/>
        </w:rPr>
        <w:t>绩效管理要将绩效目标前置，对事前进行评估，做到立项有据；对执行过程进行监控，掌握绩效目标执行进度；对执行结果进行评价，分析产出与效益，实现绩效管理的最终目的。根据项目单位提供的济宁市用于体育事业的彩票公益金支出绩效目标申报表（2021年），项目绩效目标细化，产出指标的指标值清晰、可衡量，指标值与项目年度任务数或计划数相对应。但是效益指标用“体育事业发展”、“全民健身意识”等，不易衡量，导致后续绩效管理工作中难以精准监控和客观评价。</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42" w:name="_Toc30186"/>
      <w:bookmarkStart w:id="343" w:name="_Toc10931"/>
      <w:bookmarkStart w:id="344" w:name="_Toc18567"/>
      <w:r>
        <w:rPr>
          <w:rFonts w:hint="eastAsia" w:eastAsia="楷体"/>
          <w:kern w:val="0"/>
          <w:sz w:val="32"/>
          <w:szCs w:val="32"/>
        </w:rPr>
        <w:t>（二）未制定对第三方运营服务公司相关考核监管细则</w:t>
      </w:r>
      <w:bookmarkEnd w:id="342"/>
      <w:bookmarkEnd w:id="343"/>
      <w:bookmarkEnd w:id="344"/>
    </w:p>
    <w:p>
      <w:pPr>
        <w:spacing w:line="600" w:lineRule="exact"/>
        <w:rPr>
          <w:rFonts w:eastAsia="仿宋_GB2312"/>
          <w:kern w:val="0"/>
          <w:sz w:val="32"/>
          <w:szCs w:val="32"/>
        </w:rPr>
      </w:pPr>
      <w:r>
        <w:rPr>
          <w:rFonts w:eastAsia="仿宋_GB2312"/>
          <w:kern w:val="0"/>
          <w:sz w:val="32"/>
          <w:szCs w:val="32"/>
        </w:rPr>
        <w:t>根据《兖州新体育中心运营监督管理办公室工作职责》，监管办每月对物业公司进行巡查一次，统计活动开展情况和运营管理情况，发现问题形成巡查记录，督查整改，每月将工作情况向区体育运动服务中心汇报一次，通报所有监管情况，但是未制定考核细则，未提供结果，老体育中心也未提供相关考核制度及结果资料。</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45" w:name="_Toc30474"/>
      <w:bookmarkStart w:id="346" w:name="_Toc2766"/>
      <w:bookmarkStart w:id="347" w:name="_Toc13532"/>
      <w:r>
        <w:rPr>
          <w:rFonts w:hint="eastAsia" w:eastAsia="楷体"/>
          <w:kern w:val="0"/>
          <w:sz w:val="32"/>
          <w:szCs w:val="32"/>
        </w:rPr>
        <w:t>（三）未及时组织老体育中心室外羽毛球、篮球场地面维修</w:t>
      </w:r>
      <w:bookmarkEnd w:id="345"/>
      <w:bookmarkEnd w:id="346"/>
      <w:bookmarkEnd w:id="347"/>
    </w:p>
    <w:p>
      <w:pPr>
        <w:spacing w:line="600" w:lineRule="exact"/>
        <w:rPr>
          <w:rFonts w:eastAsia="仿宋_GB2312"/>
          <w:kern w:val="0"/>
          <w:sz w:val="32"/>
          <w:szCs w:val="32"/>
        </w:rPr>
      </w:pPr>
      <w:r>
        <w:rPr>
          <w:rFonts w:eastAsia="仿宋_GB2312"/>
          <w:kern w:val="0"/>
          <w:sz w:val="32"/>
          <w:szCs w:val="32"/>
        </w:rPr>
        <w:t>老体育馆于2018年4月正式启动改造升级。改造升级后的体育馆整合了游泳馆，并建设了停车场；设有乒乓球、羽毛球、篮球、足球等场地。根据现场调研时了解到的情况，老体育中心室外羽毛球、篮球场地面目前起皮破损情况比较严重，尚未组织维修。</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48" w:name="_Toc24246"/>
      <w:bookmarkStart w:id="349" w:name="_Toc30752"/>
      <w:bookmarkStart w:id="350" w:name="_Toc23434"/>
      <w:r>
        <w:rPr>
          <w:rFonts w:hint="eastAsia" w:eastAsia="楷体"/>
          <w:kern w:val="0"/>
          <w:sz w:val="32"/>
          <w:szCs w:val="32"/>
        </w:rPr>
        <w:t>（四）未编制体彩公益金项目预算</w:t>
      </w:r>
      <w:bookmarkEnd w:id="348"/>
      <w:bookmarkEnd w:id="349"/>
      <w:bookmarkEnd w:id="350"/>
    </w:p>
    <w:p>
      <w:pPr>
        <w:spacing w:line="600" w:lineRule="exact"/>
      </w:pPr>
      <w:r>
        <w:rPr>
          <w:rFonts w:eastAsia="仿宋_GB2312"/>
          <w:kern w:val="0"/>
          <w:sz w:val="32"/>
          <w:szCs w:val="32"/>
        </w:rPr>
        <w:t>体彩公益金按照政府性基金管理办法纳入预算。根据《关于印发&lt;政府性基金管理暂行办法&gt;的通知》（财综〔2010〕80号），政府性基金支出根据政府性基金收入情况安排，自求平衡，不编制赤字预算。各级财政部门应当建立健全政府性基金预算编报体系，不断提高政府性基金预算编制的完整性、准确性和精细化程度。政府性基金使用单位应当按照财政部统一要求以及同级财政部门的有关规定，编制年度相关政府性基金预算，逐级汇总后报同级财政部门审核。2021年济宁市兖州区体育事业发展中心用于体育事业的彩票公益金支出来源包括2019省级补助资金列“2296003用于体育事业的彩票公益金支出”50万元，2020省级补助资金列“2296003用于体育事业的彩票公益金支出”50万元，济宁市财政局下达2018-2020年市级体彩公益金资助“县校品牌”特色项目支出预算指标合计18.5万元，2021年度兖州区安排本级政府性基金预算145.18万元。但是据了解，济宁市兖州区体育事业发展中心未编制体彩公益金项目预算。</w:t>
      </w:r>
    </w:p>
    <w:bookmarkEnd w:id="339"/>
    <w:bookmarkEnd w:id="340"/>
    <w:bookmarkEnd w:id="341"/>
    <w:p>
      <w:pPr>
        <w:overflowPunct w:val="0"/>
        <w:autoSpaceDE w:val="0"/>
        <w:autoSpaceDN w:val="0"/>
        <w:adjustRightInd w:val="0"/>
        <w:spacing w:line="600" w:lineRule="exact"/>
        <w:textAlignment w:val="baseline"/>
        <w:outlineLvl w:val="0"/>
        <w:rPr>
          <w:rFonts w:eastAsia="黑体"/>
          <w:kern w:val="0"/>
          <w:sz w:val="32"/>
          <w:szCs w:val="32"/>
        </w:rPr>
      </w:pPr>
      <w:bookmarkStart w:id="351" w:name="_Toc27767"/>
      <w:bookmarkStart w:id="352" w:name="_Toc29631"/>
      <w:r>
        <w:rPr>
          <w:rFonts w:hint="eastAsia" w:eastAsia="黑体"/>
          <w:kern w:val="0"/>
          <w:sz w:val="32"/>
          <w:szCs w:val="32"/>
        </w:rPr>
        <w:t>八、有关建议</w:t>
      </w:r>
      <w:bookmarkEnd w:id="351"/>
      <w:bookmarkEnd w:id="352"/>
    </w:p>
    <w:p>
      <w:pPr>
        <w:overflowPunct w:val="0"/>
        <w:autoSpaceDE w:val="0"/>
        <w:autoSpaceDN w:val="0"/>
        <w:adjustRightInd w:val="0"/>
        <w:spacing w:line="600" w:lineRule="exact"/>
        <w:jc w:val="left"/>
        <w:textAlignment w:val="baseline"/>
        <w:outlineLvl w:val="1"/>
        <w:rPr>
          <w:rFonts w:eastAsia="楷体"/>
          <w:kern w:val="0"/>
          <w:sz w:val="32"/>
          <w:szCs w:val="32"/>
        </w:rPr>
      </w:pPr>
      <w:bookmarkStart w:id="353" w:name="_Toc26492"/>
      <w:bookmarkStart w:id="354" w:name="_Toc32684"/>
      <w:bookmarkStart w:id="355" w:name="_Toc22033"/>
      <w:r>
        <w:rPr>
          <w:rFonts w:hint="eastAsia" w:eastAsia="楷体"/>
          <w:kern w:val="0"/>
          <w:sz w:val="32"/>
          <w:szCs w:val="32"/>
        </w:rPr>
        <w:t>（一）建议提高绩效指标设置的规范性</w:t>
      </w:r>
      <w:bookmarkEnd w:id="353"/>
      <w:bookmarkEnd w:id="354"/>
      <w:bookmarkEnd w:id="355"/>
    </w:p>
    <w:p>
      <w:pPr>
        <w:spacing w:line="600" w:lineRule="exact"/>
        <w:rPr>
          <w:rFonts w:eastAsia="仿宋_GB2312"/>
          <w:kern w:val="0"/>
          <w:sz w:val="32"/>
          <w:szCs w:val="32"/>
        </w:rPr>
      </w:pPr>
      <w:r>
        <w:rPr>
          <w:rFonts w:eastAsia="仿宋_GB2312"/>
          <w:kern w:val="0"/>
          <w:sz w:val="32"/>
          <w:szCs w:val="32"/>
        </w:rPr>
        <w:t>效益指标是对预期效果的描述，包括经济效益指标、社会效益指标、生态效益指标等二级指标，其中，社会效益指标反映相关产出对社会发展带来的影响和效果，用于体现项目实施当年及以后若干年在提升治理水平、落实国家政策、推动行业发展、服务民生大众、维持社会稳定、维护社会公平正义、提高履职或服务效率等方面的效益。该项目可以用“体育馆低收费运营收入”衡量经济效益，用“体育馆免费低收费开放惠及人次”、“健身环境”、“体育健身活动场次”等衡量社会效益。</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56" w:name="_Toc6621"/>
      <w:bookmarkStart w:id="357" w:name="_Toc32570"/>
      <w:bookmarkStart w:id="358" w:name="_Toc16551"/>
      <w:r>
        <w:rPr>
          <w:rFonts w:hint="eastAsia" w:eastAsia="楷体"/>
          <w:kern w:val="0"/>
          <w:sz w:val="32"/>
          <w:szCs w:val="32"/>
        </w:rPr>
        <w:t>（二）完善考核监管实施细则</w:t>
      </w:r>
      <w:bookmarkEnd w:id="356"/>
      <w:bookmarkEnd w:id="357"/>
      <w:bookmarkEnd w:id="358"/>
    </w:p>
    <w:p>
      <w:pPr>
        <w:spacing w:line="600" w:lineRule="exact"/>
        <w:rPr>
          <w:rFonts w:eastAsia="仿宋_GB2312"/>
          <w:kern w:val="0"/>
          <w:sz w:val="32"/>
          <w:szCs w:val="32"/>
        </w:rPr>
      </w:pPr>
      <w:r>
        <w:rPr>
          <w:rFonts w:eastAsia="仿宋_GB2312"/>
          <w:kern w:val="0"/>
          <w:sz w:val="32"/>
          <w:szCs w:val="32"/>
        </w:rPr>
        <w:t>按照《大型体育场馆运营管理综合评价体系》、《全民健身基本公共服务标准》、《公共体育场馆免费低收费开放评价指引》等有关规定，进一步完善场馆日常运营、年度综合考核及资金监管等实施细则，实事求是进行考核，考核结果作为支付运营管理费用的重要依据，让专项资金监督管理“有章可依”，深度规范场馆日常运营秩序，有力维护保障市民健身需求。</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59" w:name="_Toc25681"/>
      <w:bookmarkStart w:id="360" w:name="_Toc29755"/>
      <w:bookmarkStart w:id="361" w:name="_Toc7058"/>
      <w:r>
        <w:rPr>
          <w:rFonts w:hint="eastAsia" w:eastAsia="楷体"/>
          <w:kern w:val="0"/>
          <w:sz w:val="32"/>
          <w:szCs w:val="32"/>
        </w:rPr>
        <w:t>（三）建议制定体育场馆设施设备维护维修标准</w:t>
      </w:r>
      <w:bookmarkEnd w:id="359"/>
      <w:bookmarkEnd w:id="360"/>
      <w:bookmarkEnd w:id="361"/>
    </w:p>
    <w:p>
      <w:pPr>
        <w:spacing w:line="600" w:lineRule="exact"/>
        <w:rPr>
          <w:rFonts w:eastAsia="仿宋_GB2312"/>
          <w:kern w:val="0"/>
          <w:sz w:val="32"/>
          <w:szCs w:val="32"/>
        </w:rPr>
      </w:pPr>
      <w:r>
        <w:rPr>
          <w:rFonts w:eastAsia="仿宋_GB2312"/>
          <w:kern w:val="0"/>
          <w:sz w:val="32"/>
          <w:szCs w:val="32"/>
        </w:rPr>
        <w:t>建议制定体育场馆设施设备维护维修标准，确保体育场馆的专业设施设备得到科学而专业的维护和维修，提高体育场馆专项设施设备的管理水平和使用效果，其中针对目前老体育中心室外羽毛球、篮球场地面维修不及时的问题，可采取如下措施：</w:t>
      </w:r>
    </w:p>
    <w:p>
      <w:pPr>
        <w:spacing w:line="600" w:lineRule="exact"/>
        <w:rPr>
          <w:rFonts w:eastAsia="仿宋_GB2312"/>
          <w:kern w:val="0"/>
          <w:sz w:val="32"/>
          <w:szCs w:val="32"/>
        </w:rPr>
      </w:pPr>
      <w:r>
        <w:rPr>
          <w:rFonts w:hint="eastAsia" w:eastAsia="仿宋_GB2312"/>
          <w:kern w:val="0"/>
          <w:sz w:val="32"/>
          <w:szCs w:val="32"/>
        </w:rPr>
        <w:t>1.</w:t>
      </w:r>
      <w:r>
        <w:rPr>
          <w:rFonts w:eastAsia="仿宋_GB2312"/>
          <w:kern w:val="0"/>
          <w:sz w:val="32"/>
          <w:szCs w:val="32"/>
        </w:rPr>
        <w:t>场地的清洁、维修和保养是一项经常性工作。除天天清扫外，还要做到每季度使用专业清洁地板养护产品定时保养清洁，污秽重的地方用专业地板清洁用品清理。</w:t>
      </w:r>
    </w:p>
    <w:p>
      <w:pPr>
        <w:spacing w:line="600" w:lineRule="exact"/>
        <w:rPr>
          <w:rFonts w:eastAsia="仿宋_GB2312"/>
          <w:kern w:val="0"/>
          <w:sz w:val="32"/>
          <w:szCs w:val="32"/>
        </w:rPr>
      </w:pPr>
      <w:r>
        <w:rPr>
          <w:rFonts w:hint="eastAsia" w:eastAsia="仿宋_GB2312"/>
          <w:kern w:val="0"/>
          <w:sz w:val="32"/>
          <w:szCs w:val="32"/>
        </w:rPr>
        <w:t>2.</w:t>
      </w:r>
      <w:r>
        <w:rPr>
          <w:rFonts w:eastAsia="仿宋_GB2312"/>
          <w:kern w:val="0"/>
          <w:sz w:val="32"/>
          <w:szCs w:val="32"/>
        </w:rPr>
        <w:t>比赛前后要进行专业保养，以保持场地清洁外还需保证场地防滑摩擦符合比赛标准，夏季炎热天气要喷洒凉水，以降低其表面温度。</w:t>
      </w:r>
    </w:p>
    <w:p>
      <w:pPr>
        <w:spacing w:line="600" w:lineRule="exact"/>
        <w:rPr>
          <w:rFonts w:eastAsia="仿宋_GB2312"/>
          <w:kern w:val="0"/>
          <w:sz w:val="32"/>
          <w:szCs w:val="32"/>
        </w:rPr>
      </w:pPr>
      <w:r>
        <w:rPr>
          <w:rFonts w:hint="eastAsia" w:eastAsia="仿宋_GB2312"/>
          <w:kern w:val="0"/>
          <w:sz w:val="32"/>
          <w:szCs w:val="32"/>
        </w:rPr>
        <w:t>3.</w:t>
      </w:r>
      <w:r>
        <w:rPr>
          <w:rFonts w:eastAsia="仿宋_GB2312"/>
          <w:kern w:val="0"/>
          <w:sz w:val="32"/>
          <w:szCs w:val="32"/>
        </w:rPr>
        <w:t>场地上的各种线和标志应经常保持清晰醒目。随着时间的延长，塑胶表面会逐渐老化，场地的各种标志会逐渐变旧，因此，使用数年后最好喷一层塑胶液，重新描画标志线。</w:t>
      </w:r>
    </w:p>
    <w:p>
      <w:pPr>
        <w:spacing w:line="600" w:lineRule="exact"/>
        <w:rPr>
          <w:rFonts w:eastAsia="仿宋_GB2312"/>
          <w:kern w:val="0"/>
          <w:sz w:val="32"/>
          <w:szCs w:val="32"/>
        </w:rPr>
      </w:pPr>
      <w:r>
        <w:rPr>
          <w:rFonts w:hint="eastAsia" w:eastAsia="仿宋_GB2312"/>
          <w:kern w:val="0"/>
          <w:sz w:val="32"/>
          <w:szCs w:val="32"/>
        </w:rPr>
        <w:t>4.</w:t>
      </w:r>
      <w:r>
        <w:rPr>
          <w:rFonts w:eastAsia="仿宋_GB2312"/>
          <w:kern w:val="0"/>
          <w:sz w:val="32"/>
          <w:szCs w:val="32"/>
        </w:rPr>
        <w:t>场地如发生裂、脱皮等现象，应按规格要求及时修补，以防蔓延。下水道要经常清理，保持场地排水畅通。</w:t>
      </w:r>
    </w:p>
    <w:p>
      <w:pPr>
        <w:spacing w:line="600" w:lineRule="exact"/>
        <w:rPr>
          <w:rFonts w:eastAsia="仿宋_GB2312"/>
          <w:kern w:val="0"/>
          <w:sz w:val="32"/>
          <w:szCs w:val="32"/>
        </w:rPr>
      </w:pPr>
      <w:r>
        <w:rPr>
          <w:rFonts w:hint="eastAsia" w:eastAsia="仿宋_GB2312"/>
          <w:kern w:val="0"/>
          <w:sz w:val="32"/>
          <w:szCs w:val="32"/>
        </w:rPr>
        <w:t>5.</w:t>
      </w:r>
      <w:r>
        <w:rPr>
          <w:rFonts w:eastAsia="仿宋_GB2312"/>
          <w:kern w:val="0"/>
          <w:sz w:val="32"/>
          <w:szCs w:val="32"/>
        </w:rPr>
        <w:t>许多场地的破损是人为引起的，为防止此现象，需要在运动场地门口设立标志作为预防性维护。</w:t>
      </w:r>
    </w:p>
    <w:p>
      <w:pPr>
        <w:overflowPunct w:val="0"/>
        <w:autoSpaceDE w:val="0"/>
        <w:autoSpaceDN w:val="0"/>
        <w:adjustRightInd w:val="0"/>
        <w:spacing w:line="600" w:lineRule="exact"/>
        <w:jc w:val="left"/>
        <w:textAlignment w:val="baseline"/>
        <w:outlineLvl w:val="1"/>
        <w:rPr>
          <w:rFonts w:eastAsia="楷体"/>
          <w:kern w:val="0"/>
          <w:sz w:val="32"/>
          <w:szCs w:val="32"/>
        </w:rPr>
      </w:pPr>
      <w:bookmarkStart w:id="362" w:name="_Toc24251"/>
      <w:bookmarkStart w:id="363" w:name="_Toc24712"/>
      <w:bookmarkStart w:id="364" w:name="_Toc29314"/>
      <w:r>
        <w:rPr>
          <w:rFonts w:hint="eastAsia" w:eastAsia="楷体"/>
          <w:kern w:val="0"/>
          <w:sz w:val="32"/>
          <w:szCs w:val="32"/>
        </w:rPr>
        <w:t>（四）建议切实把体彩公益金预算编制细化</w:t>
      </w:r>
      <w:bookmarkEnd w:id="362"/>
      <w:bookmarkEnd w:id="363"/>
      <w:bookmarkEnd w:id="364"/>
    </w:p>
    <w:p>
      <w:pPr>
        <w:spacing w:line="600" w:lineRule="exact"/>
        <w:rPr>
          <w:rFonts w:eastAsia="仿宋_GB2312"/>
          <w:kern w:val="0"/>
          <w:sz w:val="32"/>
          <w:szCs w:val="32"/>
        </w:rPr>
      </w:pPr>
      <w:r>
        <w:rPr>
          <w:rFonts w:eastAsia="仿宋_GB2312"/>
          <w:kern w:val="0"/>
          <w:sz w:val="32"/>
          <w:szCs w:val="32"/>
        </w:rPr>
        <w:t>体彩公益金预算纳入部门预算管理，按照部门预算编制程序审批。体育行政部门根据体彩公益金预分配方案，组织项目申报，并结合体育事业发展规划和下一年度工作计划，组织申报项目评审，按照政府性基金预算管理要求，汇总、编制体彩公益金预算。申报使用体彩公益金的项目支出必须符合体彩公益金的使用范围。应当贯彻勤俭节约的原则，分类细化编制，不断提高完整性、准确性和精细化程度。</w:t>
      </w:r>
    </w:p>
    <w:p>
      <w:pPr>
        <w:overflowPunct w:val="0"/>
        <w:autoSpaceDE w:val="0"/>
        <w:autoSpaceDN w:val="0"/>
        <w:adjustRightInd w:val="0"/>
        <w:spacing w:line="600" w:lineRule="exact"/>
        <w:textAlignment w:val="baseline"/>
        <w:outlineLvl w:val="0"/>
        <w:rPr>
          <w:rFonts w:eastAsia="黑体"/>
          <w:kern w:val="0"/>
          <w:sz w:val="32"/>
          <w:szCs w:val="32"/>
        </w:rPr>
      </w:pPr>
      <w:bookmarkStart w:id="365" w:name="_Toc15742"/>
      <w:bookmarkStart w:id="366" w:name="_Toc16863"/>
      <w:r>
        <w:rPr>
          <w:rFonts w:hint="eastAsia" w:eastAsia="黑体"/>
          <w:kern w:val="0"/>
          <w:sz w:val="32"/>
          <w:szCs w:val="32"/>
        </w:rPr>
        <w:t>九、</w:t>
      </w:r>
      <w:bookmarkEnd w:id="365"/>
      <w:r>
        <w:rPr>
          <w:rFonts w:hint="eastAsia" w:ascii="黑体" w:hAnsi="黑体" w:eastAsia="黑体"/>
          <w:sz w:val="32"/>
          <w:szCs w:val="32"/>
        </w:rPr>
        <w:t>其他需要说明的问题</w:t>
      </w:r>
      <w:bookmarkEnd w:id="366"/>
    </w:p>
    <w:p>
      <w:pPr>
        <w:spacing w:line="600" w:lineRule="exact"/>
        <w:rPr>
          <w:rFonts w:eastAsia="仿宋_GB2312"/>
          <w:kern w:val="0"/>
          <w:sz w:val="32"/>
          <w:szCs w:val="32"/>
        </w:rPr>
      </w:pPr>
      <w:r>
        <w:rPr>
          <w:rFonts w:hint="eastAsia" w:eastAsia="仿宋_GB2312"/>
          <w:kern w:val="0"/>
          <w:sz w:val="32"/>
          <w:szCs w:val="32"/>
        </w:rPr>
        <w:t>体彩公益金返还金额取决于上级财政部门、体育部门根据当年体育彩票销量按规定比例返还确定，每年，体育事业服务中心使用时按实际使用情况走政府资金签批程序，专项用于全区各项体育工作开展，如：体育场馆免费或低收费开放、体育场馆设施建设与维护，健身器材配置、维护和更新，以及全民健身活动、竞技体育的开展等方面。截止此次报告出具时间，结合政府性基金使用管理规定、兖州区2</w:t>
      </w:r>
      <w:r>
        <w:rPr>
          <w:rFonts w:eastAsia="仿宋_GB2312"/>
          <w:kern w:val="0"/>
          <w:sz w:val="32"/>
          <w:szCs w:val="32"/>
        </w:rPr>
        <w:t>023</w:t>
      </w:r>
      <w:r>
        <w:rPr>
          <w:rFonts w:hint="eastAsia" w:eastAsia="仿宋_GB2312"/>
          <w:kern w:val="0"/>
          <w:sz w:val="32"/>
          <w:szCs w:val="32"/>
        </w:rPr>
        <w:t>年预算编制进度，该项目暂无绩效目标申报表。</w:t>
      </w:r>
    </w:p>
    <w:p>
      <w:pPr>
        <w:pStyle w:val="6"/>
        <w:spacing w:line="600" w:lineRule="exact"/>
        <w:ind w:firstLine="640"/>
        <w:rPr>
          <w:rFonts w:eastAsia="仿宋_GB2312"/>
          <w:b w:val="0"/>
          <w:kern w:val="0"/>
          <w:sz w:val="32"/>
          <w:szCs w:val="32"/>
        </w:rPr>
      </w:pPr>
      <w:bookmarkStart w:id="367" w:name="_Toc22034"/>
      <w:bookmarkStart w:id="368" w:name="_Toc10285"/>
      <w:bookmarkStart w:id="369" w:name="_Toc21137"/>
      <w:bookmarkStart w:id="370" w:name="_Toc23934"/>
    </w:p>
    <w:p>
      <w:pPr>
        <w:pStyle w:val="6"/>
        <w:spacing w:line="600" w:lineRule="exact"/>
        <w:ind w:firstLine="640"/>
        <w:rPr>
          <w:rFonts w:eastAsia="仿宋_GB2312"/>
          <w:b w:val="0"/>
          <w:kern w:val="0"/>
          <w:sz w:val="32"/>
          <w:szCs w:val="32"/>
        </w:rPr>
      </w:pPr>
      <w:r>
        <w:rPr>
          <w:rFonts w:hint="eastAsia" w:eastAsia="仿宋_GB2312"/>
          <w:b w:val="0"/>
          <w:kern w:val="0"/>
          <w:sz w:val="32"/>
          <w:szCs w:val="32"/>
        </w:rPr>
        <w:t>附件：1. 绩效评价得分表</w:t>
      </w:r>
      <w:bookmarkEnd w:id="367"/>
      <w:bookmarkEnd w:id="368"/>
      <w:bookmarkEnd w:id="369"/>
      <w:bookmarkEnd w:id="370"/>
    </w:p>
    <w:p>
      <w:pPr>
        <w:pStyle w:val="6"/>
        <w:spacing w:line="600" w:lineRule="exact"/>
        <w:ind w:firstLine="1600" w:firstLineChars="500"/>
        <w:rPr>
          <w:rFonts w:eastAsia="仿宋_GB2312"/>
          <w:b w:val="0"/>
          <w:kern w:val="0"/>
          <w:sz w:val="32"/>
          <w:szCs w:val="32"/>
        </w:rPr>
      </w:pPr>
      <w:bookmarkStart w:id="371" w:name="_Toc7753"/>
      <w:bookmarkStart w:id="372" w:name="_Toc17531"/>
      <w:bookmarkStart w:id="373" w:name="_Toc4585"/>
      <w:bookmarkStart w:id="374" w:name="_Toc20360"/>
      <w:r>
        <w:rPr>
          <w:rFonts w:hint="eastAsia" w:eastAsia="仿宋_GB2312"/>
          <w:b w:val="0"/>
          <w:kern w:val="0"/>
          <w:sz w:val="32"/>
          <w:szCs w:val="32"/>
        </w:rPr>
        <w:t>2. 问题清单</w:t>
      </w:r>
      <w:bookmarkEnd w:id="371"/>
      <w:bookmarkEnd w:id="372"/>
      <w:bookmarkEnd w:id="373"/>
      <w:bookmarkEnd w:id="374"/>
    </w:p>
    <w:p>
      <w:pPr>
        <w:pStyle w:val="6"/>
        <w:spacing w:line="600" w:lineRule="exact"/>
        <w:ind w:firstLine="1600" w:firstLineChars="500"/>
        <w:rPr>
          <w:rFonts w:eastAsia="仿宋_GB2312"/>
          <w:b w:val="0"/>
          <w:kern w:val="0"/>
          <w:sz w:val="32"/>
          <w:szCs w:val="32"/>
        </w:rPr>
      </w:pPr>
      <w:bookmarkStart w:id="375" w:name="_Toc18099"/>
      <w:bookmarkStart w:id="376" w:name="_Toc11752"/>
      <w:bookmarkStart w:id="377" w:name="_Toc27797"/>
      <w:bookmarkStart w:id="378" w:name="_Toc19003"/>
      <w:r>
        <w:rPr>
          <w:rFonts w:hint="eastAsia" w:eastAsia="仿宋_GB2312"/>
          <w:b w:val="0"/>
          <w:kern w:val="0"/>
          <w:sz w:val="32"/>
          <w:szCs w:val="32"/>
        </w:rPr>
        <w:t>3. 调查分析报告</w:t>
      </w:r>
      <w:bookmarkEnd w:id="375"/>
      <w:bookmarkEnd w:id="376"/>
      <w:bookmarkEnd w:id="377"/>
      <w:bookmarkEnd w:id="378"/>
    </w:p>
    <w:p>
      <w:pPr>
        <w:pStyle w:val="6"/>
        <w:spacing w:line="600" w:lineRule="exact"/>
        <w:ind w:firstLine="1600" w:firstLineChars="500"/>
        <w:rPr>
          <w:rFonts w:eastAsia="仿宋_GB2312"/>
          <w:b w:val="0"/>
          <w:kern w:val="0"/>
          <w:sz w:val="32"/>
          <w:szCs w:val="32"/>
        </w:rPr>
      </w:pPr>
      <w:bookmarkStart w:id="379" w:name="_Toc21265"/>
      <w:bookmarkStart w:id="380" w:name="_Toc5432"/>
      <w:bookmarkStart w:id="381" w:name="_Toc8740"/>
      <w:bookmarkStart w:id="382" w:name="_Toc29779"/>
      <w:r>
        <w:rPr>
          <w:rFonts w:hint="eastAsia" w:eastAsia="仿宋_GB2312"/>
          <w:b w:val="0"/>
          <w:kern w:val="0"/>
          <w:sz w:val="32"/>
          <w:szCs w:val="32"/>
        </w:rPr>
        <w:t>4. 2023年预算项目支出绩效目标表</w:t>
      </w:r>
      <w:bookmarkEnd w:id="379"/>
      <w:bookmarkEnd w:id="380"/>
      <w:bookmarkEnd w:id="381"/>
      <w:bookmarkEnd w:id="382"/>
    </w:p>
    <w:p>
      <w:pPr>
        <w:pStyle w:val="6"/>
        <w:spacing w:line="600" w:lineRule="exact"/>
        <w:ind w:firstLine="640"/>
        <w:rPr>
          <w:rFonts w:eastAsia="仿宋_GB2312"/>
          <w:b w:val="0"/>
          <w:kern w:val="0"/>
          <w:sz w:val="32"/>
          <w:szCs w:val="32"/>
        </w:rPr>
        <w:sectPr>
          <w:footerReference r:id="rId14" w:type="default"/>
          <w:footnotePr>
            <w:numFmt w:val="decimalEnclosedCircleChinese"/>
            <w:numRestart w:val="eachPage"/>
          </w:footnotePr>
          <w:pgSz w:w="11906" w:h="16838"/>
          <w:pgMar w:top="1440" w:right="1800" w:bottom="1440" w:left="1800" w:header="851" w:footer="992" w:gutter="0"/>
          <w:pgNumType w:fmt="numberInDash" w:start="1"/>
          <w:cols w:space="425" w:num="1"/>
          <w:docGrid w:type="lines" w:linePitch="312" w:charSpace="0"/>
        </w:sectPr>
      </w:pPr>
    </w:p>
    <w:p>
      <w:pPr>
        <w:overflowPunct w:val="0"/>
        <w:autoSpaceDE w:val="0"/>
        <w:autoSpaceDN w:val="0"/>
        <w:adjustRightInd w:val="0"/>
        <w:spacing w:line="600" w:lineRule="exact"/>
        <w:ind w:firstLine="1280" w:firstLineChars="400"/>
        <w:textAlignment w:val="baseline"/>
        <w:outlineLvl w:val="0"/>
        <w:rPr>
          <w:rFonts w:eastAsia="黑体"/>
          <w:kern w:val="0"/>
          <w:sz w:val="32"/>
          <w:szCs w:val="32"/>
        </w:rPr>
      </w:pPr>
      <w:bookmarkStart w:id="383" w:name="_Toc27888_WPSOffice_Level1"/>
      <w:bookmarkStart w:id="384" w:name="_Toc24374868"/>
      <w:bookmarkStart w:id="385" w:name="_Toc24374227"/>
      <w:bookmarkStart w:id="386" w:name="_Toc25650546"/>
      <w:bookmarkStart w:id="387" w:name="_Toc24311772"/>
      <w:bookmarkStart w:id="388" w:name="_Toc10714"/>
      <w:r>
        <w:rPr>
          <w:rFonts w:eastAsia="黑体"/>
          <w:kern w:val="0"/>
          <w:sz w:val="32"/>
          <w:szCs w:val="32"/>
        </w:rPr>
        <w:t>附</w:t>
      </w:r>
      <w:r>
        <w:rPr>
          <w:rFonts w:hint="eastAsia" w:eastAsia="黑体"/>
          <w:kern w:val="0"/>
          <w:sz w:val="32"/>
          <w:szCs w:val="32"/>
        </w:rPr>
        <w:t>件</w:t>
      </w:r>
      <w:r>
        <w:rPr>
          <w:rFonts w:eastAsia="黑体"/>
          <w:kern w:val="0"/>
          <w:sz w:val="32"/>
          <w:szCs w:val="32"/>
        </w:rPr>
        <w:t>1：绩效评价</w:t>
      </w:r>
      <w:bookmarkEnd w:id="383"/>
      <w:bookmarkEnd w:id="384"/>
      <w:bookmarkEnd w:id="385"/>
      <w:bookmarkEnd w:id="386"/>
      <w:bookmarkEnd w:id="387"/>
      <w:r>
        <w:rPr>
          <w:rFonts w:hint="eastAsia" w:eastAsia="黑体"/>
          <w:kern w:val="0"/>
          <w:sz w:val="32"/>
          <w:szCs w:val="32"/>
        </w:rPr>
        <w:t>得分表</w:t>
      </w:r>
      <w:bookmarkEnd w:id="388"/>
    </w:p>
    <w:tbl>
      <w:tblPr>
        <w:tblStyle w:val="21"/>
        <w:tblW w:w="1417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69"/>
        <w:gridCol w:w="1163"/>
        <w:gridCol w:w="1765"/>
        <w:gridCol w:w="3291"/>
        <w:gridCol w:w="6231"/>
        <w:gridCol w:w="6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blHeader/>
          <w:jc w:val="center"/>
        </w:trPr>
        <w:tc>
          <w:tcPr>
            <w:tcW w:w="1198"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bookmarkStart w:id="389" w:name="_Hlk27555689"/>
            <w:r>
              <w:rPr>
                <w:rFonts w:hint="eastAsia" w:ascii="黑体" w:hAnsi="黑体" w:eastAsia="黑体" w:cs="宋体"/>
                <w:kern w:val="0"/>
                <w:sz w:val="21"/>
                <w:szCs w:val="21"/>
              </w:rPr>
              <w:t>一级指标</w:t>
            </w:r>
          </w:p>
        </w:tc>
        <w:tc>
          <w:tcPr>
            <w:tcW w:w="1307"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二级指标</w:t>
            </w:r>
          </w:p>
        </w:tc>
        <w:tc>
          <w:tcPr>
            <w:tcW w:w="2000"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三级指标</w:t>
            </w:r>
          </w:p>
        </w:tc>
        <w:tc>
          <w:tcPr>
            <w:tcW w:w="3761"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指标解释</w:t>
            </w:r>
          </w:p>
        </w:tc>
        <w:tc>
          <w:tcPr>
            <w:tcW w:w="7154"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指标说明</w:t>
            </w:r>
          </w:p>
        </w:tc>
        <w:tc>
          <w:tcPr>
            <w:tcW w:w="718" w:type="dxa"/>
            <w:shd w:val="clear" w:color="auto" w:fill="FFFFFF"/>
            <w:vAlign w:val="center"/>
          </w:tcPr>
          <w:p>
            <w:pPr>
              <w:widowControl/>
              <w:spacing w:line="240" w:lineRule="auto"/>
              <w:ind w:firstLine="0" w:firstLineChars="0"/>
              <w:jc w:val="center"/>
              <w:rPr>
                <w:rFonts w:ascii="黑体" w:hAnsi="黑体" w:eastAsia="黑体" w:cs="宋体"/>
                <w:kern w:val="0"/>
                <w:sz w:val="21"/>
                <w:szCs w:val="21"/>
              </w:rPr>
            </w:pPr>
            <w:r>
              <w:rPr>
                <w:rFonts w:hint="eastAsia" w:ascii="黑体" w:hAnsi="黑体" w:eastAsia="黑体" w:cs="宋体"/>
                <w:kern w:val="0"/>
                <w:sz w:val="21"/>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决策</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（20分）</w:t>
            </w: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项目立项（6分）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立项依据充分性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（3分）</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项目立项是否符合法律法规、相关政策、发展规划以及部门职责，用以反映和考核项目立项依据情况。</w:t>
            </w: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①项目立项是否符合国家法律法规、国民经济发展规划和相关政策；</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②项目立项是否符合行业发展规划和政策要求；</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③项目立项是否与部门职责范围相符，属于部门履职所需；</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④项目是否属于公共财政支持范围，是否符合中央、地方事权支出责任划分原则；</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⑤项目是否与相关部门同类项目或部门内部相关项目不重复。</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5项各占1/5权重分，每有一项不满足，则扣除相应权重分。</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立项程序规范性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（3分）</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项目的申请、设立过程是否符合相关要求，用以反映和考核项目立项的规范情况。</w:t>
            </w: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①项目按照规定的程序申请设立；</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②所提交的文件、材料符合相关要求；</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③事前已经过必要的可行性研究、专家论证、风险评估、绩效评估、集体决策等。</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若①②③齐全得权重100%；如不符合①得0分；缺②扣权重1/3；缺③扣权重1/3。</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绩效目标（6分）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绩效目标合理性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项目所设定的绩效目标是否依据充分，是否符合客观实际，用以反映和考核项目绩效目标与项目实施的相符情况。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①项目有绩效目标；</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②项目绩效目标与实际工作内容具有相关性；</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③项目预期产出效益和效果符合正常的业绩水平；</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④绩效目标与预算确定的项目投资额或资金量相匹配。</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4项各占1/4权重分，每有一项不满足，则扣除相应权重分。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绩效指标明确性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依据绩效目标设定的绩效指标是否清晰、细化、可衡量等，用以反映和考核项目绩效目标的明细化情况。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①将项目绩效目标细化分解为具体的绩效指标；</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②指标值清晰、可衡量；</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③指标值与项目年度任务数或计划数相对应。</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3项各占1/3权重分，每有一项不满足，则扣除相应权重分。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资金投入（8分）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预算编制科学性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（4分）</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项目预算编制是否经过科学论证、有明确标准，资金额度与年度目标是否相适应，用以反映和考核项目预算编制的科学性、合理性情况。</w:t>
            </w: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①预算编制经过科学论证；</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②预算内容与项目内容匹配；</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③预算额度测算依据充分，按照标准编制；</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④预算确定的项目投资额或资金量与工作任务相匹配。</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4项各占1/4权重分，每有一项不满足，则扣除相应权重分。</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资金分配合理性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（4分）</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考察项目资金分配是否有测算依据，预算安排内容与专项资金的设立目的及年度工作重点是否一致，用以反映和考核项目预算资金分配的科学性、合理性。</w:t>
            </w: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①项目资金分配有测算依据得1/2权重分；</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②根据预算安排内容与专项资金的设立目的及年度工作重点的匹配程度判断，分别得年度剩余权重的100%、75%、50%、25%和0%。</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过程</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（20分）</w:t>
            </w: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资金管理（8分）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资金到位率</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实际到位资金与预算资金的比率，用以反映和考核2019年度资金落实情况对项目实施的总体保障程度。资金到位率=（实际到位资金/预算资金）*100%。</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资金到位率达100%得相应权重的100%，每下降1%扣5%权重，扣完相应权重为止。</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预算执行率</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（2分）</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项目预算资金是否按照计划执行，用以反映或考核项目预算执行情况。预算执行率=（实际支出金额/实际到位资金）×100%。</w:t>
            </w: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预算执行率达100%，则得满分，每降低1%扣5%权重分，扣完为止。</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资金使用合规性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项目资金使用是否符合相关的财务管理制度规定，用以反映和考核项目资金的规范运行情况。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①符合国家财经法规和财务管理制度以及有关专项资金管理办法的规定；</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②资金的拨付有完整的审批程序和手续；</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③符合项目预算批复或合同规定的用途；</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④不存在截留、挤占、挪用、虚列支出等情况。</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4项全部符合视为使用合规，得满分；存在①或③或④不满足时属于严重违规事项，本项指标不得分；在①③④同时符合，②不符合时，本项指标得75%权重分；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 xml:space="preserve">组织实施（12分） </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管理制度健全性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项目实施单位的管理制度是否健全，是否已制定或具有相应的财务和业务管理制度，财务和业务管理制度是否合法、合规、完整。用以反映和考核财务和业务管理制度对项目顺利实施的保障情况。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①制定或具有相应的财务管理制度；</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②制定或具有相应的业务管理制度；</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③财务管理制度合法、合规、完整；</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④业务管理制度合法、合规、完整。</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4项各占1/4权重分，每有一项不满足，则扣除相应权重分。（需根据实际情况细化制度和修改权重比）</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制度执行有效性</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项目实施是否符合相关管理规定，用以反映和考核相关管理制度的有效执行情况。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①遵守相关法律法规和相关管理规定；</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②项目调整及支出调整手续完备；</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③项目合同书、验收报告、技术鉴定等资料齐全并及时归档；</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④项目实施的人员条件、场地设备、信息支撑等落实到位。</w:t>
            </w:r>
          </w:p>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4项各占1/4权重分，每有一项不满足，则扣除相应权重分。（需根据实际情况细化制度和修改权重比）</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（25分）</w:t>
            </w: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产出数量</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场馆免费低收费开放率（3分）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衡量2021年场馆免费低收费开放率。</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2021年场馆免费低收费开放率达到目标值，得满分，否则根据实际情况由专家酌情打分。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健身器材更新与维修数量（3分）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衡量2021年健身器材更新与维修数量。</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2021年健身器材更新与维修数量达到或超过计划数量，得满分，否则根据实际情况由专家酌情打分。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“县校品牌”体育项目完成率（2分）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衡量2021年“县校品牌”体育项目完成率。</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2021年“县校品牌”体育项目完成率达到目标值，得满分，否则根据实际情况由专家酌情打分。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产出质量（6分）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体育馆运营服务服务质量达标率（3分）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衡量体育馆运营服务服务质量达标率。</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体育馆运营服务服务质量达标率达到100%，得满分；否则不得分。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是否圆满完成年初任务，无安全事故或治安事件发生（3分）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衡量是否圆满完成年初任务，无安全事故或治安事件发生。</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无安全事故或治安事件发生，则得满分，否则不得分。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产出时效</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场馆破损维修及时率（5分）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衡量场馆破损维修及时率。</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场馆破损维修及时率达到100%，得满分；否则不得分。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产出成本</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成本节约率（6分）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完成项目计划工作目标的实际节约成本与计划成本的比率，用以反映和考核项目的成本节约程度。成本节约率=[（计划成本-实际成本）/计划成本]×100%。</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实际成本：项目实施单位如期、保质、保量完成既定工作目标实际所耗费的支出。</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计划成本：项目实施单位为完成工作目标计划安排的支出，一般以项目预算为参考。</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成本节约率大于0%且低于15%，则得满分，每高于（15%）或低于（0%）1%，扣除5%权重分，扣完为止。</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效益</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（35分）</w:t>
            </w:r>
          </w:p>
        </w:tc>
        <w:tc>
          <w:tcPr>
            <w:tcW w:w="1307"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经济效益</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体育馆低收费运营收入（10分）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衡量体育馆低收费运营收入。</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体育馆低收费运营收入，完成目标任务的得满分，否则可根据专家判断可得75%、50%、20%、0的权重分。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社会效益（20分）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体育馆免费低收费开放惠及人次（10分）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衡量体育馆免费低收费开放惠及人次。</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项体育馆免费低收费开放惠及人次，完成目标任务的得满分，否则可根据专家判断可得75%、50%、20%、0的权重分。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健身环境（5分）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衡量健身环境提升情况。</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健身环境显著提升得满分，否则可根据专家判断可得75%、50%、20%、0的权重分。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体育获奖人次（5分）</w:t>
            </w:r>
          </w:p>
        </w:tc>
        <w:tc>
          <w:tcPr>
            <w:tcW w:w="376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衡量体育获奖人次。</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衡量体育获奖人次，完成目标任务的得满分，否则可根据专家判断可得75%、50%、20%、0的权重分。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满意度</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（5分）</w:t>
            </w: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群众满意度（2.5分）</w:t>
            </w:r>
          </w:p>
        </w:tc>
        <w:tc>
          <w:tcPr>
            <w:tcW w:w="3761" w:type="dxa"/>
            <w:vMerge w:val="restart"/>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考察服务对象以及上级主管部门对项目实施效果的满意程度。</w:t>
            </w:r>
          </w:p>
        </w:tc>
        <w:tc>
          <w:tcPr>
            <w:tcW w:w="7154" w:type="dxa"/>
            <w:shd w:val="clear" w:color="000000"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群众满意度达90%及以上，则得满分，每降低1%，扣除5%权重分。</w:t>
            </w:r>
          </w:p>
        </w:tc>
        <w:tc>
          <w:tcPr>
            <w:tcW w:w="71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198"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1307"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2000"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主管部门满意度</w:t>
            </w:r>
          </w:p>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（2.5分）</w:t>
            </w:r>
          </w:p>
        </w:tc>
        <w:tc>
          <w:tcPr>
            <w:tcW w:w="3761"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left"/>
              <w:textAlignment w:val="baseline"/>
              <w:rPr>
                <w:rFonts w:ascii="仿宋" w:hAnsi="仿宋" w:eastAsia="仿宋" w:cs="仿宋"/>
                <w:caps/>
                <w:kern w:val="0"/>
                <w:sz w:val="21"/>
                <w:szCs w:val="21"/>
              </w:rPr>
            </w:pPr>
            <w:r>
              <w:rPr>
                <w:rFonts w:hint="eastAsia" w:ascii="仿宋" w:hAnsi="仿宋" w:eastAsia="仿宋" w:cs="仿宋"/>
                <w:caps/>
                <w:kern w:val="0"/>
                <w:sz w:val="21"/>
                <w:szCs w:val="21"/>
              </w:rPr>
              <w:t>主管部门满意度达90%及以上，则得满分，每降低1%，扣除5%权重分。</w:t>
            </w: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4505" w:type="dxa"/>
            <w:gridSpan w:val="3"/>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合计</w:t>
            </w:r>
          </w:p>
        </w:tc>
        <w:tc>
          <w:tcPr>
            <w:tcW w:w="376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7154"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p>
        </w:tc>
        <w:tc>
          <w:tcPr>
            <w:tcW w:w="71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ascii="仿宋" w:hAnsi="仿宋" w:eastAsia="仿宋" w:cs="仿宋"/>
                <w:caps/>
                <w:kern w:val="0"/>
                <w:sz w:val="21"/>
                <w:szCs w:val="21"/>
              </w:rPr>
            </w:pPr>
            <w:r>
              <w:rPr>
                <w:rFonts w:hint="eastAsia" w:ascii="仿宋" w:hAnsi="仿宋" w:eastAsia="仿宋" w:cs="仿宋"/>
                <w:caps/>
                <w:kern w:val="0"/>
                <w:sz w:val="21"/>
                <w:szCs w:val="21"/>
              </w:rPr>
              <w:t>88</w:t>
            </w:r>
          </w:p>
        </w:tc>
      </w:tr>
      <w:bookmarkEnd w:id="389"/>
    </w:tbl>
    <w:p>
      <w:pPr>
        <w:ind w:firstLine="0" w:firstLineChars="0"/>
      </w:pPr>
    </w:p>
    <w:p>
      <w:pPr>
        <w:pStyle w:val="2"/>
        <w:ind w:firstLine="540"/>
        <w:sectPr>
          <w:headerReference r:id="rId15" w:type="default"/>
          <w:footnotePr>
            <w:numFmt w:val="decimalEnclosedCircleChinese"/>
            <w:numRestart w:val="eachPage"/>
          </w:footnotePr>
          <w:pgSz w:w="19221" w:h="12191" w:orient="landscape"/>
          <w:pgMar w:top="1800" w:right="1440" w:bottom="1800" w:left="1440" w:header="851" w:footer="992" w:gutter="0"/>
          <w:pgNumType w:fmt="numberInDash"/>
          <w:cols w:space="425" w:num="1"/>
          <w:docGrid w:type="lines" w:linePitch="312" w:charSpace="0"/>
        </w:sectPr>
      </w:pPr>
    </w:p>
    <w:p>
      <w:pPr>
        <w:overflowPunct w:val="0"/>
        <w:autoSpaceDE w:val="0"/>
        <w:autoSpaceDN w:val="0"/>
        <w:adjustRightInd w:val="0"/>
        <w:spacing w:line="600" w:lineRule="exact"/>
        <w:ind w:firstLine="0" w:firstLineChars="0"/>
        <w:textAlignment w:val="baseline"/>
        <w:outlineLvl w:val="0"/>
        <w:rPr>
          <w:rFonts w:eastAsia="黑体"/>
          <w:kern w:val="0"/>
          <w:sz w:val="32"/>
          <w:szCs w:val="32"/>
        </w:rPr>
      </w:pPr>
      <w:bookmarkStart w:id="390" w:name="_Toc24311777"/>
      <w:bookmarkStart w:id="391" w:name="_Toc25650551"/>
      <w:bookmarkStart w:id="392" w:name="_Toc24374232"/>
      <w:bookmarkStart w:id="393" w:name="_Toc24374873"/>
      <w:bookmarkStart w:id="394" w:name="_Toc15469"/>
      <w:r>
        <w:rPr>
          <w:rFonts w:eastAsia="黑体"/>
          <w:kern w:val="0"/>
          <w:sz w:val="32"/>
          <w:szCs w:val="32"/>
        </w:rPr>
        <w:t>附</w:t>
      </w:r>
      <w:r>
        <w:rPr>
          <w:rFonts w:hint="eastAsia" w:eastAsia="黑体"/>
          <w:kern w:val="0"/>
          <w:sz w:val="32"/>
          <w:szCs w:val="32"/>
        </w:rPr>
        <w:t>件</w:t>
      </w:r>
      <w:r>
        <w:rPr>
          <w:rFonts w:eastAsia="黑体"/>
          <w:kern w:val="0"/>
          <w:sz w:val="32"/>
          <w:szCs w:val="32"/>
        </w:rPr>
        <w:t>2：</w:t>
      </w:r>
      <w:bookmarkEnd w:id="390"/>
      <w:bookmarkEnd w:id="391"/>
      <w:bookmarkEnd w:id="392"/>
      <w:bookmarkEnd w:id="393"/>
      <w:r>
        <w:rPr>
          <w:rFonts w:hint="eastAsia" w:eastAsia="黑体"/>
          <w:kern w:val="0"/>
          <w:sz w:val="32"/>
          <w:szCs w:val="32"/>
        </w:rPr>
        <w:t>问题清单</w:t>
      </w:r>
      <w:bookmarkEnd w:id="394"/>
    </w:p>
    <w:p>
      <w:pPr>
        <w:ind w:firstLine="540"/>
      </w:pPr>
    </w:p>
    <w:tbl>
      <w:tblPr>
        <w:tblStyle w:val="21"/>
        <w:tblW w:w="8601" w:type="dxa"/>
        <w:tblInd w:w="93" w:type="dxa"/>
        <w:tblLayout w:type="fixed"/>
        <w:tblCellMar>
          <w:top w:w="0" w:type="dxa"/>
          <w:left w:w="108" w:type="dxa"/>
          <w:bottom w:w="0" w:type="dxa"/>
          <w:right w:w="108" w:type="dxa"/>
        </w:tblCellMar>
      </w:tblPr>
      <w:tblGrid>
        <w:gridCol w:w="2203"/>
        <w:gridCol w:w="659"/>
        <w:gridCol w:w="3704"/>
        <w:gridCol w:w="2035"/>
      </w:tblGrid>
      <w:tr>
        <w:tblPrEx>
          <w:tblCellMar>
            <w:top w:w="0" w:type="dxa"/>
            <w:left w:w="108" w:type="dxa"/>
            <w:bottom w:w="0" w:type="dxa"/>
            <w:right w:w="108" w:type="dxa"/>
          </w:tblCellMar>
        </w:tblPrEx>
        <w:trPr>
          <w:trHeight w:val="375"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黑体" w:hAnsi="宋体" w:eastAsia="黑体" w:cs="黑体"/>
                <w:color w:val="000000"/>
                <w:sz w:val="21"/>
                <w:szCs w:val="21"/>
              </w:rPr>
            </w:pPr>
            <w:r>
              <w:rPr>
                <w:rFonts w:hint="eastAsia" w:ascii="黑体" w:hAnsi="宋体" w:eastAsia="黑体" w:cs="黑体"/>
                <w:color w:val="000000"/>
                <w:kern w:val="0"/>
                <w:sz w:val="21"/>
                <w:szCs w:val="21"/>
                <w:lang w:bidi="ar"/>
              </w:rPr>
              <w:t>问题分类</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黑体" w:hAnsi="宋体" w:eastAsia="黑体" w:cs="黑体"/>
                <w:color w:val="000000"/>
                <w:sz w:val="21"/>
                <w:szCs w:val="21"/>
              </w:rPr>
            </w:pPr>
            <w:r>
              <w:rPr>
                <w:rFonts w:hint="eastAsia" w:ascii="黑体" w:hAnsi="宋体" w:eastAsia="黑体" w:cs="黑体"/>
                <w:color w:val="000000"/>
                <w:kern w:val="0"/>
                <w:sz w:val="21"/>
                <w:szCs w:val="21"/>
                <w:lang w:bidi="ar"/>
              </w:rPr>
              <w:t>序号</w:t>
            </w:r>
          </w:p>
        </w:tc>
        <w:tc>
          <w:tcPr>
            <w:tcW w:w="3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黑体" w:hAnsi="宋体" w:eastAsia="黑体" w:cs="黑体"/>
                <w:color w:val="000000"/>
                <w:sz w:val="21"/>
                <w:szCs w:val="21"/>
              </w:rPr>
            </w:pPr>
            <w:r>
              <w:rPr>
                <w:rFonts w:hint="eastAsia" w:ascii="黑体" w:hAnsi="宋体" w:eastAsia="黑体" w:cs="黑体"/>
                <w:color w:val="000000"/>
                <w:kern w:val="0"/>
                <w:sz w:val="21"/>
                <w:szCs w:val="21"/>
                <w:lang w:bidi="ar"/>
              </w:rPr>
              <w:t>问题描述</w:t>
            </w:r>
          </w:p>
        </w:tc>
        <w:tc>
          <w:tcPr>
            <w:tcW w:w="2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textAlignment w:val="center"/>
              <w:rPr>
                <w:rFonts w:ascii="黑体" w:hAnsi="宋体" w:eastAsia="黑体" w:cs="黑体"/>
                <w:color w:val="000000"/>
                <w:sz w:val="21"/>
                <w:szCs w:val="21"/>
              </w:rPr>
            </w:pPr>
            <w:r>
              <w:rPr>
                <w:rFonts w:hint="eastAsia" w:ascii="黑体" w:hAnsi="宋体" w:eastAsia="黑体" w:cs="黑体"/>
                <w:color w:val="000000"/>
                <w:kern w:val="0"/>
                <w:sz w:val="21"/>
                <w:szCs w:val="21"/>
                <w:lang w:bidi="ar"/>
              </w:rPr>
              <w:t>项目责任单位</w:t>
            </w:r>
          </w:p>
        </w:tc>
      </w:tr>
      <w:tr>
        <w:tblPrEx>
          <w:tblCellMar>
            <w:top w:w="0" w:type="dxa"/>
            <w:left w:w="108" w:type="dxa"/>
            <w:bottom w:w="0" w:type="dxa"/>
            <w:right w:w="108" w:type="dxa"/>
          </w:tblCellMar>
        </w:tblPrEx>
        <w:trPr>
          <w:trHeight w:val="774"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项目立项存在的问题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绩效指标不够细化、量化</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449"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资金落实存在的问题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未编制体彩公益金项目预算</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1287" w:hRule="atLeast"/>
        </w:trPr>
        <w:tc>
          <w:tcPr>
            <w:tcW w:w="2203"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业务管理存在的问题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kern w:val="0"/>
                <w:sz w:val="21"/>
                <w:szCs w:val="21"/>
                <w:lang w:bidi="ar"/>
              </w:rPr>
              <w:t>未制定对第三方运营服务公司相关考核监管细则</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939" w:hRule="atLeast"/>
        </w:trPr>
        <w:tc>
          <w:tcPr>
            <w:tcW w:w="2203" w:type="dxa"/>
            <w:vMerge w:val="continue"/>
            <w:tcBorders>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sz w:val="21"/>
                <w:szCs w:val="21"/>
              </w:rPr>
              <w:t>2</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kern w:val="0"/>
                <w:sz w:val="21"/>
                <w:szCs w:val="21"/>
                <w:lang w:bidi="ar"/>
              </w:rPr>
              <w:t>未及时组织老体育中心室外羽毛球、篮球场地面维修</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90"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项目产出存在的问题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kern w:val="0"/>
                <w:sz w:val="21"/>
                <w:szCs w:val="21"/>
                <w:lang w:bidi="ar"/>
              </w:rPr>
              <w:t>项目开展不均衡，一些项目实施率较低。</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90" w:hRule="atLeast"/>
        </w:trPr>
        <w:tc>
          <w:tcPr>
            <w:tcW w:w="22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sz w:val="21"/>
                <w:szCs w:val="21"/>
              </w:rPr>
            </w:pPr>
            <w:r>
              <w:rPr>
                <w:rFonts w:hint="eastAsia" w:ascii="宋体" w:hAnsi="宋体" w:cs="宋体"/>
                <w:color w:val="000000"/>
                <w:kern w:val="0"/>
                <w:sz w:val="21"/>
                <w:szCs w:val="21"/>
                <w:lang w:bidi="ar"/>
              </w:rPr>
              <w:t>项目效益存在的问题</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textAlignment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1</w:t>
            </w:r>
          </w:p>
        </w:tc>
        <w:tc>
          <w:tcPr>
            <w:tcW w:w="3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kern w:val="0"/>
                <w:sz w:val="21"/>
                <w:szCs w:val="21"/>
                <w:lang w:bidi="ar"/>
              </w:rPr>
            </w:pPr>
            <w:r>
              <w:rPr>
                <w:rFonts w:hint="eastAsia" w:ascii="宋体" w:hAnsi="宋体" w:cs="宋体"/>
                <w:color w:val="000000"/>
                <w:kern w:val="0"/>
                <w:sz w:val="21"/>
                <w:szCs w:val="21"/>
                <w:lang w:bidi="ar"/>
              </w:rPr>
              <w:t>无</w:t>
            </w:r>
          </w:p>
        </w:tc>
        <w:tc>
          <w:tcPr>
            <w:tcW w:w="20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宋体" w:hAnsi="宋体" w:cs="宋体"/>
                <w:color w:val="000000"/>
                <w:sz w:val="21"/>
                <w:szCs w:val="21"/>
              </w:rPr>
            </w:pPr>
            <w:r>
              <w:rPr>
                <w:rFonts w:hint="eastAsia" w:ascii="宋体" w:hAnsi="宋体" w:cs="宋体"/>
                <w:color w:val="000000"/>
                <w:sz w:val="21"/>
                <w:szCs w:val="21"/>
              </w:rPr>
              <w:t>济宁市兖州区教育和体育局</w:t>
            </w:r>
          </w:p>
        </w:tc>
      </w:tr>
      <w:tr>
        <w:tblPrEx>
          <w:tblCellMar>
            <w:top w:w="0" w:type="dxa"/>
            <w:left w:w="108" w:type="dxa"/>
            <w:bottom w:w="0" w:type="dxa"/>
            <w:right w:w="108" w:type="dxa"/>
          </w:tblCellMar>
        </w:tblPrEx>
        <w:trPr>
          <w:trHeight w:val="375" w:hRule="atLeast"/>
        </w:trPr>
        <w:tc>
          <w:tcPr>
            <w:tcW w:w="8601"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ind w:firstLine="0" w:firstLineChars="0"/>
              <w:jc w:val="left"/>
              <w:textAlignment w:val="top"/>
              <w:rPr>
                <w:rFonts w:ascii="宋体" w:hAnsi="宋体" w:cs="宋体"/>
                <w:color w:val="000000"/>
                <w:sz w:val="21"/>
                <w:szCs w:val="21"/>
              </w:rPr>
            </w:pPr>
            <w:r>
              <w:rPr>
                <w:rFonts w:hint="eastAsia" w:ascii="宋体" w:hAnsi="宋体" w:cs="宋体"/>
                <w:color w:val="000000"/>
                <w:kern w:val="0"/>
                <w:sz w:val="21"/>
                <w:szCs w:val="21"/>
                <w:lang w:bidi="ar"/>
              </w:rPr>
              <w:t>备注：</w:t>
            </w:r>
          </w:p>
        </w:tc>
      </w:tr>
    </w:tbl>
    <w:p>
      <w:pPr>
        <w:ind w:firstLine="540"/>
      </w:pPr>
      <w:r>
        <w:br w:type="page"/>
      </w:r>
    </w:p>
    <w:p>
      <w:pPr>
        <w:overflowPunct w:val="0"/>
        <w:autoSpaceDE w:val="0"/>
        <w:autoSpaceDN w:val="0"/>
        <w:adjustRightInd w:val="0"/>
        <w:spacing w:line="600" w:lineRule="exact"/>
        <w:ind w:firstLine="0" w:firstLineChars="0"/>
        <w:textAlignment w:val="baseline"/>
        <w:outlineLvl w:val="0"/>
        <w:rPr>
          <w:rFonts w:eastAsia="黑体"/>
          <w:kern w:val="0"/>
          <w:sz w:val="32"/>
          <w:szCs w:val="32"/>
        </w:rPr>
      </w:pPr>
      <w:bookmarkStart w:id="395" w:name="_Toc17092"/>
      <w:r>
        <w:rPr>
          <w:rFonts w:eastAsia="黑体"/>
          <w:kern w:val="0"/>
          <w:sz w:val="32"/>
          <w:szCs w:val="32"/>
        </w:rPr>
        <w:t>附</w:t>
      </w:r>
      <w:r>
        <w:rPr>
          <w:rFonts w:hint="eastAsia" w:eastAsia="黑体"/>
          <w:kern w:val="0"/>
          <w:sz w:val="32"/>
          <w:szCs w:val="32"/>
        </w:rPr>
        <w:t>件3</w:t>
      </w:r>
      <w:r>
        <w:rPr>
          <w:rFonts w:eastAsia="黑体"/>
          <w:kern w:val="0"/>
          <w:sz w:val="32"/>
          <w:szCs w:val="32"/>
        </w:rPr>
        <w:t>：调查</w:t>
      </w:r>
      <w:r>
        <w:rPr>
          <w:rFonts w:hint="eastAsia" w:eastAsia="黑体"/>
          <w:kern w:val="0"/>
          <w:sz w:val="32"/>
          <w:szCs w:val="32"/>
        </w:rPr>
        <w:t>分析报告</w:t>
      </w:r>
      <w:bookmarkEnd w:id="395"/>
    </w:p>
    <w:p>
      <w:pPr>
        <w:pStyle w:val="4"/>
        <w:ind w:firstLine="0" w:firstLineChars="0"/>
        <w:jc w:val="center"/>
        <w:rPr>
          <w:rFonts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rPr>
        <w:t>2021年度用于体育事业的彩票公益金支出项目绩效评价调查分析报告</w:t>
      </w:r>
    </w:p>
    <w:p>
      <w:pPr>
        <w:pStyle w:val="4"/>
        <w:spacing w:line="580" w:lineRule="exact"/>
        <w:rPr>
          <w:rFonts w:ascii="黑体" w:hAnsi="黑体" w:eastAsia="黑体"/>
          <w:bCs/>
          <w:sz w:val="32"/>
          <w:szCs w:val="32"/>
        </w:rPr>
      </w:pPr>
    </w:p>
    <w:p>
      <w:pPr>
        <w:overflowPunct w:val="0"/>
        <w:autoSpaceDE w:val="0"/>
        <w:autoSpaceDN w:val="0"/>
        <w:adjustRightInd w:val="0"/>
        <w:spacing w:line="600" w:lineRule="exact"/>
        <w:textAlignment w:val="baseline"/>
        <w:outlineLvl w:val="0"/>
        <w:rPr>
          <w:rFonts w:eastAsia="黑体"/>
          <w:kern w:val="0"/>
          <w:sz w:val="32"/>
          <w:szCs w:val="32"/>
        </w:rPr>
      </w:pPr>
      <w:bookmarkStart w:id="396" w:name="_Toc1100"/>
      <w:bookmarkStart w:id="397" w:name="_Toc1020"/>
      <w:bookmarkStart w:id="398" w:name="_Toc17338"/>
      <w:r>
        <w:rPr>
          <w:rFonts w:hint="eastAsia" w:eastAsia="黑体"/>
          <w:kern w:val="0"/>
          <w:sz w:val="32"/>
          <w:szCs w:val="32"/>
        </w:rPr>
        <w:t>一、调查背景</w:t>
      </w:r>
      <w:bookmarkEnd w:id="396"/>
      <w:bookmarkEnd w:id="397"/>
      <w:bookmarkEnd w:id="398"/>
    </w:p>
    <w:p>
      <w:pPr>
        <w:spacing w:line="600" w:lineRule="exact"/>
        <w:rPr>
          <w:rFonts w:eastAsia="仿宋_GB2312"/>
          <w:kern w:val="0"/>
          <w:sz w:val="32"/>
          <w:szCs w:val="32"/>
        </w:rPr>
      </w:pPr>
      <w:r>
        <w:rPr>
          <w:rFonts w:hint="eastAsia" w:eastAsia="仿宋_GB2312"/>
          <w:kern w:val="0"/>
          <w:sz w:val="32"/>
          <w:szCs w:val="32"/>
        </w:rPr>
        <w:t>针对2021年度用于体育事业的彩票公益金支出项目，逐项调查济宁市兖州区体育事业发展中心在项目执行过程中的项目决策、项目管理和项目绩效情况，主要涉及项目执行过程中的投入建设、管理制度建设、资金使用规范性、项目资金的使用和产出效果等，全面评价项目绩效状况。在此基础上，针对项目执行过程中存在的问题及不足，提出针对性的改进意见，以促进项目单位的项目管理水平，提升项目实施效果和财政资金的使用效益，为下一步的预算资金安排和完善提供参考。</w:t>
      </w:r>
      <w:bookmarkStart w:id="399" w:name="OLE_LINK1"/>
      <w:bookmarkEnd w:id="399"/>
    </w:p>
    <w:p>
      <w:pPr>
        <w:overflowPunct w:val="0"/>
        <w:autoSpaceDE w:val="0"/>
        <w:autoSpaceDN w:val="0"/>
        <w:adjustRightInd w:val="0"/>
        <w:spacing w:line="600" w:lineRule="exact"/>
        <w:textAlignment w:val="baseline"/>
        <w:outlineLvl w:val="0"/>
        <w:rPr>
          <w:rFonts w:eastAsia="黑体"/>
          <w:kern w:val="0"/>
          <w:sz w:val="32"/>
          <w:szCs w:val="32"/>
        </w:rPr>
      </w:pPr>
      <w:bookmarkStart w:id="400" w:name="_Toc2705"/>
      <w:bookmarkStart w:id="401" w:name="_Toc22604"/>
      <w:bookmarkStart w:id="402" w:name="_Toc29988"/>
      <w:r>
        <w:rPr>
          <w:rFonts w:hint="eastAsia" w:eastAsia="黑体"/>
          <w:kern w:val="0"/>
          <w:sz w:val="32"/>
          <w:szCs w:val="32"/>
        </w:rPr>
        <w:t>二、调查问卷内容</w:t>
      </w:r>
      <w:bookmarkEnd w:id="400"/>
      <w:bookmarkEnd w:id="401"/>
      <w:bookmarkEnd w:id="402"/>
    </w:p>
    <w:p>
      <w:pPr>
        <w:pStyle w:val="5"/>
        <w:keepNext w:val="0"/>
        <w:keepLines w:val="0"/>
        <w:tabs>
          <w:tab w:val="left" w:pos="5360"/>
        </w:tabs>
        <w:spacing w:line="580" w:lineRule="exact"/>
        <w:rPr>
          <w:rFonts w:ascii="楷体_GB2312" w:hAnsi="楷体_GB2312" w:eastAsia="楷体" w:cs="仿宋_GB2312"/>
          <w:b w:val="0"/>
          <w:sz w:val="32"/>
          <w:szCs w:val="32"/>
        </w:rPr>
      </w:pPr>
      <w:bookmarkStart w:id="403" w:name="_Toc5476"/>
      <w:bookmarkStart w:id="404" w:name="_Toc26808"/>
      <w:bookmarkStart w:id="405" w:name="_Toc32168"/>
      <w:r>
        <w:rPr>
          <w:rFonts w:hint="eastAsia" w:ascii="楷体_GB2312" w:hAnsi="楷体_GB2312" w:eastAsia="楷体" w:cs="仿宋_GB2312"/>
          <w:b w:val="0"/>
          <w:sz w:val="32"/>
          <w:szCs w:val="32"/>
        </w:rPr>
        <w:t>（一）调查对象基本信息</w:t>
      </w:r>
      <w:bookmarkEnd w:id="403"/>
      <w:bookmarkEnd w:id="404"/>
      <w:bookmarkEnd w:id="405"/>
      <w:r>
        <w:rPr>
          <w:rFonts w:hint="eastAsia" w:ascii="楷体_GB2312" w:hAnsi="楷体_GB2312" w:eastAsia="楷体" w:cs="仿宋_GB2312"/>
          <w:b w:val="0"/>
          <w:sz w:val="32"/>
          <w:szCs w:val="32"/>
        </w:rPr>
        <w:tab/>
      </w:r>
    </w:p>
    <w:p>
      <w:pPr>
        <w:spacing w:line="600" w:lineRule="exact"/>
        <w:rPr>
          <w:rFonts w:eastAsia="仿宋_GB2312"/>
          <w:kern w:val="0"/>
          <w:sz w:val="32"/>
          <w:szCs w:val="32"/>
        </w:rPr>
      </w:pPr>
      <w:r>
        <w:rPr>
          <w:rFonts w:hint="eastAsia" w:eastAsia="仿宋_GB2312"/>
          <w:kern w:val="0"/>
          <w:sz w:val="32"/>
          <w:szCs w:val="32"/>
        </w:rPr>
        <w:t>本次调研对象为兖州区公共体育设施场内使用人员。</w:t>
      </w:r>
    </w:p>
    <w:p>
      <w:pPr>
        <w:pStyle w:val="5"/>
        <w:keepNext w:val="0"/>
        <w:keepLines w:val="0"/>
        <w:tabs>
          <w:tab w:val="left" w:pos="5360"/>
        </w:tabs>
        <w:spacing w:line="580" w:lineRule="exact"/>
        <w:rPr>
          <w:rFonts w:ascii="楷体_GB2312" w:hAnsi="楷体_GB2312" w:eastAsia="楷体" w:cs="仿宋_GB2312"/>
          <w:b w:val="0"/>
          <w:sz w:val="32"/>
          <w:szCs w:val="32"/>
        </w:rPr>
      </w:pPr>
      <w:bookmarkStart w:id="406" w:name="_Toc27187"/>
      <w:bookmarkStart w:id="407" w:name="_Toc10518"/>
      <w:bookmarkStart w:id="408" w:name="_Toc31107"/>
      <w:r>
        <w:rPr>
          <w:rFonts w:hint="eastAsia" w:ascii="楷体_GB2312" w:hAnsi="楷体_GB2312" w:eastAsia="楷体" w:cs="仿宋_GB2312"/>
          <w:b w:val="0"/>
          <w:sz w:val="32"/>
          <w:szCs w:val="32"/>
        </w:rPr>
        <w:t>（二）调查对象基本问题</w:t>
      </w:r>
      <w:bookmarkEnd w:id="406"/>
      <w:bookmarkEnd w:id="407"/>
      <w:bookmarkEnd w:id="408"/>
    </w:p>
    <w:p>
      <w:pPr>
        <w:spacing w:line="600" w:lineRule="exact"/>
        <w:rPr>
          <w:rFonts w:eastAsia="仿宋_GB2312"/>
          <w:kern w:val="0"/>
          <w:sz w:val="32"/>
          <w:szCs w:val="32"/>
        </w:rPr>
      </w:pPr>
      <w:r>
        <w:rPr>
          <w:rFonts w:hint="eastAsia" w:eastAsia="仿宋_GB2312"/>
          <w:kern w:val="0"/>
          <w:sz w:val="32"/>
          <w:szCs w:val="32"/>
        </w:rPr>
        <w:t>为了了解兖州区居民对2021年兖州区公共体育设施维护管理服务满意程度，了解其对相关工作的意见和建议，评价工作组开展了项目满意度调查工作。</w:t>
      </w:r>
    </w:p>
    <w:p>
      <w:pPr>
        <w:overflowPunct w:val="0"/>
        <w:autoSpaceDE w:val="0"/>
        <w:autoSpaceDN w:val="0"/>
        <w:adjustRightInd w:val="0"/>
        <w:spacing w:line="600" w:lineRule="exact"/>
        <w:textAlignment w:val="baseline"/>
        <w:outlineLvl w:val="0"/>
        <w:rPr>
          <w:rFonts w:eastAsia="黑体"/>
          <w:kern w:val="0"/>
          <w:sz w:val="32"/>
          <w:szCs w:val="32"/>
        </w:rPr>
      </w:pPr>
      <w:bookmarkStart w:id="409" w:name="_Toc3675"/>
      <w:bookmarkStart w:id="410" w:name="_Toc22772"/>
      <w:bookmarkStart w:id="411" w:name="_Toc17086"/>
      <w:r>
        <w:rPr>
          <w:rFonts w:hint="eastAsia" w:eastAsia="黑体"/>
          <w:kern w:val="0"/>
          <w:sz w:val="32"/>
          <w:szCs w:val="32"/>
        </w:rPr>
        <w:t>三、调查方式及计划</w:t>
      </w:r>
      <w:bookmarkEnd w:id="409"/>
      <w:bookmarkEnd w:id="410"/>
      <w:bookmarkEnd w:id="411"/>
    </w:p>
    <w:p>
      <w:pPr>
        <w:pStyle w:val="5"/>
        <w:keepNext w:val="0"/>
        <w:keepLines w:val="0"/>
        <w:tabs>
          <w:tab w:val="left" w:pos="5360"/>
        </w:tabs>
        <w:spacing w:line="580" w:lineRule="exact"/>
        <w:rPr>
          <w:rFonts w:ascii="楷体_GB2312" w:hAnsi="楷体_GB2312" w:eastAsia="楷体" w:cs="仿宋_GB2312"/>
          <w:b w:val="0"/>
          <w:sz w:val="32"/>
          <w:szCs w:val="32"/>
        </w:rPr>
      </w:pPr>
      <w:bookmarkStart w:id="412" w:name="_Toc17496"/>
      <w:bookmarkStart w:id="413" w:name="_Toc20691"/>
      <w:bookmarkStart w:id="414" w:name="_Toc15386"/>
      <w:bookmarkStart w:id="415" w:name="_Hlk120307136"/>
      <w:r>
        <w:rPr>
          <w:rFonts w:hint="eastAsia" w:ascii="楷体_GB2312" w:hAnsi="楷体_GB2312" w:eastAsia="楷体" w:cs="仿宋_GB2312"/>
          <w:b w:val="0"/>
          <w:sz w:val="32"/>
          <w:szCs w:val="32"/>
        </w:rPr>
        <w:t>（一）调查方式</w:t>
      </w:r>
      <w:bookmarkEnd w:id="412"/>
      <w:bookmarkEnd w:id="413"/>
      <w:bookmarkEnd w:id="414"/>
    </w:p>
    <w:p>
      <w:pPr>
        <w:spacing w:line="600" w:lineRule="exact"/>
        <w:rPr>
          <w:rFonts w:eastAsia="仿宋_GB2312"/>
          <w:kern w:val="0"/>
          <w:sz w:val="32"/>
          <w:szCs w:val="32"/>
        </w:rPr>
      </w:pPr>
      <w:r>
        <w:rPr>
          <w:rFonts w:hint="eastAsia" w:eastAsia="仿宋_GB2312"/>
          <w:kern w:val="0"/>
          <w:sz w:val="32"/>
          <w:szCs w:val="32"/>
        </w:rPr>
        <w:t>针对上述问卷对象开展问卷调查，在全面调研开展之前先进行论证，根据论证结果对问卷和抽样方式进行修改调整。</w:t>
      </w:r>
    </w:p>
    <w:p>
      <w:pPr>
        <w:pStyle w:val="5"/>
        <w:keepNext w:val="0"/>
        <w:keepLines w:val="0"/>
        <w:tabs>
          <w:tab w:val="left" w:pos="5360"/>
        </w:tabs>
        <w:spacing w:line="580" w:lineRule="exact"/>
        <w:rPr>
          <w:rFonts w:ascii="楷体_GB2312" w:hAnsi="楷体_GB2312" w:eastAsia="楷体" w:cs="仿宋_GB2312"/>
          <w:b w:val="0"/>
          <w:sz w:val="32"/>
          <w:szCs w:val="32"/>
        </w:rPr>
      </w:pPr>
      <w:bookmarkStart w:id="416" w:name="_Toc9776"/>
      <w:bookmarkStart w:id="417" w:name="_Toc28307"/>
      <w:bookmarkStart w:id="418" w:name="_Toc14784"/>
      <w:r>
        <w:rPr>
          <w:rFonts w:hint="eastAsia" w:ascii="楷体_GB2312" w:hAnsi="楷体_GB2312" w:eastAsia="楷体" w:cs="仿宋_GB2312"/>
          <w:b w:val="0"/>
          <w:sz w:val="32"/>
          <w:szCs w:val="32"/>
        </w:rPr>
        <w:t>（二）抽样方式</w:t>
      </w:r>
      <w:bookmarkEnd w:id="416"/>
      <w:bookmarkEnd w:id="417"/>
      <w:bookmarkEnd w:id="418"/>
    </w:p>
    <w:p>
      <w:pPr>
        <w:spacing w:line="600" w:lineRule="exact"/>
        <w:rPr>
          <w:rFonts w:eastAsia="仿宋_GB2312"/>
          <w:kern w:val="0"/>
          <w:sz w:val="32"/>
          <w:szCs w:val="32"/>
        </w:rPr>
      </w:pPr>
      <w:r>
        <w:rPr>
          <w:rFonts w:hint="eastAsia" w:eastAsia="仿宋_GB2312"/>
          <w:kern w:val="0"/>
          <w:sz w:val="32"/>
          <w:szCs w:val="32"/>
        </w:rPr>
        <w:t>本次问卷调查采用的方式为简单随机抽样，即对兖州区公共体育设施场内使用人员进行随访，总体中的每个个体都有相等的被选中的机会，能够以最佳的方式去创造一个真正代表总体的样本。</w:t>
      </w:r>
      <w:bookmarkEnd w:id="415"/>
    </w:p>
    <w:p>
      <w:pPr>
        <w:overflowPunct w:val="0"/>
        <w:autoSpaceDE w:val="0"/>
        <w:autoSpaceDN w:val="0"/>
        <w:adjustRightInd w:val="0"/>
        <w:spacing w:line="600" w:lineRule="exact"/>
        <w:textAlignment w:val="baseline"/>
        <w:outlineLvl w:val="0"/>
        <w:rPr>
          <w:rFonts w:eastAsia="黑体"/>
          <w:kern w:val="0"/>
          <w:sz w:val="32"/>
          <w:szCs w:val="32"/>
        </w:rPr>
      </w:pPr>
      <w:bookmarkStart w:id="419" w:name="_Toc5552"/>
      <w:bookmarkStart w:id="420" w:name="_Toc30352"/>
      <w:bookmarkStart w:id="421" w:name="_Toc25200"/>
      <w:r>
        <w:rPr>
          <w:rFonts w:hint="eastAsia" w:eastAsia="黑体"/>
          <w:kern w:val="0"/>
          <w:sz w:val="32"/>
          <w:szCs w:val="32"/>
        </w:rPr>
        <w:t>四、问卷的发放和回收</w:t>
      </w:r>
      <w:bookmarkEnd w:id="419"/>
      <w:bookmarkEnd w:id="420"/>
      <w:bookmarkEnd w:id="421"/>
    </w:p>
    <w:p>
      <w:pPr>
        <w:spacing w:line="600" w:lineRule="exact"/>
        <w:rPr>
          <w:rFonts w:eastAsia="仿宋_GB2312"/>
          <w:kern w:val="0"/>
          <w:sz w:val="32"/>
          <w:szCs w:val="32"/>
        </w:rPr>
      </w:pPr>
      <w:bookmarkStart w:id="422" w:name="_Hlk120307214"/>
      <w:r>
        <w:rPr>
          <w:rFonts w:hint="eastAsia" w:eastAsia="仿宋_GB2312"/>
          <w:kern w:val="0"/>
          <w:sz w:val="32"/>
          <w:szCs w:val="32"/>
        </w:rPr>
        <w:t>本次调查共发放问卷150份，回收问卷149份，其中有效问卷149份。</w:t>
      </w:r>
      <w:bookmarkEnd w:id="422"/>
    </w:p>
    <w:p>
      <w:pPr>
        <w:overflowPunct w:val="0"/>
        <w:autoSpaceDE w:val="0"/>
        <w:autoSpaceDN w:val="0"/>
        <w:adjustRightInd w:val="0"/>
        <w:spacing w:line="600" w:lineRule="exact"/>
        <w:textAlignment w:val="baseline"/>
        <w:outlineLvl w:val="0"/>
        <w:rPr>
          <w:rFonts w:eastAsia="黑体"/>
          <w:kern w:val="0"/>
          <w:sz w:val="32"/>
          <w:szCs w:val="32"/>
        </w:rPr>
      </w:pPr>
      <w:bookmarkStart w:id="423" w:name="_Toc24013"/>
      <w:bookmarkStart w:id="424" w:name="_Toc26312"/>
      <w:bookmarkStart w:id="425" w:name="_Toc28717"/>
      <w:r>
        <w:rPr>
          <w:rFonts w:hint="eastAsia" w:eastAsia="黑体"/>
          <w:kern w:val="0"/>
          <w:sz w:val="32"/>
          <w:szCs w:val="32"/>
        </w:rPr>
        <w:t>五、调查结果分析</w:t>
      </w:r>
      <w:bookmarkEnd w:id="423"/>
      <w:bookmarkEnd w:id="424"/>
      <w:bookmarkEnd w:id="425"/>
    </w:p>
    <w:p>
      <w:pPr>
        <w:spacing w:line="600" w:lineRule="exact"/>
        <w:rPr>
          <w:rFonts w:eastAsia="仿宋_GB2312"/>
          <w:kern w:val="0"/>
          <w:sz w:val="32"/>
          <w:szCs w:val="32"/>
        </w:rPr>
      </w:pPr>
      <w:bookmarkStart w:id="426" w:name="_Hlk120307787"/>
      <w:r>
        <w:rPr>
          <w:rFonts w:hint="eastAsia" w:eastAsia="仿宋_GB2312"/>
          <w:kern w:val="0"/>
          <w:sz w:val="32"/>
          <w:szCs w:val="32"/>
        </w:rPr>
        <w:t>本次调查共回收有效问卷数量149份，问卷调查结果显示，受调查对象了解彩票公益金用于体育事业政策的有145人，占调查人数的97.32%；不了解就业补助政策的占4人，占调查人数的2.68%。综上可以看出，调查对象基本上都了彩票公益金用于体育事业政策。</w:t>
      </w:r>
    </w:p>
    <w:bookmarkEnd w:id="426"/>
    <w:p>
      <w:pPr>
        <w:spacing w:line="600" w:lineRule="exact"/>
        <w:rPr>
          <w:rFonts w:eastAsia="仿宋_GB2312"/>
          <w:kern w:val="0"/>
          <w:sz w:val="32"/>
          <w:szCs w:val="32"/>
        </w:rPr>
      </w:pPr>
      <w:bookmarkStart w:id="427" w:name="_Hlk120307952"/>
      <w:r>
        <w:rPr>
          <w:rFonts w:hint="eastAsia" w:eastAsia="仿宋_GB2312"/>
          <w:kern w:val="0"/>
          <w:sz w:val="32"/>
          <w:szCs w:val="32"/>
        </w:rPr>
        <w:t>受调查对象中对兖州区体育事业满意的有142人，占调查人数的95.3%；对公共体育场地使用价格满意的有145人，占调查人数的97.32%；认为公共体育设施维护及时的有139人，占调查人数的93.29%；对济宁市兖州区教育和体育局管理服务水平满意的有143人，占调查对象的95.97%。综上可以看出，2021年度用于体育事业的彩票公益金支出项目按照预定计划实施，实际提供了居民体育运动所需服务，保障了市民体育运动场地的维护管理，达到了项目的预期效益。</w:t>
      </w:r>
      <w:bookmarkEnd w:id="427"/>
      <w:bookmarkStart w:id="428" w:name="_Hlk120307255"/>
    </w:p>
    <w:p>
      <w:pPr>
        <w:overflowPunct w:val="0"/>
        <w:autoSpaceDE w:val="0"/>
        <w:autoSpaceDN w:val="0"/>
        <w:adjustRightInd w:val="0"/>
        <w:spacing w:line="600" w:lineRule="exact"/>
        <w:textAlignment w:val="baseline"/>
        <w:outlineLvl w:val="0"/>
        <w:rPr>
          <w:rFonts w:eastAsia="黑体"/>
          <w:kern w:val="0"/>
          <w:sz w:val="32"/>
          <w:szCs w:val="32"/>
        </w:rPr>
      </w:pPr>
      <w:bookmarkStart w:id="429" w:name="_Toc14504"/>
      <w:bookmarkStart w:id="430" w:name="_Toc10599"/>
      <w:bookmarkStart w:id="431" w:name="_Toc446"/>
      <w:r>
        <w:rPr>
          <w:rFonts w:hint="eastAsia" w:eastAsia="黑体"/>
          <w:kern w:val="0"/>
          <w:sz w:val="32"/>
          <w:szCs w:val="32"/>
        </w:rPr>
        <w:t>六、调查结论</w:t>
      </w:r>
      <w:bookmarkEnd w:id="429"/>
      <w:bookmarkEnd w:id="430"/>
      <w:bookmarkEnd w:id="431"/>
    </w:p>
    <w:p>
      <w:pPr>
        <w:spacing w:line="600" w:lineRule="exact"/>
        <w:rPr>
          <w:rFonts w:eastAsia="仿宋_GB2312"/>
          <w:kern w:val="0"/>
          <w:sz w:val="32"/>
          <w:szCs w:val="32"/>
        </w:rPr>
      </w:pPr>
      <w:r>
        <w:rPr>
          <w:rFonts w:hint="eastAsia" w:eastAsia="仿宋_GB2312"/>
          <w:kern w:val="0"/>
          <w:sz w:val="32"/>
          <w:szCs w:val="32"/>
        </w:rPr>
        <w:t>根据调查结果，绝大多数被调查对象对该项目实施表示非常满意，认为2021年度用于体育事业的彩票公益金支出项目实施过程有效且能够达到预期效果，项目总体满意度较高。</w:t>
      </w:r>
      <w:bookmarkEnd w:id="428"/>
    </w:p>
    <w:p>
      <w:pPr>
        <w:rPr>
          <w:rFonts w:eastAsia="仿宋_GB2312"/>
          <w:sz w:val="32"/>
          <w:szCs w:val="32"/>
        </w:rPr>
      </w:pPr>
      <w:bookmarkStart w:id="432" w:name="_Hlk120307293"/>
    </w:p>
    <w:p>
      <w:pPr>
        <w:pStyle w:val="2"/>
        <w:ind w:firstLine="540"/>
      </w:pPr>
    </w:p>
    <w:bookmarkEnd w:id="432"/>
    <w:p>
      <w:pPr>
        <w:spacing w:line="580" w:lineRule="exact"/>
        <w:ind w:firstLine="560"/>
        <w:jc w:val="left"/>
        <w:rPr>
          <w:rFonts w:ascii="仿宋_GB2312" w:hAnsi="仿宋_GB2312" w:eastAsia="仿宋_GB2312" w:cs="仿宋_GB2312"/>
          <w:sz w:val="28"/>
          <w:szCs w:val="28"/>
        </w:rPr>
      </w:pPr>
      <w:bookmarkStart w:id="433" w:name="_Hlk120307408"/>
    </w:p>
    <w:p>
      <w:pPr>
        <w:overflowPunct w:val="0"/>
        <w:autoSpaceDE w:val="0"/>
        <w:autoSpaceDN w:val="0"/>
        <w:adjustRightInd w:val="0"/>
        <w:spacing w:line="600" w:lineRule="exact"/>
        <w:textAlignment w:val="baseline"/>
        <w:outlineLvl w:val="0"/>
        <w:rPr>
          <w:rFonts w:eastAsia="黑体"/>
          <w:kern w:val="0"/>
          <w:sz w:val="32"/>
          <w:szCs w:val="32"/>
        </w:rPr>
      </w:pPr>
      <w:bookmarkStart w:id="434" w:name="_Toc12512"/>
      <w:bookmarkStart w:id="435" w:name="_Toc15125"/>
      <w:bookmarkStart w:id="436" w:name="_Toc18369"/>
      <w:r>
        <w:rPr>
          <w:rFonts w:hint="eastAsia" w:eastAsia="黑体"/>
          <w:kern w:val="0"/>
          <w:sz w:val="32"/>
          <w:szCs w:val="32"/>
        </w:rPr>
        <w:t>附件：</w:t>
      </w:r>
      <w:bookmarkEnd w:id="434"/>
      <w:bookmarkEnd w:id="435"/>
      <w:bookmarkEnd w:id="436"/>
    </w:p>
    <w:p>
      <w:pPr>
        <w:pStyle w:val="2"/>
        <w:ind w:firstLine="540"/>
      </w:pPr>
    </w:p>
    <w:p>
      <w:pPr>
        <w:widowControl/>
        <w:overflowPunct w:val="0"/>
        <w:autoSpaceDE w:val="0"/>
        <w:autoSpaceDN w:val="0"/>
        <w:adjustRightInd w:val="0"/>
        <w:spacing w:line="600" w:lineRule="exact"/>
        <w:ind w:firstLine="0" w:firstLineChars="0"/>
        <w:jc w:val="center"/>
        <w:textAlignment w:val="baseline"/>
        <w:rPr>
          <w:rFonts w:ascii="方正小标宋简体" w:hAnsi="宋体" w:eastAsia="方正小标宋简体"/>
          <w:kern w:val="0"/>
          <w:sz w:val="44"/>
          <w:szCs w:val="44"/>
        </w:rPr>
      </w:pPr>
      <w:r>
        <w:rPr>
          <w:rFonts w:hint="eastAsia" w:ascii="方正小标宋简体" w:hAnsi="宋体" w:eastAsia="方正小标宋简体"/>
          <w:kern w:val="0"/>
          <w:sz w:val="44"/>
          <w:szCs w:val="44"/>
        </w:rPr>
        <w:t>2021年度用于体育事业的彩票公益金支出项目满意度调查问卷</w:t>
      </w:r>
    </w:p>
    <w:p>
      <w:pPr>
        <w:spacing w:line="600" w:lineRule="exact"/>
        <w:jc w:val="right"/>
        <w:rPr>
          <w:rFonts w:eastAsia="仿宋_GB2312"/>
          <w:kern w:val="0"/>
          <w:sz w:val="32"/>
          <w:szCs w:val="32"/>
        </w:rPr>
      </w:pPr>
      <w:r>
        <w:rPr>
          <w:rFonts w:hint="eastAsia" w:eastAsia="仿宋_GB2312"/>
          <w:kern w:val="0"/>
          <w:sz w:val="32"/>
          <w:szCs w:val="32"/>
        </w:rPr>
        <w:t>——调查对象：公共体育设施使用人员</w:t>
      </w:r>
    </w:p>
    <w:p>
      <w:pPr>
        <w:spacing w:line="600" w:lineRule="exact"/>
        <w:rPr>
          <w:rFonts w:eastAsia="仿宋_GB2312"/>
          <w:kern w:val="0"/>
          <w:sz w:val="32"/>
          <w:szCs w:val="32"/>
        </w:rPr>
      </w:pPr>
      <w:r>
        <w:rPr>
          <w:rFonts w:hint="eastAsia" w:eastAsia="仿宋_GB2312"/>
          <w:kern w:val="0"/>
          <w:sz w:val="32"/>
          <w:szCs w:val="32"/>
        </w:rPr>
        <w:t>受兖州区财政局委托，山东德睿融投资咨询有限公司2021年度用于体育事业的彩票公益金支出项目进行绩效评价。根据评价需要开展本次满意度调查，更好地了解项目支出情况，及时掌握公体育设施使用人员的意见和建议，督促相关部门研究解决实施过程中出现的困难和问题，不断提升管理服务水平，特做此调查。非常感谢您抽出宝贵时间来完成这份调查，我们希望倾听您的心声，为您提供更满意的服务！请如实填写以下内容：</w:t>
      </w:r>
    </w:p>
    <w:p>
      <w:pPr>
        <w:spacing w:line="600" w:lineRule="exact"/>
        <w:rPr>
          <w:rFonts w:eastAsia="仿宋_GB2312"/>
          <w:kern w:val="0"/>
          <w:sz w:val="32"/>
          <w:szCs w:val="32"/>
        </w:rPr>
      </w:pPr>
      <w:r>
        <w:rPr>
          <w:rFonts w:hint="eastAsia" w:eastAsia="仿宋_GB2312"/>
          <w:kern w:val="0"/>
          <w:sz w:val="32"/>
          <w:szCs w:val="32"/>
        </w:rPr>
        <w:t>1. 您对兖州区体育事业是否满意？</w:t>
      </w:r>
    </w:p>
    <w:p>
      <w:pPr>
        <w:spacing w:line="600" w:lineRule="exact"/>
        <w:rPr>
          <w:rFonts w:eastAsia="仿宋_GB2312"/>
          <w:kern w:val="0"/>
          <w:sz w:val="32"/>
          <w:szCs w:val="32"/>
        </w:rPr>
      </w:pPr>
      <w:r>
        <w:rPr>
          <w:rFonts w:hint="eastAsia" w:eastAsia="仿宋_GB2312"/>
          <w:kern w:val="0"/>
          <w:sz w:val="32"/>
          <w:szCs w:val="32"/>
        </w:rPr>
        <w:t>A.非常满意</w:t>
      </w:r>
    </w:p>
    <w:p>
      <w:pPr>
        <w:spacing w:line="600" w:lineRule="exact"/>
        <w:rPr>
          <w:rFonts w:eastAsia="仿宋_GB2312"/>
          <w:kern w:val="0"/>
          <w:sz w:val="32"/>
          <w:szCs w:val="32"/>
        </w:rPr>
      </w:pPr>
      <w:r>
        <w:rPr>
          <w:rFonts w:hint="eastAsia" w:eastAsia="仿宋_GB2312"/>
          <w:kern w:val="0"/>
          <w:sz w:val="32"/>
          <w:szCs w:val="32"/>
        </w:rPr>
        <w:t>B.满意</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D.不满意</w:t>
      </w:r>
    </w:p>
    <w:p>
      <w:pPr>
        <w:spacing w:line="600" w:lineRule="exact"/>
        <w:rPr>
          <w:rFonts w:eastAsia="仿宋_GB2312"/>
          <w:kern w:val="0"/>
          <w:sz w:val="32"/>
          <w:szCs w:val="32"/>
        </w:rPr>
      </w:pPr>
      <w:r>
        <w:rPr>
          <w:rFonts w:hint="eastAsia" w:eastAsia="仿宋_GB2312"/>
          <w:kern w:val="0"/>
          <w:sz w:val="32"/>
          <w:szCs w:val="32"/>
        </w:rPr>
        <w:t>2. 您是否了解彩票公益金用于体育事业政策？</w:t>
      </w:r>
    </w:p>
    <w:p>
      <w:pPr>
        <w:spacing w:line="600" w:lineRule="exact"/>
        <w:rPr>
          <w:rFonts w:eastAsia="仿宋_GB2312"/>
          <w:kern w:val="0"/>
          <w:sz w:val="32"/>
          <w:szCs w:val="32"/>
        </w:rPr>
      </w:pPr>
      <w:r>
        <w:rPr>
          <w:rFonts w:hint="eastAsia" w:eastAsia="仿宋_GB2312"/>
          <w:kern w:val="0"/>
          <w:sz w:val="32"/>
          <w:szCs w:val="32"/>
        </w:rPr>
        <w:t>A.非常了解</w:t>
      </w:r>
    </w:p>
    <w:p>
      <w:pPr>
        <w:spacing w:line="600" w:lineRule="exact"/>
        <w:rPr>
          <w:rFonts w:eastAsia="仿宋_GB2312"/>
          <w:kern w:val="0"/>
          <w:sz w:val="32"/>
          <w:szCs w:val="32"/>
        </w:rPr>
      </w:pPr>
      <w:r>
        <w:rPr>
          <w:rFonts w:hint="eastAsia" w:eastAsia="仿宋_GB2312"/>
          <w:kern w:val="0"/>
          <w:sz w:val="32"/>
          <w:szCs w:val="32"/>
        </w:rPr>
        <w:t>B.了解</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D.不清楚</w:t>
      </w:r>
    </w:p>
    <w:p>
      <w:pPr>
        <w:spacing w:line="600" w:lineRule="exact"/>
        <w:rPr>
          <w:rFonts w:eastAsia="仿宋_GB2312"/>
          <w:kern w:val="0"/>
          <w:sz w:val="32"/>
          <w:szCs w:val="32"/>
        </w:rPr>
      </w:pPr>
      <w:r>
        <w:rPr>
          <w:rFonts w:hint="eastAsia" w:eastAsia="仿宋_GB2312"/>
          <w:kern w:val="0"/>
          <w:sz w:val="32"/>
          <w:szCs w:val="32"/>
        </w:rPr>
        <w:t>3. 您对公共体育场地使用价格是否满意？</w:t>
      </w:r>
    </w:p>
    <w:p>
      <w:pPr>
        <w:spacing w:line="600" w:lineRule="exact"/>
        <w:rPr>
          <w:rFonts w:eastAsia="仿宋_GB2312"/>
          <w:kern w:val="0"/>
          <w:sz w:val="32"/>
          <w:szCs w:val="32"/>
        </w:rPr>
      </w:pPr>
      <w:r>
        <w:rPr>
          <w:rFonts w:hint="eastAsia" w:eastAsia="仿宋_GB2312"/>
          <w:kern w:val="0"/>
          <w:sz w:val="32"/>
          <w:szCs w:val="32"/>
        </w:rPr>
        <w:t>A.非常满意</w:t>
      </w:r>
    </w:p>
    <w:p>
      <w:pPr>
        <w:spacing w:line="600" w:lineRule="exact"/>
        <w:rPr>
          <w:rFonts w:eastAsia="仿宋_GB2312"/>
          <w:kern w:val="0"/>
          <w:sz w:val="32"/>
          <w:szCs w:val="32"/>
        </w:rPr>
      </w:pPr>
      <w:r>
        <w:rPr>
          <w:rFonts w:hint="eastAsia" w:eastAsia="仿宋_GB2312"/>
          <w:kern w:val="0"/>
          <w:sz w:val="32"/>
          <w:szCs w:val="32"/>
        </w:rPr>
        <w:t>B. 满意</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D.不满意</w:t>
      </w:r>
    </w:p>
    <w:p>
      <w:pPr>
        <w:spacing w:line="600" w:lineRule="exact"/>
        <w:rPr>
          <w:rFonts w:eastAsia="仿宋_GB2312"/>
          <w:kern w:val="0"/>
          <w:sz w:val="32"/>
          <w:szCs w:val="32"/>
        </w:rPr>
      </w:pPr>
      <w:r>
        <w:rPr>
          <w:rFonts w:hint="eastAsia" w:eastAsia="仿宋_GB2312"/>
          <w:kern w:val="0"/>
          <w:sz w:val="32"/>
          <w:szCs w:val="32"/>
        </w:rPr>
        <w:t>4. 您认为公共体育设施维护是否及时？</w:t>
      </w:r>
    </w:p>
    <w:p>
      <w:pPr>
        <w:spacing w:line="600" w:lineRule="exact"/>
        <w:rPr>
          <w:rFonts w:eastAsia="仿宋_GB2312"/>
          <w:kern w:val="0"/>
          <w:sz w:val="32"/>
          <w:szCs w:val="32"/>
        </w:rPr>
      </w:pPr>
      <w:r>
        <w:rPr>
          <w:rFonts w:hint="eastAsia" w:eastAsia="仿宋_GB2312"/>
          <w:kern w:val="0"/>
          <w:sz w:val="32"/>
          <w:szCs w:val="32"/>
        </w:rPr>
        <w:t>A.非常及时</w:t>
      </w:r>
    </w:p>
    <w:p>
      <w:pPr>
        <w:spacing w:line="600" w:lineRule="exact"/>
        <w:rPr>
          <w:rFonts w:eastAsia="仿宋_GB2312"/>
          <w:kern w:val="0"/>
          <w:sz w:val="32"/>
          <w:szCs w:val="32"/>
        </w:rPr>
      </w:pPr>
      <w:r>
        <w:rPr>
          <w:rFonts w:hint="eastAsia" w:eastAsia="仿宋_GB2312"/>
          <w:kern w:val="0"/>
          <w:sz w:val="32"/>
          <w:szCs w:val="32"/>
        </w:rPr>
        <w:t>B.较及时</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D.不及时</w:t>
      </w:r>
    </w:p>
    <w:p>
      <w:pPr>
        <w:spacing w:line="600" w:lineRule="exact"/>
        <w:rPr>
          <w:rFonts w:eastAsia="仿宋_GB2312"/>
          <w:kern w:val="0"/>
          <w:sz w:val="32"/>
          <w:szCs w:val="32"/>
        </w:rPr>
      </w:pPr>
      <w:r>
        <w:rPr>
          <w:rFonts w:hint="eastAsia" w:eastAsia="仿宋_GB2312"/>
          <w:kern w:val="0"/>
          <w:sz w:val="32"/>
          <w:szCs w:val="32"/>
        </w:rPr>
        <w:t>5 您对济宁市兖州区教育和体育局管理服务水平是否满意？</w:t>
      </w:r>
    </w:p>
    <w:p>
      <w:pPr>
        <w:spacing w:line="600" w:lineRule="exact"/>
        <w:rPr>
          <w:rFonts w:eastAsia="仿宋_GB2312"/>
          <w:kern w:val="0"/>
          <w:sz w:val="32"/>
          <w:szCs w:val="32"/>
        </w:rPr>
      </w:pPr>
      <w:r>
        <w:rPr>
          <w:rFonts w:hint="eastAsia" w:eastAsia="仿宋_GB2312"/>
          <w:kern w:val="0"/>
          <w:sz w:val="32"/>
          <w:szCs w:val="32"/>
        </w:rPr>
        <w:t>A.非常满意</w:t>
      </w:r>
    </w:p>
    <w:p>
      <w:pPr>
        <w:spacing w:line="600" w:lineRule="exact"/>
        <w:rPr>
          <w:rFonts w:eastAsia="仿宋_GB2312"/>
          <w:kern w:val="0"/>
          <w:sz w:val="32"/>
          <w:szCs w:val="32"/>
        </w:rPr>
      </w:pPr>
      <w:r>
        <w:rPr>
          <w:rFonts w:hint="eastAsia" w:eastAsia="仿宋_GB2312"/>
          <w:kern w:val="0"/>
          <w:sz w:val="32"/>
          <w:szCs w:val="32"/>
        </w:rPr>
        <w:t>B.满意</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D.不满意</w:t>
      </w:r>
    </w:p>
    <w:p>
      <w:pPr>
        <w:spacing w:line="600" w:lineRule="exact"/>
        <w:rPr>
          <w:rFonts w:eastAsia="仿宋_GB2312"/>
          <w:kern w:val="0"/>
          <w:sz w:val="32"/>
          <w:szCs w:val="32"/>
        </w:rPr>
      </w:pPr>
      <w:r>
        <w:rPr>
          <w:rFonts w:hint="eastAsia" w:eastAsia="仿宋_GB2312"/>
          <w:kern w:val="0"/>
          <w:sz w:val="32"/>
          <w:szCs w:val="32"/>
        </w:rPr>
        <w:t>6 您对2021年度彩票公益金用于体育事业工作的整体评价？</w:t>
      </w:r>
    </w:p>
    <w:p>
      <w:pPr>
        <w:spacing w:line="600" w:lineRule="exact"/>
        <w:rPr>
          <w:rFonts w:eastAsia="仿宋_GB2312"/>
          <w:kern w:val="0"/>
          <w:sz w:val="32"/>
          <w:szCs w:val="32"/>
        </w:rPr>
      </w:pPr>
      <w:r>
        <w:rPr>
          <w:rFonts w:hint="eastAsia" w:eastAsia="仿宋_GB2312"/>
          <w:kern w:val="0"/>
          <w:sz w:val="32"/>
          <w:szCs w:val="32"/>
        </w:rPr>
        <w:t>A.非常满意</w:t>
      </w:r>
    </w:p>
    <w:p>
      <w:pPr>
        <w:spacing w:line="600" w:lineRule="exact"/>
        <w:rPr>
          <w:rFonts w:eastAsia="仿宋_GB2312"/>
          <w:kern w:val="0"/>
          <w:sz w:val="32"/>
          <w:szCs w:val="32"/>
        </w:rPr>
      </w:pPr>
      <w:r>
        <w:rPr>
          <w:rFonts w:hint="eastAsia" w:eastAsia="仿宋_GB2312"/>
          <w:kern w:val="0"/>
          <w:sz w:val="32"/>
          <w:szCs w:val="32"/>
        </w:rPr>
        <w:t>B.满意</w:t>
      </w:r>
    </w:p>
    <w:p>
      <w:pPr>
        <w:spacing w:line="600" w:lineRule="exact"/>
        <w:rPr>
          <w:rFonts w:eastAsia="仿宋_GB2312"/>
          <w:kern w:val="0"/>
          <w:sz w:val="32"/>
          <w:szCs w:val="32"/>
        </w:rPr>
      </w:pPr>
      <w:r>
        <w:rPr>
          <w:rFonts w:hint="eastAsia" w:eastAsia="仿宋_GB2312"/>
          <w:kern w:val="0"/>
          <w:sz w:val="32"/>
          <w:szCs w:val="32"/>
        </w:rPr>
        <w:t>C.一般</w:t>
      </w:r>
    </w:p>
    <w:p>
      <w:pPr>
        <w:spacing w:line="600" w:lineRule="exact"/>
        <w:rPr>
          <w:rFonts w:eastAsia="仿宋_GB2312"/>
          <w:kern w:val="0"/>
          <w:sz w:val="32"/>
          <w:szCs w:val="32"/>
        </w:rPr>
      </w:pPr>
      <w:r>
        <w:rPr>
          <w:rFonts w:hint="eastAsia" w:eastAsia="仿宋_GB2312"/>
          <w:kern w:val="0"/>
          <w:sz w:val="32"/>
          <w:szCs w:val="32"/>
        </w:rPr>
        <w:t>D.不满意</w:t>
      </w:r>
    </w:p>
    <w:p>
      <w:pPr>
        <w:spacing w:line="600" w:lineRule="exact"/>
        <w:rPr>
          <w:rFonts w:eastAsia="仿宋_GB2312"/>
          <w:kern w:val="0"/>
          <w:sz w:val="32"/>
          <w:szCs w:val="32"/>
        </w:rPr>
      </w:pPr>
      <w:r>
        <w:rPr>
          <w:rFonts w:hint="eastAsia" w:eastAsia="仿宋_GB2312"/>
          <w:kern w:val="0"/>
          <w:sz w:val="32"/>
          <w:szCs w:val="32"/>
        </w:rPr>
        <w:t>7 您对2021年度彩票公益金用于体育事业工作及兖州区教育和体育局相关工作有何意见或建议？</w:t>
      </w:r>
    </w:p>
    <w:bookmarkEnd w:id="433"/>
    <w:p>
      <w:pPr>
        <w:spacing w:line="580" w:lineRule="exact"/>
        <w:ind w:firstLine="560"/>
        <w:rPr>
          <w:rFonts w:ascii="仿宋_GB2312" w:hAnsi="仿宋_GB2312" w:eastAsia="仿宋_GB2312" w:cs="仿宋_GB2312"/>
          <w:sz w:val="28"/>
          <w:szCs w:val="28"/>
        </w:rPr>
      </w:pPr>
    </w:p>
    <w:p>
      <w:pPr>
        <w:overflowPunct w:val="0"/>
        <w:autoSpaceDE w:val="0"/>
        <w:autoSpaceDN w:val="0"/>
        <w:adjustRightInd w:val="0"/>
        <w:spacing w:line="600" w:lineRule="exact"/>
        <w:ind w:firstLine="560"/>
        <w:textAlignment w:val="baseline"/>
        <w:outlineLvl w:val="0"/>
        <w:rPr>
          <w:rFonts w:ascii="仿宋_GB2312" w:hAnsi="仿宋_GB2312" w:eastAsia="仿宋_GB2312" w:cs="仿宋_GB2312"/>
          <w:sz w:val="28"/>
          <w:szCs w:val="28"/>
        </w:rPr>
      </w:pPr>
    </w:p>
    <w:sectPr>
      <w:headerReference r:id="rId16" w:type="default"/>
      <w:footnotePr>
        <w:numFmt w:val="decimalEnclosedCircleChinese"/>
        <w:numRestart w:val="eachPage"/>
      </w:footnotePr>
      <w:pgSz w:w="12191" w:h="19221"/>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40"/>
      </w:pPr>
      <w:r>
        <w:separator/>
      </w:r>
    </w:p>
  </w:endnote>
  <w:endnote w:type="continuationSeparator" w:id="1">
    <w:p>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embedRegular r:id="rId1" w:fontKey="{AEB8505C-5D5D-48C3-A6EF-863EA2F367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embedRegular r:id="rId2" w:fontKey="{26341753-D567-4417-B232-48A348E5E651}"/>
  </w:font>
  <w:font w:name="Calibri Light">
    <w:panose1 w:val="020F0302020204030204"/>
    <w:charset w:val="00"/>
    <w:family w:val="swiss"/>
    <w:pitch w:val="default"/>
    <w:sig w:usb0="A00002EF" w:usb1="4000207B" w:usb2="00000000" w:usb3="00000000" w:csb0="2000019F" w:csb1="00000000"/>
  </w:font>
  <w:font w:name="文星简黑体">
    <w:altName w:val="黑体"/>
    <w:panose1 w:val="00000000000000000000"/>
    <w:charset w:val="86"/>
    <w:family w:val="modern"/>
    <w:pitch w:val="default"/>
    <w:sig w:usb0="00000000" w:usb1="00000000" w:usb2="00000010" w:usb3="00000000" w:csb0="00040000" w:csb1="00000000"/>
    <w:embedRegular r:id="rId3" w:fontKey="{1CB79CFD-807C-42CE-B976-7C45E9EC065B}"/>
  </w:font>
  <w:font w:name="方正小标宋简体">
    <w:panose1 w:val="03000509000000000000"/>
    <w:charset w:val="86"/>
    <w:family w:val="auto"/>
    <w:pitch w:val="default"/>
    <w:sig w:usb0="00000001" w:usb1="080E0000" w:usb2="00000000" w:usb3="00000000" w:csb0="00040000" w:csb1="00000000"/>
    <w:embedRegular r:id="rId4" w:fontKey="{27DEE2CF-6863-491A-8617-459E3E0B0E1A}"/>
  </w:font>
  <w:font w:name="仿宋_GB2312">
    <w:panose1 w:val="02010609030101010101"/>
    <w:charset w:val="86"/>
    <w:family w:val="modern"/>
    <w:pitch w:val="default"/>
    <w:sig w:usb0="00000001" w:usb1="080E0000" w:usb2="00000000" w:usb3="00000000" w:csb0="00040000" w:csb1="00000000"/>
    <w:embedRegular r:id="rId5" w:fontKey="{22A838A6-5729-478B-BF07-01DBB16092CE}"/>
  </w:font>
  <w:font w:name="方正小标宋_GBK">
    <w:panose1 w:val="03000509000000000000"/>
    <w:charset w:val="86"/>
    <w:family w:val="script"/>
    <w:pitch w:val="default"/>
    <w:sig w:usb0="00000001" w:usb1="080E0000" w:usb2="00000000" w:usb3="00000000" w:csb0="00040000" w:csb1="00000000"/>
    <w:embedRegular r:id="rId6" w:fontKey="{EBF50654-9FD1-4E16-AF61-C9973EC0091A}"/>
  </w:font>
  <w:font w:name="华文新魏">
    <w:panose1 w:val="02010800040101010101"/>
    <w:charset w:val="86"/>
    <w:family w:val="auto"/>
    <w:pitch w:val="default"/>
    <w:sig w:usb0="00000001" w:usb1="080F0000" w:usb2="00000000" w:usb3="00000000" w:csb0="00040000" w:csb1="00000000"/>
    <w:embedRegular r:id="rId7" w:fontKey="{A364D678-9A85-4AA9-BAA3-F309A03D1259}"/>
  </w:font>
  <w:font w:name="仿宋">
    <w:panose1 w:val="02010609060101010101"/>
    <w:charset w:val="86"/>
    <w:family w:val="modern"/>
    <w:pitch w:val="default"/>
    <w:sig w:usb0="800002BF" w:usb1="38CF7CFA" w:usb2="00000016" w:usb3="00000000" w:csb0="00040001" w:csb1="00000000"/>
    <w:embedRegular r:id="rId8" w:fontKey="{C64A286F-39CA-4FD4-A868-4C2346DAEEEC}"/>
  </w:font>
  <w:font w:name="楷体_GB2312">
    <w:panose1 w:val="02010609030101010101"/>
    <w:charset w:val="86"/>
    <w:family w:val="modern"/>
    <w:pitch w:val="default"/>
    <w:sig w:usb0="00000001" w:usb1="080E0000" w:usb2="00000000" w:usb3="00000000" w:csb0="00040000" w:csb1="00000000"/>
    <w:embedRegular r:id="rId9" w:fontKey="{74FA3581-98CA-4159-8AEF-7F0489F2A7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2702238"/>
    </w:sdtPr>
    <w:sdtContent>
      <w:p>
        <w:pPr>
          <w:pStyle w:val="15"/>
          <w:ind w:firstLine="0" w:firstLineChars="0"/>
          <w:jc w:val="center"/>
        </w:pPr>
        <w:r>
          <w:fldChar w:fldCharType="begin"/>
        </w:r>
        <w:r>
          <w:instrText xml:space="preserve">PAGE   \* MERGEFORMAT</w:instrText>
        </w:r>
        <w:r>
          <w:fldChar w:fldCharType="separate"/>
        </w:r>
        <w:r>
          <w:rPr>
            <w:lang w:val="zh-CN"/>
          </w:rPr>
          <w:t>2</w:t>
        </w:r>
        <w:r>
          <w:fldChar w:fldCharType="end"/>
        </w:r>
      </w:p>
    </w:sdtContent>
  </w:sdt>
  <w:p>
    <w:pPr>
      <w:pStyle w:val="15"/>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- 2 -</w:t>
                    </w:r>
                    <w:r>
                      <w:rPr>
                        <w:rFonts w:hint="eastAsia" w:ascii="宋体" w:hAnsi="宋体" w:cs="宋体"/>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- 30 -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5"/>
                      <w:ind w:firstLine="56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- 30 -</w:t>
                    </w:r>
                    <w:r>
                      <w:rPr>
                        <w:rFonts w:hint="eastAsia" w:ascii="宋体" w:hAnsi="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40"/>
      </w:pPr>
      <w:r>
        <w:separator/>
      </w:r>
    </w:p>
  </w:footnote>
  <w:footnote w:type="continuationSeparator" w:id="1">
    <w:p>
      <w:pPr>
        <w:spacing w:line="36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0"/>
        <w:right w:val="none" w:color="auto" w:sz="0" w:space="0"/>
      </w:pBdr>
      <w:ind w:firstLine="420"/>
      <w:jc w:val="right"/>
      <w:rPr>
        <w:rFonts w:ascii="华文新魏" w:hAnsi="仿宋" w:eastAsia="华文新魏"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5250" w:firstLineChars="2500"/>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1312" behindDoc="0" locked="0" layoutInCell="1" allowOverlap="1">
          <wp:simplePos x="0" y="0"/>
          <wp:positionH relativeFrom="column">
            <wp:posOffset>2943860</wp:posOffset>
          </wp:positionH>
          <wp:positionV relativeFrom="paragraph">
            <wp:posOffset>-118110</wp:posOffset>
          </wp:positionV>
          <wp:extent cx="400050" cy="361950"/>
          <wp:effectExtent l="0" t="0" r="0" b="0"/>
          <wp:wrapNone/>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2336" behindDoc="0" locked="0" layoutInCell="1" allowOverlap="1">
          <wp:simplePos x="0" y="0"/>
          <wp:positionH relativeFrom="column">
            <wp:posOffset>3159760</wp:posOffset>
          </wp:positionH>
          <wp:positionV relativeFrom="paragraph">
            <wp:posOffset>-105410</wp:posOffset>
          </wp:positionV>
          <wp:extent cx="400050" cy="361950"/>
          <wp:effectExtent l="0" t="0" r="0" b="6350"/>
          <wp:wrapTopAndBottom/>
          <wp:docPr id="7"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59264" behindDoc="0" locked="0" layoutInCell="1" allowOverlap="1">
          <wp:simplePos x="0" y="0"/>
          <wp:positionH relativeFrom="column">
            <wp:posOffset>8270875</wp:posOffset>
          </wp:positionH>
          <wp:positionV relativeFrom="paragraph">
            <wp:posOffset>-92710</wp:posOffset>
          </wp:positionV>
          <wp:extent cx="400050" cy="361950"/>
          <wp:effectExtent l="0" t="0" r="0" b="0"/>
          <wp:wrapTopAndBottom/>
          <wp:docPr id="10"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0288" behindDoc="0" locked="0" layoutInCell="1" allowOverlap="1">
          <wp:simplePos x="0" y="0"/>
          <wp:positionH relativeFrom="column">
            <wp:posOffset>3354705</wp:posOffset>
          </wp:positionH>
          <wp:positionV relativeFrom="paragraph">
            <wp:posOffset>-90805</wp:posOffset>
          </wp:positionV>
          <wp:extent cx="400050" cy="361950"/>
          <wp:effectExtent l="0" t="0" r="0" b="6350"/>
          <wp:wrapTopAndBottom/>
          <wp:docPr id="12"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HorizontalSpacing w:val="135"/>
  <w:drawingGridVerticalSpacing w:val="367"/>
  <w:noPunctuationKerning w:val="1"/>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0NWJiMWU0MTA5NzhkZjY2OWVhOGUyMTk5MGY3ZGMifQ=="/>
  </w:docVars>
  <w:rsids>
    <w:rsidRoot w:val="00503737"/>
    <w:rsid w:val="00000C53"/>
    <w:rsid w:val="000016BE"/>
    <w:rsid w:val="00005B3B"/>
    <w:rsid w:val="00006374"/>
    <w:rsid w:val="000107C7"/>
    <w:rsid w:val="00016172"/>
    <w:rsid w:val="000208EB"/>
    <w:rsid w:val="00022895"/>
    <w:rsid w:val="000316B9"/>
    <w:rsid w:val="000332D2"/>
    <w:rsid w:val="0004031A"/>
    <w:rsid w:val="000429AE"/>
    <w:rsid w:val="00053332"/>
    <w:rsid w:val="00054064"/>
    <w:rsid w:val="00055D21"/>
    <w:rsid w:val="00055DCF"/>
    <w:rsid w:val="00056688"/>
    <w:rsid w:val="00057467"/>
    <w:rsid w:val="00074798"/>
    <w:rsid w:val="00074C5E"/>
    <w:rsid w:val="00075696"/>
    <w:rsid w:val="00080517"/>
    <w:rsid w:val="000847E7"/>
    <w:rsid w:val="00084E23"/>
    <w:rsid w:val="00085D38"/>
    <w:rsid w:val="000913C0"/>
    <w:rsid w:val="00091A3A"/>
    <w:rsid w:val="000964E4"/>
    <w:rsid w:val="000A01C9"/>
    <w:rsid w:val="000A07C5"/>
    <w:rsid w:val="000A08E8"/>
    <w:rsid w:val="000A3A6F"/>
    <w:rsid w:val="000A41C9"/>
    <w:rsid w:val="000A5BE8"/>
    <w:rsid w:val="000B163E"/>
    <w:rsid w:val="000B3BFF"/>
    <w:rsid w:val="000B52EB"/>
    <w:rsid w:val="000B6ADB"/>
    <w:rsid w:val="000C4FA5"/>
    <w:rsid w:val="000C5BF3"/>
    <w:rsid w:val="000D1169"/>
    <w:rsid w:val="000D3397"/>
    <w:rsid w:val="000D44AB"/>
    <w:rsid w:val="000D4A87"/>
    <w:rsid w:val="000E0015"/>
    <w:rsid w:val="000E1208"/>
    <w:rsid w:val="000E16D0"/>
    <w:rsid w:val="000E179C"/>
    <w:rsid w:val="000E4BFC"/>
    <w:rsid w:val="000E7B7D"/>
    <w:rsid w:val="000E7E53"/>
    <w:rsid w:val="000F43B1"/>
    <w:rsid w:val="00105E99"/>
    <w:rsid w:val="0011302E"/>
    <w:rsid w:val="00116083"/>
    <w:rsid w:val="00117035"/>
    <w:rsid w:val="00117D50"/>
    <w:rsid w:val="001223D1"/>
    <w:rsid w:val="001265A1"/>
    <w:rsid w:val="00136197"/>
    <w:rsid w:val="001370F8"/>
    <w:rsid w:val="001420E3"/>
    <w:rsid w:val="00142403"/>
    <w:rsid w:val="00146633"/>
    <w:rsid w:val="00147169"/>
    <w:rsid w:val="0014750E"/>
    <w:rsid w:val="00150184"/>
    <w:rsid w:val="00154620"/>
    <w:rsid w:val="0016200D"/>
    <w:rsid w:val="00162AC9"/>
    <w:rsid w:val="00163232"/>
    <w:rsid w:val="00163DC4"/>
    <w:rsid w:val="00165160"/>
    <w:rsid w:val="00171FCA"/>
    <w:rsid w:val="00172572"/>
    <w:rsid w:val="00172B4D"/>
    <w:rsid w:val="00174189"/>
    <w:rsid w:val="001745A5"/>
    <w:rsid w:val="00174FDA"/>
    <w:rsid w:val="00175525"/>
    <w:rsid w:val="0017605A"/>
    <w:rsid w:val="00177670"/>
    <w:rsid w:val="00177B7C"/>
    <w:rsid w:val="0018631D"/>
    <w:rsid w:val="001870CA"/>
    <w:rsid w:val="0019261A"/>
    <w:rsid w:val="00192960"/>
    <w:rsid w:val="00192D7D"/>
    <w:rsid w:val="001A446A"/>
    <w:rsid w:val="001B24DD"/>
    <w:rsid w:val="001B446C"/>
    <w:rsid w:val="001B44F4"/>
    <w:rsid w:val="001C0101"/>
    <w:rsid w:val="001C17F5"/>
    <w:rsid w:val="001C325E"/>
    <w:rsid w:val="001C48AD"/>
    <w:rsid w:val="001C6B95"/>
    <w:rsid w:val="001C736D"/>
    <w:rsid w:val="001D2A99"/>
    <w:rsid w:val="001D3E5F"/>
    <w:rsid w:val="001D40D1"/>
    <w:rsid w:val="001D4DAE"/>
    <w:rsid w:val="001D5E3C"/>
    <w:rsid w:val="001D760D"/>
    <w:rsid w:val="001D78B5"/>
    <w:rsid w:val="001E272D"/>
    <w:rsid w:val="001E4EB9"/>
    <w:rsid w:val="001E6451"/>
    <w:rsid w:val="001F1AD8"/>
    <w:rsid w:val="001F4201"/>
    <w:rsid w:val="001F717D"/>
    <w:rsid w:val="00200841"/>
    <w:rsid w:val="0020091E"/>
    <w:rsid w:val="00204E4F"/>
    <w:rsid w:val="00205C60"/>
    <w:rsid w:val="0020697A"/>
    <w:rsid w:val="00206C99"/>
    <w:rsid w:val="002073DA"/>
    <w:rsid w:val="00210812"/>
    <w:rsid w:val="00211345"/>
    <w:rsid w:val="00211E11"/>
    <w:rsid w:val="00212831"/>
    <w:rsid w:val="002166EC"/>
    <w:rsid w:val="0022032C"/>
    <w:rsid w:val="00226AE3"/>
    <w:rsid w:val="00235D36"/>
    <w:rsid w:val="002365DB"/>
    <w:rsid w:val="00236A6E"/>
    <w:rsid w:val="00237C6A"/>
    <w:rsid w:val="0024344B"/>
    <w:rsid w:val="0024377F"/>
    <w:rsid w:val="0024440C"/>
    <w:rsid w:val="00244A2B"/>
    <w:rsid w:val="00246E00"/>
    <w:rsid w:val="00251D3A"/>
    <w:rsid w:val="0025235E"/>
    <w:rsid w:val="00252A1C"/>
    <w:rsid w:val="00252DA9"/>
    <w:rsid w:val="00256F3C"/>
    <w:rsid w:val="0025726E"/>
    <w:rsid w:val="002613DC"/>
    <w:rsid w:val="00262FB5"/>
    <w:rsid w:val="00264F4F"/>
    <w:rsid w:val="0026656D"/>
    <w:rsid w:val="00266B02"/>
    <w:rsid w:val="002752A0"/>
    <w:rsid w:val="00275E9A"/>
    <w:rsid w:val="0028057F"/>
    <w:rsid w:val="0028124C"/>
    <w:rsid w:val="002901BB"/>
    <w:rsid w:val="00290FB3"/>
    <w:rsid w:val="00294616"/>
    <w:rsid w:val="00297DAC"/>
    <w:rsid w:val="002A46DF"/>
    <w:rsid w:val="002A5785"/>
    <w:rsid w:val="002A5D4A"/>
    <w:rsid w:val="002B0A68"/>
    <w:rsid w:val="002B1934"/>
    <w:rsid w:val="002B297D"/>
    <w:rsid w:val="002B3E62"/>
    <w:rsid w:val="002B44B2"/>
    <w:rsid w:val="002B616E"/>
    <w:rsid w:val="002B6715"/>
    <w:rsid w:val="002C0E67"/>
    <w:rsid w:val="002C210B"/>
    <w:rsid w:val="002C2D06"/>
    <w:rsid w:val="002C393E"/>
    <w:rsid w:val="002C56D1"/>
    <w:rsid w:val="002C6C5E"/>
    <w:rsid w:val="002C7D2A"/>
    <w:rsid w:val="002D15AA"/>
    <w:rsid w:val="002D3847"/>
    <w:rsid w:val="002D4123"/>
    <w:rsid w:val="002D5386"/>
    <w:rsid w:val="002D562A"/>
    <w:rsid w:val="002D5D60"/>
    <w:rsid w:val="002D7E49"/>
    <w:rsid w:val="002E0EF5"/>
    <w:rsid w:val="002F28A2"/>
    <w:rsid w:val="002F75B5"/>
    <w:rsid w:val="00300CB5"/>
    <w:rsid w:val="0030249C"/>
    <w:rsid w:val="003078AA"/>
    <w:rsid w:val="0031608D"/>
    <w:rsid w:val="00323DDC"/>
    <w:rsid w:val="00325096"/>
    <w:rsid w:val="003258D5"/>
    <w:rsid w:val="00327C18"/>
    <w:rsid w:val="00330221"/>
    <w:rsid w:val="00330A87"/>
    <w:rsid w:val="00332BDF"/>
    <w:rsid w:val="00336A1E"/>
    <w:rsid w:val="00337F4C"/>
    <w:rsid w:val="00340DFC"/>
    <w:rsid w:val="003436D9"/>
    <w:rsid w:val="003465F0"/>
    <w:rsid w:val="00350D47"/>
    <w:rsid w:val="00356B80"/>
    <w:rsid w:val="00357241"/>
    <w:rsid w:val="00357EDD"/>
    <w:rsid w:val="00360E18"/>
    <w:rsid w:val="00363634"/>
    <w:rsid w:val="00364FB8"/>
    <w:rsid w:val="00370E91"/>
    <w:rsid w:val="003715A2"/>
    <w:rsid w:val="00375E43"/>
    <w:rsid w:val="003815EA"/>
    <w:rsid w:val="003857A9"/>
    <w:rsid w:val="00391228"/>
    <w:rsid w:val="00394FDE"/>
    <w:rsid w:val="003978CE"/>
    <w:rsid w:val="003A02F5"/>
    <w:rsid w:val="003A07FA"/>
    <w:rsid w:val="003A2B5B"/>
    <w:rsid w:val="003A34B5"/>
    <w:rsid w:val="003A6016"/>
    <w:rsid w:val="003A7079"/>
    <w:rsid w:val="003B3D82"/>
    <w:rsid w:val="003B5FB4"/>
    <w:rsid w:val="003B6242"/>
    <w:rsid w:val="003B78EA"/>
    <w:rsid w:val="003C05AD"/>
    <w:rsid w:val="003C18DD"/>
    <w:rsid w:val="003C23A0"/>
    <w:rsid w:val="003C3544"/>
    <w:rsid w:val="003D05EC"/>
    <w:rsid w:val="003D1441"/>
    <w:rsid w:val="003D2FE6"/>
    <w:rsid w:val="003D4EFF"/>
    <w:rsid w:val="003D5D33"/>
    <w:rsid w:val="003E429F"/>
    <w:rsid w:val="003F3A2F"/>
    <w:rsid w:val="003F465B"/>
    <w:rsid w:val="003F4FCC"/>
    <w:rsid w:val="00400384"/>
    <w:rsid w:val="00400F44"/>
    <w:rsid w:val="00401805"/>
    <w:rsid w:val="00401C51"/>
    <w:rsid w:val="00402DB9"/>
    <w:rsid w:val="00403C8D"/>
    <w:rsid w:val="004056BF"/>
    <w:rsid w:val="00414ADF"/>
    <w:rsid w:val="004210AB"/>
    <w:rsid w:val="00422C2B"/>
    <w:rsid w:val="00422D61"/>
    <w:rsid w:val="00423748"/>
    <w:rsid w:val="00424669"/>
    <w:rsid w:val="004345AC"/>
    <w:rsid w:val="0043556C"/>
    <w:rsid w:val="00436489"/>
    <w:rsid w:val="00436D70"/>
    <w:rsid w:val="00441E8A"/>
    <w:rsid w:val="00441FA5"/>
    <w:rsid w:val="0044229C"/>
    <w:rsid w:val="00443D45"/>
    <w:rsid w:val="004464B2"/>
    <w:rsid w:val="004530F8"/>
    <w:rsid w:val="00454FA6"/>
    <w:rsid w:val="0045656B"/>
    <w:rsid w:val="004621ED"/>
    <w:rsid w:val="004624DE"/>
    <w:rsid w:val="0047010A"/>
    <w:rsid w:val="0047283E"/>
    <w:rsid w:val="00472A06"/>
    <w:rsid w:val="004735AB"/>
    <w:rsid w:val="0047650D"/>
    <w:rsid w:val="00476831"/>
    <w:rsid w:val="00477D36"/>
    <w:rsid w:val="00481804"/>
    <w:rsid w:val="004845DB"/>
    <w:rsid w:val="004864C4"/>
    <w:rsid w:val="004869AA"/>
    <w:rsid w:val="0048704A"/>
    <w:rsid w:val="00494680"/>
    <w:rsid w:val="0049793A"/>
    <w:rsid w:val="004A3871"/>
    <w:rsid w:val="004A3D4E"/>
    <w:rsid w:val="004A4319"/>
    <w:rsid w:val="004A47EB"/>
    <w:rsid w:val="004A4D36"/>
    <w:rsid w:val="004A5ABA"/>
    <w:rsid w:val="004A6395"/>
    <w:rsid w:val="004A7BE8"/>
    <w:rsid w:val="004B07B2"/>
    <w:rsid w:val="004B4133"/>
    <w:rsid w:val="004B4B80"/>
    <w:rsid w:val="004C4B39"/>
    <w:rsid w:val="004C54A0"/>
    <w:rsid w:val="004D050A"/>
    <w:rsid w:val="004D198A"/>
    <w:rsid w:val="004D4B78"/>
    <w:rsid w:val="004D55A1"/>
    <w:rsid w:val="004D5AD7"/>
    <w:rsid w:val="004D68AA"/>
    <w:rsid w:val="004D6F8E"/>
    <w:rsid w:val="004D79DC"/>
    <w:rsid w:val="004E0C89"/>
    <w:rsid w:val="004E24BA"/>
    <w:rsid w:val="004E353C"/>
    <w:rsid w:val="004E3D84"/>
    <w:rsid w:val="004E405F"/>
    <w:rsid w:val="004E5CF3"/>
    <w:rsid w:val="004E6909"/>
    <w:rsid w:val="004F0894"/>
    <w:rsid w:val="004F6199"/>
    <w:rsid w:val="004F727C"/>
    <w:rsid w:val="004F7BF6"/>
    <w:rsid w:val="00500005"/>
    <w:rsid w:val="00503737"/>
    <w:rsid w:val="00503D47"/>
    <w:rsid w:val="00510AA7"/>
    <w:rsid w:val="00511072"/>
    <w:rsid w:val="00511843"/>
    <w:rsid w:val="00511D05"/>
    <w:rsid w:val="00512373"/>
    <w:rsid w:val="00513104"/>
    <w:rsid w:val="0051544C"/>
    <w:rsid w:val="005203DD"/>
    <w:rsid w:val="00520433"/>
    <w:rsid w:val="00523117"/>
    <w:rsid w:val="00523324"/>
    <w:rsid w:val="00523707"/>
    <w:rsid w:val="00526B22"/>
    <w:rsid w:val="005316FE"/>
    <w:rsid w:val="00535B49"/>
    <w:rsid w:val="00536DAD"/>
    <w:rsid w:val="0053723E"/>
    <w:rsid w:val="00537DE5"/>
    <w:rsid w:val="00540E22"/>
    <w:rsid w:val="0054295E"/>
    <w:rsid w:val="005451FC"/>
    <w:rsid w:val="005508E8"/>
    <w:rsid w:val="00551081"/>
    <w:rsid w:val="00556626"/>
    <w:rsid w:val="00560485"/>
    <w:rsid w:val="00565AD6"/>
    <w:rsid w:val="00567A8D"/>
    <w:rsid w:val="00576EE8"/>
    <w:rsid w:val="00576F58"/>
    <w:rsid w:val="0058009A"/>
    <w:rsid w:val="005818DF"/>
    <w:rsid w:val="005874C5"/>
    <w:rsid w:val="005954CE"/>
    <w:rsid w:val="0059771A"/>
    <w:rsid w:val="005A0A62"/>
    <w:rsid w:val="005A14BA"/>
    <w:rsid w:val="005A26B8"/>
    <w:rsid w:val="005A623B"/>
    <w:rsid w:val="005A787C"/>
    <w:rsid w:val="005B1012"/>
    <w:rsid w:val="005B4065"/>
    <w:rsid w:val="005B4720"/>
    <w:rsid w:val="005B4B6C"/>
    <w:rsid w:val="005B6B3E"/>
    <w:rsid w:val="005B79CE"/>
    <w:rsid w:val="005C0231"/>
    <w:rsid w:val="005C4A51"/>
    <w:rsid w:val="005C5875"/>
    <w:rsid w:val="005C67D3"/>
    <w:rsid w:val="005C67FC"/>
    <w:rsid w:val="005C7306"/>
    <w:rsid w:val="005D2659"/>
    <w:rsid w:val="005D3BF2"/>
    <w:rsid w:val="005D448F"/>
    <w:rsid w:val="005D550E"/>
    <w:rsid w:val="005D65B7"/>
    <w:rsid w:val="005D7A39"/>
    <w:rsid w:val="005E2D9C"/>
    <w:rsid w:val="005E44D3"/>
    <w:rsid w:val="005E6852"/>
    <w:rsid w:val="005E6A30"/>
    <w:rsid w:val="005F3D03"/>
    <w:rsid w:val="005F5A1D"/>
    <w:rsid w:val="00602CE7"/>
    <w:rsid w:val="006040EB"/>
    <w:rsid w:val="00610F5C"/>
    <w:rsid w:val="00611B4E"/>
    <w:rsid w:val="0061582C"/>
    <w:rsid w:val="0061662E"/>
    <w:rsid w:val="0062337D"/>
    <w:rsid w:val="006242FC"/>
    <w:rsid w:val="0062604B"/>
    <w:rsid w:val="0063308C"/>
    <w:rsid w:val="00636E3B"/>
    <w:rsid w:val="00641ADC"/>
    <w:rsid w:val="00641E2E"/>
    <w:rsid w:val="00652B1F"/>
    <w:rsid w:val="00660A6C"/>
    <w:rsid w:val="00661C77"/>
    <w:rsid w:val="00665473"/>
    <w:rsid w:val="00665508"/>
    <w:rsid w:val="00666F88"/>
    <w:rsid w:val="006741EC"/>
    <w:rsid w:val="00675449"/>
    <w:rsid w:val="0067548D"/>
    <w:rsid w:val="00675CCA"/>
    <w:rsid w:val="00677E79"/>
    <w:rsid w:val="006830DA"/>
    <w:rsid w:val="00684447"/>
    <w:rsid w:val="00692765"/>
    <w:rsid w:val="006948E7"/>
    <w:rsid w:val="00695E32"/>
    <w:rsid w:val="00697920"/>
    <w:rsid w:val="006A0C78"/>
    <w:rsid w:val="006A3337"/>
    <w:rsid w:val="006A3876"/>
    <w:rsid w:val="006A3F9A"/>
    <w:rsid w:val="006A4683"/>
    <w:rsid w:val="006B3187"/>
    <w:rsid w:val="006B41CF"/>
    <w:rsid w:val="006B669D"/>
    <w:rsid w:val="006B6DC0"/>
    <w:rsid w:val="006B74B3"/>
    <w:rsid w:val="006B7755"/>
    <w:rsid w:val="006C27F2"/>
    <w:rsid w:val="006C6C7A"/>
    <w:rsid w:val="006D0DCC"/>
    <w:rsid w:val="006D1359"/>
    <w:rsid w:val="006D4ACC"/>
    <w:rsid w:val="006E0DA2"/>
    <w:rsid w:val="006E2C93"/>
    <w:rsid w:val="006F027F"/>
    <w:rsid w:val="006F1595"/>
    <w:rsid w:val="006F6B00"/>
    <w:rsid w:val="007068FC"/>
    <w:rsid w:val="007070A0"/>
    <w:rsid w:val="00711243"/>
    <w:rsid w:val="00711FF8"/>
    <w:rsid w:val="00712318"/>
    <w:rsid w:val="00715D49"/>
    <w:rsid w:val="007169D9"/>
    <w:rsid w:val="00716C60"/>
    <w:rsid w:val="00717A22"/>
    <w:rsid w:val="007201A2"/>
    <w:rsid w:val="0072045F"/>
    <w:rsid w:val="007226DC"/>
    <w:rsid w:val="007244CB"/>
    <w:rsid w:val="00724967"/>
    <w:rsid w:val="00727567"/>
    <w:rsid w:val="00727701"/>
    <w:rsid w:val="0073014D"/>
    <w:rsid w:val="00730B67"/>
    <w:rsid w:val="007313F2"/>
    <w:rsid w:val="007314C3"/>
    <w:rsid w:val="00733094"/>
    <w:rsid w:val="00733A1E"/>
    <w:rsid w:val="00734AAB"/>
    <w:rsid w:val="00737CCB"/>
    <w:rsid w:val="00737D3F"/>
    <w:rsid w:val="0074102C"/>
    <w:rsid w:val="00741DEE"/>
    <w:rsid w:val="00742CEA"/>
    <w:rsid w:val="0074412B"/>
    <w:rsid w:val="00745386"/>
    <w:rsid w:val="007477FD"/>
    <w:rsid w:val="0075098E"/>
    <w:rsid w:val="00751F7D"/>
    <w:rsid w:val="00753760"/>
    <w:rsid w:val="00755CC5"/>
    <w:rsid w:val="00756738"/>
    <w:rsid w:val="00760167"/>
    <w:rsid w:val="00761763"/>
    <w:rsid w:val="007617C3"/>
    <w:rsid w:val="00773880"/>
    <w:rsid w:val="00773C09"/>
    <w:rsid w:val="007764E9"/>
    <w:rsid w:val="00782D8C"/>
    <w:rsid w:val="00784EAD"/>
    <w:rsid w:val="00786C96"/>
    <w:rsid w:val="00790393"/>
    <w:rsid w:val="00790408"/>
    <w:rsid w:val="00793C21"/>
    <w:rsid w:val="00794612"/>
    <w:rsid w:val="00795564"/>
    <w:rsid w:val="007A206C"/>
    <w:rsid w:val="007A4043"/>
    <w:rsid w:val="007A6F0D"/>
    <w:rsid w:val="007B0701"/>
    <w:rsid w:val="007B083C"/>
    <w:rsid w:val="007B1804"/>
    <w:rsid w:val="007B4501"/>
    <w:rsid w:val="007B55D1"/>
    <w:rsid w:val="007B5ACE"/>
    <w:rsid w:val="007C05DC"/>
    <w:rsid w:val="007C07A2"/>
    <w:rsid w:val="007C4FAD"/>
    <w:rsid w:val="007D0712"/>
    <w:rsid w:val="007D09B6"/>
    <w:rsid w:val="007D1D80"/>
    <w:rsid w:val="007D4610"/>
    <w:rsid w:val="007E0C5C"/>
    <w:rsid w:val="007E2979"/>
    <w:rsid w:val="007E2B60"/>
    <w:rsid w:val="007E53B8"/>
    <w:rsid w:val="007E7924"/>
    <w:rsid w:val="007F3747"/>
    <w:rsid w:val="007F40E9"/>
    <w:rsid w:val="007F53A4"/>
    <w:rsid w:val="0080120C"/>
    <w:rsid w:val="00801C1F"/>
    <w:rsid w:val="00802373"/>
    <w:rsid w:val="00803ECF"/>
    <w:rsid w:val="0080562B"/>
    <w:rsid w:val="008058BA"/>
    <w:rsid w:val="00805D42"/>
    <w:rsid w:val="00807B98"/>
    <w:rsid w:val="0081649D"/>
    <w:rsid w:val="008171F9"/>
    <w:rsid w:val="008235F6"/>
    <w:rsid w:val="0082406B"/>
    <w:rsid w:val="00825EF9"/>
    <w:rsid w:val="0082750A"/>
    <w:rsid w:val="00830617"/>
    <w:rsid w:val="00832BB8"/>
    <w:rsid w:val="008373E3"/>
    <w:rsid w:val="00842675"/>
    <w:rsid w:val="00842685"/>
    <w:rsid w:val="008462C6"/>
    <w:rsid w:val="0084719D"/>
    <w:rsid w:val="0084743F"/>
    <w:rsid w:val="00851709"/>
    <w:rsid w:val="0085171B"/>
    <w:rsid w:val="00854404"/>
    <w:rsid w:val="00855FA0"/>
    <w:rsid w:val="0086007D"/>
    <w:rsid w:val="00860815"/>
    <w:rsid w:val="008666AF"/>
    <w:rsid w:val="00866FA6"/>
    <w:rsid w:val="008705DD"/>
    <w:rsid w:val="00872046"/>
    <w:rsid w:val="00877E5C"/>
    <w:rsid w:val="00880186"/>
    <w:rsid w:val="00882EA2"/>
    <w:rsid w:val="00892E79"/>
    <w:rsid w:val="00894D45"/>
    <w:rsid w:val="0089601E"/>
    <w:rsid w:val="0089779F"/>
    <w:rsid w:val="008A085A"/>
    <w:rsid w:val="008A21D2"/>
    <w:rsid w:val="008A3026"/>
    <w:rsid w:val="008A6264"/>
    <w:rsid w:val="008B085F"/>
    <w:rsid w:val="008B1B05"/>
    <w:rsid w:val="008B2140"/>
    <w:rsid w:val="008B271D"/>
    <w:rsid w:val="008C06BF"/>
    <w:rsid w:val="008C1CEF"/>
    <w:rsid w:val="008C2227"/>
    <w:rsid w:val="008C714D"/>
    <w:rsid w:val="008C7A1C"/>
    <w:rsid w:val="008D335C"/>
    <w:rsid w:val="008E07FF"/>
    <w:rsid w:val="008E2A7E"/>
    <w:rsid w:val="008E489C"/>
    <w:rsid w:val="008E60B1"/>
    <w:rsid w:val="008E664F"/>
    <w:rsid w:val="008F0F1C"/>
    <w:rsid w:val="008F12EA"/>
    <w:rsid w:val="008F24F0"/>
    <w:rsid w:val="008F418E"/>
    <w:rsid w:val="008F4BC8"/>
    <w:rsid w:val="008F63E9"/>
    <w:rsid w:val="008F7199"/>
    <w:rsid w:val="00900D27"/>
    <w:rsid w:val="00900E4D"/>
    <w:rsid w:val="00901ECE"/>
    <w:rsid w:val="00904354"/>
    <w:rsid w:val="0092729E"/>
    <w:rsid w:val="009333D0"/>
    <w:rsid w:val="00935F5C"/>
    <w:rsid w:val="00936681"/>
    <w:rsid w:val="00936DB0"/>
    <w:rsid w:val="00936E99"/>
    <w:rsid w:val="00937F27"/>
    <w:rsid w:val="009403FC"/>
    <w:rsid w:val="00940995"/>
    <w:rsid w:val="00940DC0"/>
    <w:rsid w:val="00945567"/>
    <w:rsid w:val="00945BDC"/>
    <w:rsid w:val="00945DDB"/>
    <w:rsid w:val="00950B4F"/>
    <w:rsid w:val="00951866"/>
    <w:rsid w:val="00952997"/>
    <w:rsid w:val="0095434D"/>
    <w:rsid w:val="00954F52"/>
    <w:rsid w:val="009551FF"/>
    <w:rsid w:val="009613D9"/>
    <w:rsid w:val="009632F3"/>
    <w:rsid w:val="0096522C"/>
    <w:rsid w:val="00965E47"/>
    <w:rsid w:val="00965FF0"/>
    <w:rsid w:val="00971377"/>
    <w:rsid w:val="00974022"/>
    <w:rsid w:val="00975525"/>
    <w:rsid w:val="00975DC5"/>
    <w:rsid w:val="0098318A"/>
    <w:rsid w:val="00987EC4"/>
    <w:rsid w:val="00991777"/>
    <w:rsid w:val="00993F4C"/>
    <w:rsid w:val="009A11F0"/>
    <w:rsid w:val="009A60FC"/>
    <w:rsid w:val="009B0A8D"/>
    <w:rsid w:val="009B29FB"/>
    <w:rsid w:val="009B7CF2"/>
    <w:rsid w:val="009C01BE"/>
    <w:rsid w:val="009C7C64"/>
    <w:rsid w:val="009D00E6"/>
    <w:rsid w:val="009E411B"/>
    <w:rsid w:val="009E7B85"/>
    <w:rsid w:val="009F0572"/>
    <w:rsid w:val="009F087A"/>
    <w:rsid w:val="00A005CE"/>
    <w:rsid w:val="00A0244D"/>
    <w:rsid w:val="00A03043"/>
    <w:rsid w:val="00A0479B"/>
    <w:rsid w:val="00A061BD"/>
    <w:rsid w:val="00A07D2E"/>
    <w:rsid w:val="00A11385"/>
    <w:rsid w:val="00A12DA6"/>
    <w:rsid w:val="00A16D1B"/>
    <w:rsid w:val="00A17CDE"/>
    <w:rsid w:val="00A21A30"/>
    <w:rsid w:val="00A23E52"/>
    <w:rsid w:val="00A272E2"/>
    <w:rsid w:val="00A30792"/>
    <w:rsid w:val="00A32957"/>
    <w:rsid w:val="00A35793"/>
    <w:rsid w:val="00A4159C"/>
    <w:rsid w:val="00A420EF"/>
    <w:rsid w:val="00A449C0"/>
    <w:rsid w:val="00A513D0"/>
    <w:rsid w:val="00A54230"/>
    <w:rsid w:val="00A56678"/>
    <w:rsid w:val="00A57DB7"/>
    <w:rsid w:val="00A612AB"/>
    <w:rsid w:val="00A61983"/>
    <w:rsid w:val="00A633D8"/>
    <w:rsid w:val="00A63F10"/>
    <w:rsid w:val="00A65C96"/>
    <w:rsid w:val="00A6681C"/>
    <w:rsid w:val="00A7172A"/>
    <w:rsid w:val="00A71EFB"/>
    <w:rsid w:val="00A77EEE"/>
    <w:rsid w:val="00A83203"/>
    <w:rsid w:val="00A83AF6"/>
    <w:rsid w:val="00A84AC4"/>
    <w:rsid w:val="00A858CC"/>
    <w:rsid w:val="00A8781C"/>
    <w:rsid w:val="00A919A0"/>
    <w:rsid w:val="00A92358"/>
    <w:rsid w:val="00A95244"/>
    <w:rsid w:val="00A9636D"/>
    <w:rsid w:val="00A9783F"/>
    <w:rsid w:val="00AA05E8"/>
    <w:rsid w:val="00AA166F"/>
    <w:rsid w:val="00AA3335"/>
    <w:rsid w:val="00AB2AD5"/>
    <w:rsid w:val="00AB460B"/>
    <w:rsid w:val="00AB47B5"/>
    <w:rsid w:val="00AB6A1D"/>
    <w:rsid w:val="00AB7452"/>
    <w:rsid w:val="00AC6D89"/>
    <w:rsid w:val="00AD45E5"/>
    <w:rsid w:val="00AD56E3"/>
    <w:rsid w:val="00AD6AA9"/>
    <w:rsid w:val="00AD7AEB"/>
    <w:rsid w:val="00AE1205"/>
    <w:rsid w:val="00AE3E87"/>
    <w:rsid w:val="00AE630C"/>
    <w:rsid w:val="00AF070E"/>
    <w:rsid w:val="00AF0A95"/>
    <w:rsid w:val="00AF16C4"/>
    <w:rsid w:val="00AF3B01"/>
    <w:rsid w:val="00AF7244"/>
    <w:rsid w:val="00AF75F7"/>
    <w:rsid w:val="00B00551"/>
    <w:rsid w:val="00B01995"/>
    <w:rsid w:val="00B02F2B"/>
    <w:rsid w:val="00B045CF"/>
    <w:rsid w:val="00B04D8E"/>
    <w:rsid w:val="00B1117A"/>
    <w:rsid w:val="00B137A3"/>
    <w:rsid w:val="00B149C6"/>
    <w:rsid w:val="00B17EBE"/>
    <w:rsid w:val="00B26DCE"/>
    <w:rsid w:val="00B27303"/>
    <w:rsid w:val="00B276CA"/>
    <w:rsid w:val="00B35223"/>
    <w:rsid w:val="00B4035A"/>
    <w:rsid w:val="00B413B7"/>
    <w:rsid w:val="00B47934"/>
    <w:rsid w:val="00B53184"/>
    <w:rsid w:val="00B5718D"/>
    <w:rsid w:val="00B5768C"/>
    <w:rsid w:val="00B62262"/>
    <w:rsid w:val="00B627C7"/>
    <w:rsid w:val="00B65AD1"/>
    <w:rsid w:val="00B67EDF"/>
    <w:rsid w:val="00B7504B"/>
    <w:rsid w:val="00B76464"/>
    <w:rsid w:val="00B76B8E"/>
    <w:rsid w:val="00B92019"/>
    <w:rsid w:val="00BA0AA1"/>
    <w:rsid w:val="00BA3E06"/>
    <w:rsid w:val="00BB1716"/>
    <w:rsid w:val="00BB3BC3"/>
    <w:rsid w:val="00BB6E12"/>
    <w:rsid w:val="00BC02FC"/>
    <w:rsid w:val="00BC50C3"/>
    <w:rsid w:val="00BC5CD4"/>
    <w:rsid w:val="00BC7937"/>
    <w:rsid w:val="00BD110F"/>
    <w:rsid w:val="00BD3ECF"/>
    <w:rsid w:val="00BD4B9A"/>
    <w:rsid w:val="00BD541E"/>
    <w:rsid w:val="00BD5E48"/>
    <w:rsid w:val="00BE1A44"/>
    <w:rsid w:val="00BE38E0"/>
    <w:rsid w:val="00BE6284"/>
    <w:rsid w:val="00BF1F63"/>
    <w:rsid w:val="00BF50AC"/>
    <w:rsid w:val="00BF6AF1"/>
    <w:rsid w:val="00C001E0"/>
    <w:rsid w:val="00C04B2B"/>
    <w:rsid w:val="00C13BBC"/>
    <w:rsid w:val="00C143C7"/>
    <w:rsid w:val="00C14B2A"/>
    <w:rsid w:val="00C21D8A"/>
    <w:rsid w:val="00C249E9"/>
    <w:rsid w:val="00C31988"/>
    <w:rsid w:val="00C31AD9"/>
    <w:rsid w:val="00C322F5"/>
    <w:rsid w:val="00C4335C"/>
    <w:rsid w:val="00C45153"/>
    <w:rsid w:val="00C46CEE"/>
    <w:rsid w:val="00C47838"/>
    <w:rsid w:val="00C47E47"/>
    <w:rsid w:val="00C50673"/>
    <w:rsid w:val="00C55448"/>
    <w:rsid w:val="00C60CB9"/>
    <w:rsid w:val="00C6329E"/>
    <w:rsid w:val="00C6418D"/>
    <w:rsid w:val="00C65C24"/>
    <w:rsid w:val="00C6660F"/>
    <w:rsid w:val="00C72624"/>
    <w:rsid w:val="00C756BF"/>
    <w:rsid w:val="00C77EDD"/>
    <w:rsid w:val="00C8620C"/>
    <w:rsid w:val="00C9122E"/>
    <w:rsid w:val="00C92564"/>
    <w:rsid w:val="00C961EB"/>
    <w:rsid w:val="00C97F78"/>
    <w:rsid w:val="00CA1DE7"/>
    <w:rsid w:val="00CA25D0"/>
    <w:rsid w:val="00CA43C1"/>
    <w:rsid w:val="00CA5210"/>
    <w:rsid w:val="00CA6A4B"/>
    <w:rsid w:val="00CB002B"/>
    <w:rsid w:val="00CB4ACC"/>
    <w:rsid w:val="00CC114F"/>
    <w:rsid w:val="00CC563C"/>
    <w:rsid w:val="00CC754F"/>
    <w:rsid w:val="00CC79FF"/>
    <w:rsid w:val="00CC7F5C"/>
    <w:rsid w:val="00CD0179"/>
    <w:rsid w:val="00CD234E"/>
    <w:rsid w:val="00CD2537"/>
    <w:rsid w:val="00CD716F"/>
    <w:rsid w:val="00CE49A3"/>
    <w:rsid w:val="00CE4C24"/>
    <w:rsid w:val="00CF1826"/>
    <w:rsid w:val="00CF6F68"/>
    <w:rsid w:val="00D00011"/>
    <w:rsid w:val="00D017B7"/>
    <w:rsid w:val="00D05F79"/>
    <w:rsid w:val="00D122B3"/>
    <w:rsid w:val="00D21BB3"/>
    <w:rsid w:val="00D227A0"/>
    <w:rsid w:val="00D23B31"/>
    <w:rsid w:val="00D250C7"/>
    <w:rsid w:val="00D37B0D"/>
    <w:rsid w:val="00D41586"/>
    <w:rsid w:val="00D42446"/>
    <w:rsid w:val="00D43F6C"/>
    <w:rsid w:val="00D476F8"/>
    <w:rsid w:val="00D47AD4"/>
    <w:rsid w:val="00D52331"/>
    <w:rsid w:val="00D5320D"/>
    <w:rsid w:val="00D53EC3"/>
    <w:rsid w:val="00D5783D"/>
    <w:rsid w:val="00D57B60"/>
    <w:rsid w:val="00D7063F"/>
    <w:rsid w:val="00D71B50"/>
    <w:rsid w:val="00D7571B"/>
    <w:rsid w:val="00D762C8"/>
    <w:rsid w:val="00D776F7"/>
    <w:rsid w:val="00D8399C"/>
    <w:rsid w:val="00D85408"/>
    <w:rsid w:val="00D860EE"/>
    <w:rsid w:val="00D9140E"/>
    <w:rsid w:val="00D932DF"/>
    <w:rsid w:val="00D95E06"/>
    <w:rsid w:val="00D968F6"/>
    <w:rsid w:val="00D9714B"/>
    <w:rsid w:val="00DA05B6"/>
    <w:rsid w:val="00DA1415"/>
    <w:rsid w:val="00DA1FC1"/>
    <w:rsid w:val="00DA55A0"/>
    <w:rsid w:val="00DA64B7"/>
    <w:rsid w:val="00DB56E0"/>
    <w:rsid w:val="00DB69D7"/>
    <w:rsid w:val="00DB6F0A"/>
    <w:rsid w:val="00DB726D"/>
    <w:rsid w:val="00DC3ECA"/>
    <w:rsid w:val="00DC7B80"/>
    <w:rsid w:val="00DD368F"/>
    <w:rsid w:val="00DD4413"/>
    <w:rsid w:val="00DD4600"/>
    <w:rsid w:val="00DD53F9"/>
    <w:rsid w:val="00DE01CF"/>
    <w:rsid w:val="00DE10A3"/>
    <w:rsid w:val="00DE7999"/>
    <w:rsid w:val="00DE79BA"/>
    <w:rsid w:val="00DF17D0"/>
    <w:rsid w:val="00DF2A9B"/>
    <w:rsid w:val="00DF3B6B"/>
    <w:rsid w:val="00DF4AB4"/>
    <w:rsid w:val="00E02CE2"/>
    <w:rsid w:val="00E0554E"/>
    <w:rsid w:val="00E07DDA"/>
    <w:rsid w:val="00E1227A"/>
    <w:rsid w:val="00E12410"/>
    <w:rsid w:val="00E142B7"/>
    <w:rsid w:val="00E2104F"/>
    <w:rsid w:val="00E23A10"/>
    <w:rsid w:val="00E255E5"/>
    <w:rsid w:val="00E30987"/>
    <w:rsid w:val="00E36E4E"/>
    <w:rsid w:val="00E41416"/>
    <w:rsid w:val="00E4145F"/>
    <w:rsid w:val="00E43D19"/>
    <w:rsid w:val="00E44463"/>
    <w:rsid w:val="00E5024F"/>
    <w:rsid w:val="00E5210A"/>
    <w:rsid w:val="00E56A4E"/>
    <w:rsid w:val="00E60D15"/>
    <w:rsid w:val="00E63118"/>
    <w:rsid w:val="00E64C61"/>
    <w:rsid w:val="00E657E2"/>
    <w:rsid w:val="00E66CBC"/>
    <w:rsid w:val="00E670E2"/>
    <w:rsid w:val="00E67148"/>
    <w:rsid w:val="00E8017B"/>
    <w:rsid w:val="00E80819"/>
    <w:rsid w:val="00E80F64"/>
    <w:rsid w:val="00E81413"/>
    <w:rsid w:val="00E87B6C"/>
    <w:rsid w:val="00E95CEB"/>
    <w:rsid w:val="00E96236"/>
    <w:rsid w:val="00E96AE4"/>
    <w:rsid w:val="00EA2C5F"/>
    <w:rsid w:val="00EA4C3F"/>
    <w:rsid w:val="00EA6361"/>
    <w:rsid w:val="00EA707B"/>
    <w:rsid w:val="00EB5C5D"/>
    <w:rsid w:val="00EB5E5C"/>
    <w:rsid w:val="00EB6419"/>
    <w:rsid w:val="00EB69EE"/>
    <w:rsid w:val="00EC0158"/>
    <w:rsid w:val="00EC129A"/>
    <w:rsid w:val="00EC184D"/>
    <w:rsid w:val="00EC2AA8"/>
    <w:rsid w:val="00EC2FC1"/>
    <w:rsid w:val="00EC3F33"/>
    <w:rsid w:val="00EC5350"/>
    <w:rsid w:val="00EC7DF1"/>
    <w:rsid w:val="00ED3594"/>
    <w:rsid w:val="00EE6472"/>
    <w:rsid w:val="00EF4C15"/>
    <w:rsid w:val="00EF7DC3"/>
    <w:rsid w:val="00F0088D"/>
    <w:rsid w:val="00F01670"/>
    <w:rsid w:val="00F055E6"/>
    <w:rsid w:val="00F07788"/>
    <w:rsid w:val="00F07B02"/>
    <w:rsid w:val="00F13F62"/>
    <w:rsid w:val="00F159C6"/>
    <w:rsid w:val="00F16759"/>
    <w:rsid w:val="00F17501"/>
    <w:rsid w:val="00F2142B"/>
    <w:rsid w:val="00F216B2"/>
    <w:rsid w:val="00F22B58"/>
    <w:rsid w:val="00F246C1"/>
    <w:rsid w:val="00F2534A"/>
    <w:rsid w:val="00F26585"/>
    <w:rsid w:val="00F272BF"/>
    <w:rsid w:val="00F30F8E"/>
    <w:rsid w:val="00F33052"/>
    <w:rsid w:val="00F34903"/>
    <w:rsid w:val="00F37345"/>
    <w:rsid w:val="00F408B6"/>
    <w:rsid w:val="00F41649"/>
    <w:rsid w:val="00F419A9"/>
    <w:rsid w:val="00F42329"/>
    <w:rsid w:val="00F42C00"/>
    <w:rsid w:val="00F5287C"/>
    <w:rsid w:val="00F55506"/>
    <w:rsid w:val="00F56200"/>
    <w:rsid w:val="00F606D5"/>
    <w:rsid w:val="00F63AD7"/>
    <w:rsid w:val="00F655E5"/>
    <w:rsid w:val="00F66FE0"/>
    <w:rsid w:val="00F70D0B"/>
    <w:rsid w:val="00F71957"/>
    <w:rsid w:val="00F7304D"/>
    <w:rsid w:val="00F82C3A"/>
    <w:rsid w:val="00F8716D"/>
    <w:rsid w:val="00F91740"/>
    <w:rsid w:val="00F949F2"/>
    <w:rsid w:val="00F972AB"/>
    <w:rsid w:val="00FA0989"/>
    <w:rsid w:val="00FA3321"/>
    <w:rsid w:val="00FB25CC"/>
    <w:rsid w:val="00FB4FB3"/>
    <w:rsid w:val="00FB603E"/>
    <w:rsid w:val="00FB7EE1"/>
    <w:rsid w:val="00FC4944"/>
    <w:rsid w:val="00FC4FCA"/>
    <w:rsid w:val="00FC7885"/>
    <w:rsid w:val="00FE1063"/>
    <w:rsid w:val="00FE255C"/>
    <w:rsid w:val="00FE4922"/>
    <w:rsid w:val="00FE4F4D"/>
    <w:rsid w:val="00FE597F"/>
    <w:rsid w:val="00FE658F"/>
    <w:rsid w:val="00FF0333"/>
    <w:rsid w:val="00FF0B46"/>
    <w:rsid w:val="00FF1458"/>
    <w:rsid w:val="01172099"/>
    <w:rsid w:val="014120C7"/>
    <w:rsid w:val="0156236C"/>
    <w:rsid w:val="01C320F6"/>
    <w:rsid w:val="01CE1393"/>
    <w:rsid w:val="01E60081"/>
    <w:rsid w:val="020344E4"/>
    <w:rsid w:val="020816EA"/>
    <w:rsid w:val="02111BDE"/>
    <w:rsid w:val="021A6B98"/>
    <w:rsid w:val="02721654"/>
    <w:rsid w:val="02EF782A"/>
    <w:rsid w:val="032A2FA7"/>
    <w:rsid w:val="035348A5"/>
    <w:rsid w:val="03694F55"/>
    <w:rsid w:val="03761FE1"/>
    <w:rsid w:val="039110DC"/>
    <w:rsid w:val="03A66C44"/>
    <w:rsid w:val="03EF4BB5"/>
    <w:rsid w:val="04007D4D"/>
    <w:rsid w:val="04280BDE"/>
    <w:rsid w:val="0474047D"/>
    <w:rsid w:val="048F44A4"/>
    <w:rsid w:val="04C931EE"/>
    <w:rsid w:val="04DE6BDA"/>
    <w:rsid w:val="04F4408C"/>
    <w:rsid w:val="050419EF"/>
    <w:rsid w:val="051B556B"/>
    <w:rsid w:val="053A4F12"/>
    <w:rsid w:val="0544162D"/>
    <w:rsid w:val="056452DA"/>
    <w:rsid w:val="056763A5"/>
    <w:rsid w:val="059A1F08"/>
    <w:rsid w:val="05BC42D0"/>
    <w:rsid w:val="05C308E0"/>
    <w:rsid w:val="06187774"/>
    <w:rsid w:val="062358B3"/>
    <w:rsid w:val="06784980"/>
    <w:rsid w:val="06BD1378"/>
    <w:rsid w:val="06DE3E94"/>
    <w:rsid w:val="06E27CAD"/>
    <w:rsid w:val="07204D59"/>
    <w:rsid w:val="07231B68"/>
    <w:rsid w:val="073C3819"/>
    <w:rsid w:val="07717930"/>
    <w:rsid w:val="081D6E6E"/>
    <w:rsid w:val="081E5D9A"/>
    <w:rsid w:val="085733F1"/>
    <w:rsid w:val="08846D72"/>
    <w:rsid w:val="089B5799"/>
    <w:rsid w:val="08A63A6C"/>
    <w:rsid w:val="08E030FC"/>
    <w:rsid w:val="09080423"/>
    <w:rsid w:val="09131B19"/>
    <w:rsid w:val="091651B6"/>
    <w:rsid w:val="09254A51"/>
    <w:rsid w:val="09264B4D"/>
    <w:rsid w:val="093D6B40"/>
    <w:rsid w:val="099A08B5"/>
    <w:rsid w:val="09A03EDE"/>
    <w:rsid w:val="09B61747"/>
    <w:rsid w:val="09B926C4"/>
    <w:rsid w:val="09C769D8"/>
    <w:rsid w:val="09F37A49"/>
    <w:rsid w:val="0A1B510C"/>
    <w:rsid w:val="0A2E1F94"/>
    <w:rsid w:val="0A3973F3"/>
    <w:rsid w:val="0A8D24BB"/>
    <w:rsid w:val="0AAA039E"/>
    <w:rsid w:val="0ACD7219"/>
    <w:rsid w:val="0B0052A5"/>
    <w:rsid w:val="0B1F1FCD"/>
    <w:rsid w:val="0B362130"/>
    <w:rsid w:val="0B3C457B"/>
    <w:rsid w:val="0B555C46"/>
    <w:rsid w:val="0B5F0D51"/>
    <w:rsid w:val="0B81389B"/>
    <w:rsid w:val="0B996B60"/>
    <w:rsid w:val="0BB8764C"/>
    <w:rsid w:val="0BDC4285"/>
    <w:rsid w:val="0BEE28EB"/>
    <w:rsid w:val="0BFB4036"/>
    <w:rsid w:val="0C243604"/>
    <w:rsid w:val="0C4A769D"/>
    <w:rsid w:val="0C683586"/>
    <w:rsid w:val="0C946F52"/>
    <w:rsid w:val="0CB31F07"/>
    <w:rsid w:val="0CD20C0A"/>
    <w:rsid w:val="0CEF2638"/>
    <w:rsid w:val="0D307B12"/>
    <w:rsid w:val="0D331760"/>
    <w:rsid w:val="0D4841F9"/>
    <w:rsid w:val="0D524C9E"/>
    <w:rsid w:val="0D8768DB"/>
    <w:rsid w:val="0DBE21FF"/>
    <w:rsid w:val="0DCB303D"/>
    <w:rsid w:val="0DF47405"/>
    <w:rsid w:val="0E182A2F"/>
    <w:rsid w:val="0E2875AB"/>
    <w:rsid w:val="0E2F2BA4"/>
    <w:rsid w:val="0E3F3762"/>
    <w:rsid w:val="0E4D00C0"/>
    <w:rsid w:val="0E536E29"/>
    <w:rsid w:val="0E5B5086"/>
    <w:rsid w:val="0EB022C6"/>
    <w:rsid w:val="0EB34544"/>
    <w:rsid w:val="0EB81478"/>
    <w:rsid w:val="0ED83D75"/>
    <w:rsid w:val="0EDB43A3"/>
    <w:rsid w:val="0F014F38"/>
    <w:rsid w:val="0F061CEB"/>
    <w:rsid w:val="0F0E7747"/>
    <w:rsid w:val="0FA25B27"/>
    <w:rsid w:val="0FB422F9"/>
    <w:rsid w:val="0FC74F9C"/>
    <w:rsid w:val="0FCD25C3"/>
    <w:rsid w:val="0FFA01EA"/>
    <w:rsid w:val="103F39F0"/>
    <w:rsid w:val="10495056"/>
    <w:rsid w:val="10704089"/>
    <w:rsid w:val="109A3B86"/>
    <w:rsid w:val="10A225A6"/>
    <w:rsid w:val="10C8222C"/>
    <w:rsid w:val="10CE72F8"/>
    <w:rsid w:val="10D974E3"/>
    <w:rsid w:val="10DA4BD4"/>
    <w:rsid w:val="10DF7955"/>
    <w:rsid w:val="1107089E"/>
    <w:rsid w:val="11164A85"/>
    <w:rsid w:val="11337E3C"/>
    <w:rsid w:val="114C7342"/>
    <w:rsid w:val="115455AE"/>
    <w:rsid w:val="11952D34"/>
    <w:rsid w:val="119C7A5A"/>
    <w:rsid w:val="11BB1714"/>
    <w:rsid w:val="11C00F00"/>
    <w:rsid w:val="12052847"/>
    <w:rsid w:val="120C170E"/>
    <w:rsid w:val="1225315B"/>
    <w:rsid w:val="122B1E5C"/>
    <w:rsid w:val="123635C4"/>
    <w:rsid w:val="12485CA9"/>
    <w:rsid w:val="128D6F19"/>
    <w:rsid w:val="12905A8D"/>
    <w:rsid w:val="12AB76DE"/>
    <w:rsid w:val="12EE3A35"/>
    <w:rsid w:val="12F85D2B"/>
    <w:rsid w:val="12FF12E0"/>
    <w:rsid w:val="13221A2C"/>
    <w:rsid w:val="132F34E3"/>
    <w:rsid w:val="13453739"/>
    <w:rsid w:val="134A6C68"/>
    <w:rsid w:val="134F7DB0"/>
    <w:rsid w:val="13541265"/>
    <w:rsid w:val="136117AC"/>
    <w:rsid w:val="136C738C"/>
    <w:rsid w:val="137B4287"/>
    <w:rsid w:val="1397638F"/>
    <w:rsid w:val="13A81FD3"/>
    <w:rsid w:val="13B64320"/>
    <w:rsid w:val="13D11886"/>
    <w:rsid w:val="13F709C7"/>
    <w:rsid w:val="14051DD9"/>
    <w:rsid w:val="142017F1"/>
    <w:rsid w:val="143D2374"/>
    <w:rsid w:val="144D4B00"/>
    <w:rsid w:val="14547FEF"/>
    <w:rsid w:val="14651B57"/>
    <w:rsid w:val="14675F92"/>
    <w:rsid w:val="14930AAD"/>
    <w:rsid w:val="150237A4"/>
    <w:rsid w:val="1557618D"/>
    <w:rsid w:val="155B33AF"/>
    <w:rsid w:val="156C2D77"/>
    <w:rsid w:val="15B9757C"/>
    <w:rsid w:val="15CC58CF"/>
    <w:rsid w:val="15D44A7A"/>
    <w:rsid w:val="16130AEE"/>
    <w:rsid w:val="162D59C2"/>
    <w:rsid w:val="163539DE"/>
    <w:rsid w:val="1644465E"/>
    <w:rsid w:val="16687281"/>
    <w:rsid w:val="1679139F"/>
    <w:rsid w:val="16893F32"/>
    <w:rsid w:val="16B234FA"/>
    <w:rsid w:val="16B55AD8"/>
    <w:rsid w:val="16C61DE9"/>
    <w:rsid w:val="16C85686"/>
    <w:rsid w:val="16EE2AF4"/>
    <w:rsid w:val="17092B03"/>
    <w:rsid w:val="170A0B6B"/>
    <w:rsid w:val="170A613E"/>
    <w:rsid w:val="171E01FE"/>
    <w:rsid w:val="175725D1"/>
    <w:rsid w:val="175C47B0"/>
    <w:rsid w:val="176B6BCE"/>
    <w:rsid w:val="17B73274"/>
    <w:rsid w:val="17C00A87"/>
    <w:rsid w:val="17EC7253"/>
    <w:rsid w:val="17F24003"/>
    <w:rsid w:val="17FD2545"/>
    <w:rsid w:val="1819423B"/>
    <w:rsid w:val="183B0C31"/>
    <w:rsid w:val="18653E0A"/>
    <w:rsid w:val="18680600"/>
    <w:rsid w:val="187A6127"/>
    <w:rsid w:val="188D6CEA"/>
    <w:rsid w:val="190C0EA1"/>
    <w:rsid w:val="19AB267A"/>
    <w:rsid w:val="19AC7CB6"/>
    <w:rsid w:val="19B220B4"/>
    <w:rsid w:val="19CF7D77"/>
    <w:rsid w:val="19D84E8D"/>
    <w:rsid w:val="1A024B0B"/>
    <w:rsid w:val="1A3B555D"/>
    <w:rsid w:val="1A601179"/>
    <w:rsid w:val="1A7A2AE1"/>
    <w:rsid w:val="1A8324B7"/>
    <w:rsid w:val="1AD77605"/>
    <w:rsid w:val="1B114960"/>
    <w:rsid w:val="1B757893"/>
    <w:rsid w:val="1B9B3B80"/>
    <w:rsid w:val="1BCC3362"/>
    <w:rsid w:val="1BD42B13"/>
    <w:rsid w:val="1BF626B2"/>
    <w:rsid w:val="1C0D1A0B"/>
    <w:rsid w:val="1C8324A6"/>
    <w:rsid w:val="1CA17BBB"/>
    <w:rsid w:val="1CA67605"/>
    <w:rsid w:val="1CD9743C"/>
    <w:rsid w:val="1D227DE1"/>
    <w:rsid w:val="1D896D11"/>
    <w:rsid w:val="1E1869A4"/>
    <w:rsid w:val="1E19597D"/>
    <w:rsid w:val="1E40296B"/>
    <w:rsid w:val="1E40489E"/>
    <w:rsid w:val="1E4D1CC5"/>
    <w:rsid w:val="1EB92071"/>
    <w:rsid w:val="1EC77AB4"/>
    <w:rsid w:val="1F0A596D"/>
    <w:rsid w:val="1F1C136B"/>
    <w:rsid w:val="1F5E3B1A"/>
    <w:rsid w:val="1F820466"/>
    <w:rsid w:val="1FAE2601"/>
    <w:rsid w:val="1FB6516F"/>
    <w:rsid w:val="1FFB0419"/>
    <w:rsid w:val="200A21D5"/>
    <w:rsid w:val="2032337F"/>
    <w:rsid w:val="2033323C"/>
    <w:rsid w:val="20873677"/>
    <w:rsid w:val="20C20673"/>
    <w:rsid w:val="20D52A86"/>
    <w:rsid w:val="210D2C08"/>
    <w:rsid w:val="21105848"/>
    <w:rsid w:val="211308E2"/>
    <w:rsid w:val="21252B13"/>
    <w:rsid w:val="212C1A17"/>
    <w:rsid w:val="21316DFF"/>
    <w:rsid w:val="213B5E42"/>
    <w:rsid w:val="21473FD5"/>
    <w:rsid w:val="214D76EC"/>
    <w:rsid w:val="21674248"/>
    <w:rsid w:val="216E6218"/>
    <w:rsid w:val="219847DF"/>
    <w:rsid w:val="219B351A"/>
    <w:rsid w:val="22242FDB"/>
    <w:rsid w:val="223B4F0A"/>
    <w:rsid w:val="22407BB4"/>
    <w:rsid w:val="22DC629C"/>
    <w:rsid w:val="22EC0DCF"/>
    <w:rsid w:val="22F247BD"/>
    <w:rsid w:val="22F30804"/>
    <w:rsid w:val="23006A8B"/>
    <w:rsid w:val="23172525"/>
    <w:rsid w:val="235E08C6"/>
    <w:rsid w:val="235E6E49"/>
    <w:rsid w:val="23815DF8"/>
    <w:rsid w:val="23881667"/>
    <w:rsid w:val="23A85725"/>
    <w:rsid w:val="23A9671C"/>
    <w:rsid w:val="23AE6B9B"/>
    <w:rsid w:val="23CE18C6"/>
    <w:rsid w:val="24320D0F"/>
    <w:rsid w:val="244F702F"/>
    <w:rsid w:val="246F01AC"/>
    <w:rsid w:val="247010C0"/>
    <w:rsid w:val="249F4225"/>
    <w:rsid w:val="24AB1157"/>
    <w:rsid w:val="24D834A3"/>
    <w:rsid w:val="24F55A2C"/>
    <w:rsid w:val="257250F7"/>
    <w:rsid w:val="25AB6EFA"/>
    <w:rsid w:val="25D677F3"/>
    <w:rsid w:val="261741DD"/>
    <w:rsid w:val="261924A7"/>
    <w:rsid w:val="261A0EE5"/>
    <w:rsid w:val="262870C7"/>
    <w:rsid w:val="26321DB7"/>
    <w:rsid w:val="266B2A81"/>
    <w:rsid w:val="26A64D3D"/>
    <w:rsid w:val="26AF12D5"/>
    <w:rsid w:val="26D7660D"/>
    <w:rsid w:val="26E24F6C"/>
    <w:rsid w:val="26FC7E22"/>
    <w:rsid w:val="270601B5"/>
    <w:rsid w:val="274D4BC8"/>
    <w:rsid w:val="277B0C05"/>
    <w:rsid w:val="278641F8"/>
    <w:rsid w:val="27866BAB"/>
    <w:rsid w:val="279348F9"/>
    <w:rsid w:val="279D43E7"/>
    <w:rsid w:val="27B656E3"/>
    <w:rsid w:val="27E70199"/>
    <w:rsid w:val="27FC54E7"/>
    <w:rsid w:val="28156118"/>
    <w:rsid w:val="28242F64"/>
    <w:rsid w:val="2839176B"/>
    <w:rsid w:val="285E166E"/>
    <w:rsid w:val="287C74F6"/>
    <w:rsid w:val="28A75A9F"/>
    <w:rsid w:val="28B84D7F"/>
    <w:rsid w:val="28BA0CCD"/>
    <w:rsid w:val="28C71CCD"/>
    <w:rsid w:val="28E74AF2"/>
    <w:rsid w:val="28FA5372"/>
    <w:rsid w:val="290E3ACB"/>
    <w:rsid w:val="29206796"/>
    <w:rsid w:val="294D698C"/>
    <w:rsid w:val="295E06B9"/>
    <w:rsid w:val="29851FF6"/>
    <w:rsid w:val="29936CBB"/>
    <w:rsid w:val="29B259CF"/>
    <w:rsid w:val="29BC518D"/>
    <w:rsid w:val="29C9683B"/>
    <w:rsid w:val="29DE24A9"/>
    <w:rsid w:val="2A151926"/>
    <w:rsid w:val="2A2972DB"/>
    <w:rsid w:val="2A32023A"/>
    <w:rsid w:val="2A3B54E3"/>
    <w:rsid w:val="2A4D4CA4"/>
    <w:rsid w:val="2A4F6CD7"/>
    <w:rsid w:val="2A8C1716"/>
    <w:rsid w:val="2AAB2783"/>
    <w:rsid w:val="2AF6138B"/>
    <w:rsid w:val="2B0A01C2"/>
    <w:rsid w:val="2B154FC1"/>
    <w:rsid w:val="2B435878"/>
    <w:rsid w:val="2B662B15"/>
    <w:rsid w:val="2B685806"/>
    <w:rsid w:val="2B9B4671"/>
    <w:rsid w:val="2B9D0155"/>
    <w:rsid w:val="2B9E737C"/>
    <w:rsid w:val="2BB44F53"/>
    <w:rsid w:val="2BEC1EF5"/>
    <w:rsid w:val="2C4D1361"/>
    <w:rsid w:val="2C5907A1"/>
    <w:rsid w:val="2C807C27"/>
    <w:rsid w:val="2C893B58"/>
    <w:rsid w:val="2C956D4E"/>
    <w:rsid w:val="2CA544DA"/>
    <w:rsid w:val="2CCD7955"/>
    <w:rsid w:val="2CDF51F9"/>
    <w:rsid w:val="2CE27B85"/>
    <w:rsid w:val="2D132373"/>
    <w:rsid w:val="2D546CEB"/>
    <w:rsid w:val="2D7471B2"/>
    <w:rsid w:val="2D881307"/>
    <w:rsid w:val="2DA010C7"/>
    <w:rsid w:val="2DD43FEA"/>
    <w:rsid w:val="2DE82933"/>
    <w:rsid w:val="2E0A7CEF"/>
    <w:rsid w:val="2E1659F6"/>
    <w:rsid w:val="2E1A197C"/>
    <w:rsid w:val="2F075C9E"/>
    <w:rsid w:val="2F0F2DE8"/>
    <w:rsid w:val="2F311A1C"/>
    <w:rsid w:val="2F801A83"/>
    <w:rsid w:val="2F8274BD"/>
    <w:rsid w:val="2F9257C7"/>
    <w:rsid w:val="2FA3101B"/>
    <w:rsid w:val="2FD00794"/>
    <w:rsid w:val="2FDF1BA5"/>
    <w:rsid w:val="301022D7"/>
    <w:rsid w:val="30154564"/>
    <w:rsid w:val="30244587"/>
    <w:rsid w:val="302E44D0"/>
    <w:rsid w:val="30983AE4"/>
    <w:rsid w:val="30B14FA8"/>
    <w:rsid w:val="30B3365F"/>
    <w:rsid w:val="30CA3071"/>
    <w:rsid w:val="30FD2445"/>
    <w:rsid w:val="311D0350"/>
    <w:rsid w:val="312C1B30"/>
    <w:rsid w:val="31437FEA"/>
    <w:rsid w:val="31AA13FC"/>
    <w:rsid w:val="31F44578"/>
    <w:rsid w:val="32322E2A"/>
    <w:rsid w:val="3281036B"/>
    <w:rsid w:val="329F7FE8"/>
    <w:rsid w:val="32CF531D"/>
    <w:rsid w:val="32D5176F"/>
    <w:rsid w:val="32E52E97"/>
    <w:rsid w:val="32EA542F"/>
    <w:rsid w:val="32F4216D"/>
    <w:rsid w:val="32F525CA"/>
    <w:rsid w:val="334B0B46"/>
    <w:rsid w:val="33733535"/>
    <w:rsid w:val="33756431"/>
    <w:rsid w:val="337955AD"/>
    <w:rsid w:val="339B2B3B"/>
    <w:rsid w:val="33A14662"/>
    <w:rsid w:val="33A82CBE"/>
    <w:rsid w:val="33C13B5D"/>
    <w:rsid w:val="33F47A3E"/>
    <w:rsid w:val="33FC410D"/>
    <w:rsid w:val="34223859"/>
    <w:rsid w:val="342D259E"/>
    <w:rsid w:val="346050B5"/>
    <w:rsid w:val="34852794"/>
    <w:rsid w:val="34A766C9"/>
    <w:rsid w:val="34A94589"/>
    <w:rsid w:val="34CD26C6"/>
    <w:rsid w:val="34FA4D40"/>
    <w:rsid w:val="34FB43EF"/>
    <w:rsid w:val="350E517D"/>
    <w:rsid w:val="35162CD7"/>
    <w:rsid w:val="35751699"/>
    <w:rsid w:val="3591033A"/>
    <w:rsid w:val="35953B59"/>
    <w:rsid w:val="35BF4682"/>
    <w:rsid w:val="35E63DEE"/>
    <w:rsid w:val="35E66C7E"/>
    <w:rsid w:val="35EA51EE"/>
    <w:rsid w:val="35FA6A6E"/>
    <w:rsid w:val="360D0402"/>
    <w:rsid w:val="361909F0"/>
    <w:rsid w:val="364D069A"/>
    <w:rsid w:val="368D485C"/>
    <w:rsid w:val="36B8340E"/>
    <w:rsid w:val="374417C1"/>
    <w:rsid w:val="37532D80"/>
    <w:rsid w:val="37743609"/>
    <w:rsid w:val="37991DE9"/>
    <w:rsid w:val="379B1626"/>
    <w:rsid w:val="37EB4362"/>
    <w:rsid w:val="37F415BD"/>
    <w:rsid w:val="38151D36"/>
    <w:rsid w:val="383456ED"/>
    <w:rsid w:val="38574E03"/>
    <w:rsid w:val="388F0737"/>
    <w:rsid w:val="38A24FBC"/>
    <w:rsid w:val="38CB0C09"/>
    <w:rsid w:val="38CC18CF"/>
    <w:rsid w:val="38CD277F"/>
    <w:rsid w:val="38D73128"/>
    <w:rsid w:val="39416A2A"/>
    <w:rsid w:val="396201C9"/>
    <w:rsid w:val="397A6987"/>
    <w:rsid w:val="3983630E"/>
    <w:rsid w:val="39893797"/>
    <w:rsid w:val="398B6D19"/>
    <w:rsid w:val="39A05A89"/>
    <w:rsid w:val="3A0B1DCF"/>
    <w:rsid w:val="3A155A27"/>
    <w:rsid w:val="3A5A24D9"/>
    <w:rsid w:val="3A6D7886"/>
    <w:rsid w:val="3A806D9C"/>
    <w:rsid w:val="3A8F5064"/>
    <w:rsid w:val="3A943F5F"/>
    <w:rsid w:val="3AC24D8E"/>
    <w:rsid w:val="3ADA2BCF"/>
    <w:rsid w:val="3AEF7CE8"/>
    <w:rsid w:val="3AFB6128"/>
    <w:rsid w:val="3B366FCD"/>
    <w:rsid w:val="3B5273E0"/>
    <w:rsid w:val="3BCD60D4"/>
    <w:rsid w:val="3BE4223D"/>
    <w:rsid w:val="3BF05D4F"/>
    <w:rsid w:val="3C0542A0"/>
    <w:rsid w:val="3C0550C0"/>
    <w:rsid w:val="3C0E529D"/>
    <w:rsid w:val="3C1859C6"/>
    <w:rsid w:val="3C312C20"/>
    <w:rsid w:val="3C3230F3"/>
    <w:rsid w:val="3C4D6C5D"/>
    <w:rsid w:val="3C5F4C83"/>
    <w:rsid w:val="3CAF39F9"/>
    <w:rsid w:val="3CBA6C98"/>
    <w:rsid w:val="3CF87729"/>
    <w:rsid w:val="3D7E7B25"/>
    <w:rsid w:val="3DA91CA4"/>
    <w:rsid w:val="3DAC62A9"/>
    <w:rsid w:val="3DB1570D"/>
    <w:rsid w:val="3DD40F59"/>
    <w:rsid w:val="3DD959BD"/>
    <w:rsid w:val="3DEA62BD"/>
    <w:rsid w:val="3DEB4AD0"/>
    <w:rsid w:val="3DEC4C3F"/>
    <w:rsid w:val="3E153186"/>
    <w:rsid w:val="3E375EDB"/>
    <w:rsid w:val="3E4E4C2A"/>
    <w:rsid w:val="3E797014"/>
    <w:rsid w:val="3E944861"/>
    <w:rsid w:val="3E953BBF"/>
    <w:rsid w:val="3E993262"/>
    <w:rsid w:val="3EB767A2"/>
    <w:rsid w:val="3EC74407"/>
    <w:rsid w:val="3EE310AC"/>
    <w:rsid w:val="3EEC5917"/>
    <w:rsid w:val="3F0102C8"/>
    <w:rsid w:val="3F1809C3"/>
    <w:rsid w:val="3F1E277A"/>
    <w:rsid w:val="3F22479B"/>
    <w:rsid w:val="3F2A7AC5"/>
    <w:rsid w:val="3F2A7BD0"/>
    <w:rsid w:val="3F343834"/>
    <w:rsid w:val="3F63499B"/>
    <w:rsid w:val="3F9A720D"/>
    <w:rsid w:val="3FB17845"/>
    <w:rsid w:val="402119A1"/>
    <w:rsid w:val="404943BA"/>
    <w:rsid w:val="406D0115"/>
    <w:rsid w:val="40977113"/>
    <w:rsid w:val="40A23390"/>
    <w:rsid w:val="40CA7DEA"/>
    <w:rsid w:val="411D4D57"/>
    <w:rsid w:val="414900A4"/>
    <w:rsid w:val="416B0A6E"/>
    <w:rsid w:val="419A2A05"/>
    <w:rsid w:val="41CD2721"/>
    <w:rsid w:val="42666234"/>
    <w:rsid w:val="42696A07"/>
    <w:rsid w:val="42742A4E"/>
    <w:rsid w:val="4290581E"/>
    <w:rsid w:val="42DD00E9"/>
    <w:rsid w:val="42E4784F"/>
    <w:rsid w:val="431E7668"/>
    <w:rsid w:val="43267E79"/>
    <w:rsid w:val="437354F6"/>
    <w:rsid w:val="43A65C26"/>
    <w:rsid w:val="43B05917"/>
    <w:rsid w:val="43C667D0"/>
    <w:rsid w:val="43C75651"/>
    <w:rsid w:val="43D35C08"/>
    <w:rsid w:val="440C56F0"/>
    <w:rsid w:val="442B440F"/>
    <w:rsid w:val="44404632"/>
    <w:rsid w:val="448B0D35"/>
    <w:rsid w:val="449624EF"/>
    <w:rsid w:val="44D9500D"/>
    <w:rsid w:val="44DE4707"/>
    <w:rsid w:val="44F752FD"/>
    <w:rsid w:val="44FB288C"/>
    <w:rsid w:val="45016487"/>
    <w:rsid w:val="45102FBE"/>
    <w:rsid w:val="45336688"/>
    <w:rsid w:val="455E68E6"/>
    <w:rsid w:val="456F604C"/>
    <w:rsid w:val="45B61DB8"/>
    <w:rsid w:val="45C06F7C"/>
    <w:rsid w:val="45CA433B"/>
    <w:rsid w:val="45EE4090"/>
    <w:rsid w:val="45F14A62"/>
    <w:rsid w:val="46130FB8"/>
    <w:rsid w:val="4623469C"/>
    <w:rsid w:val="46BE2930"/>
    <w:rsid w:val="46D02669"/>
    <w:rsid w:val="46D21C8C"/>
    <w:rsid w:val="46ED07B6"/>
    <w:rsid w:val="47454EA1"/>
    <w:rsid w:val="475A1FF2"/>
    <w:rsid w:val="478D16B1"/>
    <w:rsid w:val="479B3001"/>
    <w:rsid w:val="47E7735E"/>
    <w:rsid w:val="4805213C"/>
    <w:rsid w:val="48244460"/>
    <w:rsid w:val="486D4D84"/>
    <w:rsid w:val="48775EED"/>
    <w:rsid w:val="48E11FE9"/>
    <w:rsid w:val="490800BC"/>
    <w:rsid w:val="49260C54"/>
    <w:rsid w:val="492642D9"/>
    <w:rsid w:val="495857DC"/>
    <w:rsid w:val="495C7449"/>
    <w:rsid w:val="49733DC5"/>
    <w:rsid w:val="4A0428BB"/>
    <w:rsid w:val="4A1964DE"/>
    <w:rsid w:val="4A5B447B"/>
    <w:rsid w:val="4A7F3F5E"/>
    <w:rsid w:val="4AD35C9A"/>
    <w:rsid w:val="4AE5103A"/>
    <w:rsid w:val="4AF105DE"/>
    <w:rsid w:val="4B1535CD"/>
    <w:rsid w:val="4B254BBF"/>
    <w:rsid w:val="4B29666D"/>
    <w:rsid w:val="4B50024D"/>
    <w:rsid w:val="4B6602E2"/>
    <w:rsid w:val="4B8218C7"/>
    <w:rsid w:val="4B937AD8"/>
    <w:rsid w:val="4B973E02"/>
    <w:rsid w:val="4BE86E26"/>
    <w:rsid w:val="4BEC2A61"/>
    <w:rsid w:val="4C1C66ED"/>
    <w:rsid w:val="4C212812"/>
    <w:rsid w:val="4C2A7C24"/>
    <w:rsid w:val="4C92155A"/>
    <w:rsid w:val="4C9810ED"/>
    <w:rsid w:val="4CC7105B"/>
    <w:rsid w:val="4CEC58BB"/>
    <w:rsid w:val="4D4557B0"/>
    <w:rsid w:val="4D685AA6"/>
    <w:rsid w:val="4D710BC6"/>
    <w:rsid w:val="4D975B9B"/>
    <w:rsid w:val="4D9F466F"/>
    <w:rsid w:val="4DAF303F"/>
    <w:rsid w:val="4DF2318E"/>
    <w:rsid w:val="4E0F04F9"/>
    <w:rsid w:val="4E3C5889"/>
    <w:rsid w:val="4E5724A0"/>
    <w:rsid w:val="4E71636B"/>
    <w:rsid w:val="4EA76741"/>
    <w:rsid w:val="4EC679B3"/>
    <w:rsid w:val="4EE364A3"/>
    <w:rsid w:val="4F5B2130"/>
    <w:rsid w:val="4F9E7B71"/>
    <w:rsid w:val="501D1B08"/>
    <w:rsid w:val="502F775F"/>
    <w:rsid w:val="506A4DA1"/>
    <w:rsid w:val="50705F1D"/>
    <w:rsid w:val="50CA76B4"/>
    <w:rsid w:val="50D14CDF"/>
    <w:rsid w:val="50D9727F"/>
    <w:rsid w:val="50F571AB"/>
    <w:rsid w:val="51027A1D"/>
    <w:rsid w:val="51041C40"/>
    <w:rsid w:val="51280DBA"/>
    <w:rsid w:val="513C706D"/>
    <w:rsid w:val="515274E3"/>
    <w:rsid w:val="51673B42"/>
    <w:rsid w:val="51770E8C"/>
    <w:rsid w:val="517B1B42"/>
    <w:rsid w:val="519F4DD8"/>
    <w:rsid w:val="51AB14FD"/>
    <w:rsid w:val="51B841B8"/>
    <w:rsid w:val="51BD627C"/>
    <w:rsid w:val="51C010C1"/>
    <w:rsid w:val="51F5795F"/>
    <w:rsid w:val="521D0129"/>
    <w:rsid w:val="521E7EA8"/>
    <w:rsid w:val="522C6B5E"/>
    <w:rsid w:val="525706D9"/>
    <w:rsid w:val="52900DC3"/>
    <w:rsid w:val="52F1442F"/>
    <w:rsid w:val="53317855"/>
    <w:rsid w:val="538F20F8"/>
    <w:rsid w:val="53CB47A8"/>
    <w:rsid w:val="53CF238C"/>
    <w:rsid w:val="53D604E3"/>
    <w:rsid w:val="53E779DA"/>
    <w:rsid w:val="54302402"/>
    <w:rsid w:val="54315013"/>
    <w:rsid w:val="543C792C"/>
    <w:rsid w:val="5441077A"/>
    <w:rsid w:val="54781A30"/>
    <w:rsid w:val="5478524F"/>
    <w:rsid w:val="54AB750A"/>
    <w:rsid w:val="54C52CA1"/>
    <w:rsid w:val="54D16038"/>
    <w:rsid w:val="54DC2731"/>
    <w:rsid w:val="54E127F4"/>
    <w:rsid w:val="54EF1575"/>
    <w:rsid w:val="55054CF5"/>
    <w:rsid w:val="55283B29"/>
    <w:rsid w:val="552A3D4C"/>
    <w:rsid w:val="55376634"/>
    <w:rsid w:val="553C7AB7"/>
    <w:rsid w:val="558304C7"/>
    <w:rsid w:val="558A419F"/>
    <w:rsid w:val="55AC5179"/>
    <w:rsid w:val="55C52948"/>
    <w:rsid w:val="55E40305"/>
    <w:rsid w:val="560A2FD8"/>
    <w:rsid w:val="562340DD"/>
    <w:rsid w:val="565040C0"/>
    <w:rsid w:val="56540C7C"/>
    <w:rsid w:val="56A34464"/>
    <w:rsid w:val="56AF5F4A"/>
    <w:rsid w:val="56CC4756"/>
    <w:rsid w:val="56EC4A2F"/>
    <w:rsid w:val="56F63AE6"/>
    <w:rsid w:val="5709553F"/>
    <w:rsid w:val="572C3407"/>
    <w:rsid w:val="573A5D9A"/>
    <w:rsid w:val="578816A8"/>
    <w:rsid w:val="578D0643"/>
    <w:rsid w:val="57A73B88"/>
    <w:rsid w:val="57BD76BB"/>
    <w:rsid w:val="57C85778"/>
    <w:rsid w:val="58012C72"/>
    <w:rsid w:val="58941062"/>
    <w:rsid w:val="58A74BA0"/>
    <w:rsid w:val="58A95858"/>
    <w:rsid w:val="58D13376"/>
    <w:rsid w:val="58E83EA8"/>
    <w:rsid w:val="5917565E"/>
    <w:rsid w:val="592E44F7"/>
    <w:rsid w:val="597E0D54"/>
    <w:rsid w:val="598F7D32"/>
    <w:rsid w:val="59A179CE"/>
    <w:rsid w:val="59AC65F8"/>
    <w:rsid w:val="59B1237D"/>
    <w:rsid w:val="59CE6D87"/>
    <w:rsid w:val="59DD0BAB"/>
    <w:rsid w:val="5A2B66C1"/>
    <w:rsid w:val="5A3262EE"/>
    <w:rsid w:val="5A5230EC"/>
    <w:rsid w:val="5A8C6551"/>
    <w:rsid w:val="5A9A1850"/>
    <w:rsid w:val="5A9E2C67"/>
    <w:rsid w:val="5AC96703"/>
    <w:rsid w:val="5AD03D41"/>
    <w:rsid w:val="5AD50B17"/>
    <w:rsid w:val="5AD840C6"/>
    <w:rsid w:val="5B422B12"/>
    <w:rsid w:val="5B452999"/>
    <w:rsid w:val="5B484485"/>
    <w:rsid w:val="5B501F0F"/>
    <w:rsid w:val="5B7605B6"/>
    <w:rsid w:val="5BAC35E9"/>
    <w:rsid w:val="5BBB27F5"/>
    <w:rsid w:val="5BD22CB9"/>
    <w:rsid w:val="5C260CD3"/>
    <w:rsid w:val="5C38223B"/>
    <w:rsid w:val="5C390C80"/>
    <w:rsid w:val="5C4E241A"/>
    <w:rsid w:val="5C56771B"/>
    <w:rsid w:val="5C624E98"/>
    <w:rsid w:val="5CBC43B9"/>
    <w:rsid w:val="5D0E3E30"/>
    <w:rsid w:val="5D181006"/>
    <w:rsid w:val="5D2734D5"/>
    <w:rsid w:val="5D4249EB"/>
    <w:rsid w:val="5D4F0CFB"/>
    <w:rsid w:val="5D587B6E"/>
    <w:rsid w:val="5D5A6605"/>
    <w:rsid w:val="5D6966DF"/>
    <w:rsid w:val="5D751D21"/>
    <w:rsid w:val="5D982496"/>
    <w:rsid w:val="5D9D2FD9"/>
    <w:rsid w:val="5D9F2C98"/>
    <w:rsid w:val="5E104CEC"/>
    <w:rsid w:val="5E23390B"/>
    <w:rsid w:val="5E653099"/>
    <w:rsid w:val="5E966B24"/>
    <w:rsid w:val="5EC77F75"/>
    <w:rsid w:val="5EDB4D02"/>
    <w:rsid w:val="5F5D64D2"/>
    <w:rsid w:val="5F684CEC"/>
    <w:rsid w:val="5F6D5AC3"/>
    <w:rsid w:val="5F7D7140"/>
    <w:rsid w:val="5FD97848"/>
    <w:rsid w:val="5FF84BB7"/>
    <w:rsid w:val="60084CED"/>
    <w:rsid w:val="600B62B8"/>
    <w:rsid w:val="601C3073"/>
    <w:rsid w:val="60263BC9"/>
    <w:rsid w:val="605327E7"/>
    <w:rsid w:val="609408D3"/>
    <w:rsid w:val="60BB1585"/>
    <w:rsid w:val="60ED35ED"/>
    <w:rsid w:val="60F37CFB"/>
    <w:rsid w:val="610A6620"/>
    <w:rsid w:val="61245173"/>
    <w:rsid w:val="61275E0C"/>
    <w:rsid w:val="61797C79"/>
    <w:rsid w:val="61985B41"/>
    <w:rsid w:val="61C12BAA"/>
    <w:rsid w:val="61F75127"/>
    <w:rsid w:val="623120B9"/>
    <w:rsid w:val="62A64F0C"/>
    <w:rsid w:val="62A9062D"/>
    <w:rsid w:val="62B84AB1"/>
    <w:rsid w:val="62C16BCB"/>
    <w:rsid w:val="62CC0A9C"/>
    <w:rsid w:val="62D70EC7"/>
    <w:rsid w:val="62ED6111"/>
    <w:rsid w:val="62EE6B2C"/>
    <w:rsid w:val="62F74433"/>
    <w:rsid w:val="632F4F3D"/>
    <w:rsid w:val="634D5352"/>
    <w:rsid w:val="63A06FBB"/>
    <w:rsid w:val="63A36E7F"/>
    <w:rsid w:val="63DC56C6"/>
    <w:rsid w:val="64110EB3"/>
    <w:rsid w:val="644B7871"/>
    <w:rsid w:val="647A5CAE"/>
    <w:rsid w:val="64844831"/>
    <w:rsid w:val="651261F7"/>
    <w:rsid w:val="6514000A"/>
    <w:rsid w:val="65166549"/>
    <w:rsid w:val="65521C72"/>
    <w:rsid w:val="65581461"/>
    <w:rsid w:val="656D1DA1"/>
    <w:rsid w:val="656F5383"/>
    <w:rsid w:val="6587589A"/>
    <w:rsid w:val="65B512EC"/>
    <w:rsid w:val="65E56E3A"/>
    <w:rsid w:val="661C3D8F"/>
    <w:rsid w:val="661D6801"/>
    <w:rsid w:val="66453CFC"/>
    <w:rsid w:val="66925AD1"/>
    <w:rsid w:val="66AA39F1"/>
    <w:rsid w:val="66DB65EE"/>
    <w:rsid w:val="670A6427"/>
    <w:rsid w:val="672E57FA"/>
    <w:rsid w:val="67306415"/>
    <w:rsid w:val="67731B54"/>
    <w:rsid w:val="679C4576"/>
    <w:rsid w:val="67E6499A"/>
    <w:rsid w:val="681E5FD4"/>
    <w:rsid w:val="68432DF3"/>
    <w:rsid w:val="684D1C7F"/>
    <w:rsid w:val="68D54E63"/>
    <w:rsid w:val="68E04066"/>
    <w:rsid w:val="69341197"/>
    <w:rsid w:val="698F2EA5"/>
    <w:rsid w:val="69C54CE1"/>
    <w:rsid w:val="69F45908"/>
    <w:rsid w:val="69F67F87"/>
    <w:rsid w:val="69F87575"/>
    <w:rsid w:val="6A1607AC"/>
    <w:rsid w:val="6A4D0AD4"/>
    <w:rsid w:val="6A583053"/>
    <w:rsid w:val="6A7B5ACB"/>
    <w:rsid w:val="6A9B3B22"/>
    <w:rsid w:val="6AA57351"/>
    <w:rsid w:val="6ABE43DD"/>
    <w:rsid w:val="6AC319A2"/>
    <w:rsid w:val="6ACF0123"/>
    <w:rsid w:val="6B0F0193"/>
    <w:rsid w:val="6B1E4C1A"/>
    <w:rsid w:val="6B380F73"/>
    <w:rsid w:val="6B543360"/>
    <w:rsid w:val="6B6468D9"/>
    <w:rsid w:val="6B9B1A6E"/>
    <w:rsid w:val="6BD85D25"/>
    <w:rsid w:val="6C05483B"/>
    <w:rsid w:val="6C1617AB"/>
    <w:rsid w:val="6C2A451B"/>
    <w:rsid w:val="6C4822C1"/>
    <w:rsid w:val="6C591700"/>
    <w:rsid w:val="6C5D1BA6"/>
    <w:rsid w:val="6C724379"/>
    <w:rsid w:val="6C967E80"/>
    <w:rsid w:val="6C9A1976"/>
    <w:rsid w:val="6CBE6DD2"/>
    <w:rsid w:val="6CD52720"/>
    <w:rsid w:val="6CDF0F01"/>
    <w:rsid w:val="6CE846A3"/>
    <w:rsid w:val="6D426807"/>
    <w:rsid w:val="6D742987"/>
    <w:rsid w:val="6D883025"/>
    <w:rsid w:val="6DA751E3"/>
    <w:rsid w:val="6E406ECA"/>
    <w:rsid w:val="6E454C34"/>
    <w:rsid w:val="6EA1613D"/>
    <w:rsid w:val="6EAB7F8A"/>
    <w:rsid w:val="6EFF3FE8"/>
    <w:rsid w:val="6F234F4B"/>
    <w:rsid w:val="6F5002D8"/>
    <w:rsid w:val="6F614293"/>
    <w:rsid w:val="6F88502F"/>
    <w:rsid w:val="6FA81579"/>
    <w:rsid w:val="6FE03293"/>
    <w:rsid w:val="701B3E61"/>
    <w:rsid w:val="701B5072"/>
    <w:rsid w:val="701B5F36"/>
    <w:rsid w:val="70441BEA"/>
    <w:rsid w:val="7049639E"/>
    <w:rsid w:val="709B778B"/>
    <w:rsid w:val="70AD1C6D"/>
    <w:rsid w:val="70AF78C3"/>
    <w:rsid w:val="70CA08BA"/>
    <w:rsid w:val="711426F0"/>
    <w:rsid w:val="71294F39"/>
    <w:rsid w:val="717F78EF"/>
    <w:rsid w:val="718E7020"/>
    <w:rsid w:val="719426FE"/>
    <w:rsid w:val="719C2399"/>
    <w:rsid w:val="71C05FAD"/>
    <w:rsid w:val="71C730ED"/>
    <w:rsid w:val="71DF0765"/>
    <w:rsid w:val="72305DDD"/>
    <w:rsid w:val="723F6274"/>
    <w:rsid w:val="725A1FDD"/>
    <w:rsid w:val="72656A31"/>
    <w:rsid w:val="727763F3"/>
    <w:rsid w:val="72894782"/>
    <w:rsid w:val="7297045A"/>
    <w:rsid w:val="729A2BCE"/>
    <w:rsid w:val="72DD137A"/>
    <w:rsid w:val="73605055"/>
    <w:rsid w:val="738706DD"/>
    <w:rsid w:val="739764BB"/>
    <w:rsid w:val="73A168FE"/>
    <w:rsid w:val="73C56603"/>
    <w:rsid w:val="73C830E1"/>
    <w:rsid w:val="73EA3589"/>
    <w:rsid w:val="74022CF0"/>
    <w:rsid w:val="740E7F6C"/>
    <w:rsid w:val="741A0233"/>
    <w:rsid w:val="742747AE"/>
    <w:rsid w:val="74377F30"/>
    <w:rsid w:val="746E5675"/>
    <w:rsid w:val="74875761"/>
    <w:rsid w:val="74900AEB"/>
    <w:rsid w:val="74C029FB"/>
    <w:rsid w:val="74F06A95"/>
    <w:rsid w:val="74F16A23"/>
    <w:rsid w:val="75300FA8"/>
    <w:rsid w:val="75494436"/>
    <w:rsid w:val="754A4447"/>
    <w:rsid w:val="755D5C2B"/>
    <w:rsid w:val="75725C76"/>
    <w:rsid w:val="757560F4"/>
    <w:rsid w:val="75CE7CD9"/>
    <w:rsid w:val="75D707F9"/>
    <w:rsid w:val="75DF0668"/>
    <w:rsid w:val="75F82DBF"/>
    <w:rsid w:val="760D1BDD"/>
    <w:rsid w:val="7652283B"/>
    <w:rsid w:val="76A95616"/>
    <w:rsid w:val="76C603EB"/>
    <w:rsid w:val="76DA18D4"/>
    <w:rsid w:val="76E232D4"/>
    <w:rsid w:val="76E66F6B"/>
    <w:rsid w:val="76F33A93"/>
    <w:rsid w:val="7718792D"/>
    <w:rsid w:val="773A486A"/>
    <w:rsid w:val="77631BBC"/>
    <w:rsid w:val="77651017"/>
    <w:rsid w:val="776614E6"/>
    <w:rsid w:val="778C0352"/>
    <w:rsid w:val="77DF7DEC"/>
    <w:rsid w:val="77E32D64"/>
    <w:rsid w:val="77E833EE"/>
    <w:rsid w:val="783C0006"/>
    <w:rsid w:val="78647342"/>
    <w:rsid w:val="786A77EE"/>
    <w:rsid w:val="78C064C7"/>
    <w:rsid w:val="78C45322"/>
    <w:rsid w:val="78CB4B22"/>
    <w:rsid w:val="78F040AE"/>
    <w:rsid w:val="79144124"/>
    <w:rsid w:val="79207982"/>
    <w:rsid w:val="793C5C36"/>
    <w:rsid w:val="7943529E"/>
    <w:rsid w:val="79670403"/>
    <w:rsid w:val="79687E1E"/>
    <w:rsid w:val="797B425D"/>
    <w:rsid w:val="79984D55"/>
    <w:rsid w:val="79AA43B2"/>
    <w:rsid w:val="79AE4972"/>
    <w:rsid w:val="79C7431A"/>
    <w:rsid w:val="79D43B93"/>
    <w:rsid w:val="79DC7521"/>
    <w:rsid w:val="7A136600"/>
    <w:rsid w:val="7A3A1A0A"/>
    <w:rsid w:val="7A4C31F8"/>
    <w:rsid w:val="7A6C201A"/>
    <w:rsid w:val="7AEB4907"/>
    <w:rsid w:val="7B023332"/>
    <w:rsid w:val="7B212125"/>
    <w:rsid w:val="7B2F5245"/>
    <w:rsid w:val="7B3044C9"/>
    <w:rsid w:val="7B580444"/>
    <w:rsid w:val="7B997FD9"/>
    <w:rsid w:val="7BC36BA9"/>
    <w:rsid w:val="7BF0114A"/>
    <w:rsid w:val="7C0E1623"/>
    <w:rsid w:val="7C3E1C6B"/>
    <w:rsid w:val="7C3F6B33"/>
    <w:rsid w:val="7C720770"/>
    <w:rsid w:val="7C750F15"/>
    <w:rsid w:val="7C7C48F2"/>
    <w:rsid w:val="7C86053F"/>
    <w:rsid w:val="7CEF6912"/>
    <w:rsid w:val="7D0470F3"/>
    <w:rsid w:val="7D116BB3"/>
    <w:rsid w:val="7D6037A8"/>
    <w:rsid w:val="7D7971DC"/>
    <w:rsid w:val="7DAA5B1F"/>
    <w:rsid w:val="7DAF7935"/>
    <w:rsid w:val="7DB54DFC"/>
    <w:rsid w:val="7DDB5DA2"/>
    <w:rsid w:val="7DDF668F"/>
    <w:rsid w:val="7DEC3312"/>
    <w:rsid w:val="7DEC3C44"/>
    <w:rsid w:val="7E0C6D01"/>
    <w:rsid w:val="7E0E7645"/>
    <w:rsid w:val="7E0F236C"/>
    <w:rsid w:val="7E3A4506"/>
    <w:rsid w:val="7E45593B"/>
    <w:rsid w:val="7E5A2945"/>
    <w:rsid w:val="7E6D55FC"/>
    <w:rsid w:val="7E9428C2"/>
    <w:rsid w:val="7EAA76E7"/>
    <w:rsid w:val="7EB621CF"/>
    <w:rsid w:val="7EC021ED"/>
    <w:rsid w:val="7ECF4EEA"/>
    <w:rsid w:val="7F484AB9"/>
    <w:rsid w:val="7F5014A5"/>
    <w:rsid w:val="7F6011FB"/>
    <w:rsid w:val="7F93746A"/>
    <w:rsid w:val="7FA23108"/>
    <w:rsid w:val="7FD5197E"/>
    <w:rsid w:val="7FEA40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imes New Roman" w:hAnsi="Times New Roman" w:eastAsia="宋体" w:cs="Times New Roman"/>
      <w:kern w:val="2"/>
      <w:sz w:val="27"/>
      <w:szCs w:val="24"/>
      <w:lang w:val="en-US" w:eastAsia="zh-CN" w:bidi="ar-SA"/>
    </w:rPr>
  </w:style>
  <w:style w:type="paragraph" w:styleId="3">
    <w:name w:val="heading 1"/>
    <w:basedOn w:val="4"/>
    <w:next w:val="1"/>
    <w:qFormat/>
    <w:uiPriority w:val="0"/>
    <w:pPr>
      <w:keepNext/>
      <w:keepLines/>
      <w:pageBreakBefore/>
      <w:ind w:firstLine="200"/>
      <w:outlineLvl w:val="0"/>
    </w:pPr>
    <w:rPr>
      <w:rFonts w:eastAsia="黑体"/>
      <w:kern w:val="44"/>
      <w:sz w:val="30"/>
    </w:rPr>
  </w:style>
  <w:style w:type="paragraph" w:styleId="5">
    <w:name w:val="heading 2"/>
    <w:basedOn w:val="1"/>
    <w:next w:val="1"/>
    <w:link w:val="27"/>
    <w:unhideWhenUsed/>
    <w:qFormat/>
    <w:uiPriority w:val="0"/>
    <w:pPr>
      <w:keepNext/>
      <w:keepLines/>
      <w:outlineLvl w:val="1"/>
    </w:pPr>
    <w:rPr>
      <w:rFonts w:ascii="Arial" w:hAnsi="Arial"/>
      <w:b/>
      <w:sz w:val="28"/>
    </w:rPr>
  </w:style>
  <w:style w:type="paragraph" w:styleId="6">
    <w:name w:val="heading 3"/>
    <w:basedOn w:val="1"/>
    <w:next w:val="1"/>
    <w:unhideWhenUsed/>
    <w:qFormat/>
    <w:uiPriority w:val="0"/>
    <w:pPr>
      <w:keepNext/>
      <w:keepLines/>
      <w:ind w:firstLine="200"/>
      <w:outlineLvl w:val="2"/>
    </w:pPr>
    <w:rPr>
      <w:rFonts w:eastAsia="楷体"/>
      <w:b/>
      <w:sz w:val="28"/>
    </w:rPr>
  </w:style>
  <w:style w:type="paragraph" w:styleId="7">
    <w:name w:val="heading 4"/>
    <w:basedOn w:val="1"/>
    <w:next w:val="1"/>
    <w:unhideWhenUsed/>
    <w:qFormat/>
    <w:uiPriority w:val="0"/>
    <w:pPr>
      <w:keepNext/>
      <w:keepLines/>
      <w:outlineLvl w:val="3"/>
    </w:pPr>
    <w:rPr>
      <w:rFonts w:ascii="Arial" w:hAnsi="Arial" w:eastAsia="楷体"/>
      <w:b/>
      <w:sz w:val="28"/>
    </w:rPr>
  </w:style>
  <w:style w:type="paragraph" w:styleId="8">
    <w:name w:val="heading 5"/>
    <w:basedOn w:val="1"/>
    <w:next w:val="1"/>
    <w:link w:val="28"/>
    <w:unhideWhenUsed/>
    <w:qFormat/>
    <w:uiPriority w:val="0"/>
    <w:pPr>
      <w:keepNext/>
      <w:keepLines/>
      <w:ind w:firstLine="200"/>
      <w:outlineLvl w:val="4"/>
    </w:pPr>
    <w:rPr>
      <w:rFonts w:eastAsia="楷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4">
    <w:name w:val="p0"/>
    <w:basedOn w:val="1"/>
    <w:qFormat/>
    <w:uiPriority w:val="0"/>
    <w:pPr>
      <w:widowControl/>
    </w:pPr>
    <w:rPr>
      <w:kern w:val="0"/>
      <w:szCs w:val="21"/>
    </w:rPr>
  </w:style>
  <w:style w:type="paragraph" w:styleId="9">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10">
    <w:name w:val="caption"/>
    <w:basedOn w:val="1"/>
    <w:next w:val="1"/>
    <w:unhideWhenUsed/>
    <w:qFormat/>
    <w:uiPriority w:val="0"/>
    <w:pPr>
      <w:keepNext/>
    </w:pPr>
    <w:rPr>
      <w:rFonts w:ascii="Arial" w:hAnsi="Arial" w:eastAsia="黑体"/>
      <w:sz w:val="20"/>
    </w:rPr>
  </w:style>
  <w:style w:type="paragraph" w:styleId="11">
    <w:name w:val="annotation text"/>
    <w:basedOn w:val="1"/>
    <w:link w:val="29"/>
    <w:qFormat/>
    <w:uiPriority w:val="0"/>
    <w:pPr>
      <w:jc w:val="left"/>
    </w:pPr>
  </w:style>
  <w:style w:type="paragraph" w:styleId="12">
    <w:name w:val="Body Text"/>
    <w:basedOn w:val="1"/>
    <w:unhideWhenUsed/>
    <w:qFormat/>
    <w:uiPriority w:val="99"/>
    <w:pPr>
      <w:spacing w:after="120"/>
    </w:pPr>
  </w:style>
  <w:style w:type="paragraph" w:styleId="13">
    <w:name w:val="toc 3"/>
    <w:basedOn w:val="1"/>
    <w:next w:val="1"/>
    <w:qFormat/>
    <w:uiPriority w:val="39"/>
    <w:pPr>
      <w:ind w:left="840" w:leftChars="400"/>
    </w:pPr>
  </w:style>
  <w:style w:type="paragraph" w:styleId="14">
    <w:name w:val="Balloon Text"/>
    <w:basedOn w:val="1"/>
    <w:link w:val="30"/>
    <w:qFormat/>
    <w:uiPriority w:val="0"/>
    <w:rPr>
      <w:sz w:val="18"/>
      <w:szCs w:val="18"/>
    </w:rPr>
  </w:style>
  <w:style w:type="paragraph" w:styleId="15">
    <w:name w:val="footer"/>
    <w:basedOn w:val="1"/>
    <w:link w:val="31"/>
    <w:qFormat/>
    <w:uiPriority w:val="99"/>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Subtitle"/>
    <w:basedOn w:val="1"/>
    <w:next w:val="1"/>
    <w:link w:val="32"/>
    <w:qFormat/>
    <w:uiPriority w:val="0"/>
    <w:pPr>
      <w:ind w:firstLine="200"/>
      <w:outlineLvl w:val="1"/>
    </w:pPr>
    <w:rPr>
      <w:rFonts w:eastAsiaTheme="majorEastAsia" w:cstheme="minorBidi"/>
      <w:b/>
      <w:bCs/>
      <w:kern w:val="28"/>
      <w:sz w:val="28"/>
      <w:szCs w:val="32"/>
    </w:rPr>
  </w:style>
  <w:style w:type="paragraph" w:styleId="18">
    <w:name w:val="footnote text"/>
    <w:basedOn w:val="1"/>
    <w:qFormat/>
    <w:uiPriority w:val="0"/>
    <w:pPr>
      <w:snapToGrid w:val="0"/>
      <w:jc w:val="left"/>
    </w:pPr>
    <w:rPr>
      <w:sz w:val="18"/>
    </w:rPr>
  </w:style>
  <w:style w:type="paragraph" w:styleId="19">
    <w:name w:val="toc 2"/>
    <w:basedOn w:val="1"/>
    <w:next w:val="1"/>
    <w:qFormat/>
    <w:uiPriority w:val="39"/>
    <w:pPr>
      <w:ind w:left="420" w:leftChars="200"/>
    </w:pPr>
  </w:style>
  <w:style w:type="paragraph" w:styleId="20">
    <w:name w:val="annotation subject"/>
    <w:basedOn w:val="11"/>
    <w:next w:val="11"/>
    <w:link w:val="33"/>
    <w:qFormat/>
    <w:uiPriority w:val="0"/>
    <w:rPr>
      <w:b/>
      <w:bCs/>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563C1" w:themeColor="hyperlink"/>
      <w:u w:val="single"/>
      <w14:textFill>
        <w14:solidFill>
          <w14:schemeClr w14:val="hlink"/>
        </w14:solidFill>
      </w14:textFill>
    </w:rPr>
  </w:style>
  <w:style w:type="character" w:styleId="25">
    <w:name w:val="annotation reference"/>
    <w:basedOn w:val="23"/>
    <w:qFormat/>
    <w:uiPriority w:val="0"/>
    <w:rPr>
      <w:sz w:val="21"/>
      <w:szCs w:val="21"/>
    </w:rPr>
  </w:style>
  <w:style w:type="character" w:styleId="26">
    <w:name w:val="footnote reference"/>
    <w:basedOn w:val="23"/>
    <w:qFormat/>
    <w:uiPriority w:val="0"/>
    <w:rPr>
      <w:vertAlign w:val="superscript"/>
    </w:rPr>
  </w:style>
  <w:style w:type="character" w:customStyle="1" w:styleId="27">
    <w:name w:val="标题 2 字符"/>
    <w:link w:val="5"/>
    <w:qFormat/>
    <w:uiPriority w:val="0"/>
    <w:rPr>
      <w:rFonts w:ascii="Arial" w:hAnsi="Arial" w:eastAsia="宋体"/>
      <w:b/>
      <w:sz w:val="28"/>
    </w:rPr>
  </w:style>
  <w:style w:type="character" w:customStyle="1" w:styleId="28">
    <w:name w:val="标题 5 字符"/>
    <w:basedOn w:val="23"/>
    <w:link w:val="8"/>
    <w:qFormat/>
    <w:uiPriority w:val="0"/>
    <w:rPr>
      <w:rFonts w:eastAsia="楷体"/>
      <w:b/>
      <w:bCs/>
      <w:kern w:val="2"/>
      <w:sz w:val="28"/>
      <w:szCs w:val="28"/>
    </w:rPr>
  </w:style>
  <w:style w:type="character" w:customStyle="1" w:styleId="29">
    <w:name w:val="批注文字 字符"/>
    <w:basedOn w:val="23"/>
    <w:link w:val="11"/>
    <w:qFormat/>
    <w:uiPriority w:val="0"/>
    <w:rPr>
      <w:kern w:val="2"/>
      <w:sz w:val="27"/>
      <w:szCs w:val="24"/>
    </w:rPr>
  </w:style>
  <w:style w:type="character" w:customStyle="1" w:styleId="30">
    <w:name w:val="批注框文本 字符"/>
    <w:basedOn w:val="23"/>
    <w:link w:val="14"/>
    <w:qFormat/>
    <w:uiPriority w:val="0"/>
    <w:rPr>
      <w:kern w:val="2"/>
      <w:sz w:val="18"/>
      <w:szCs w:val="18"/>
    </w:rPr>
  </w:style>
  <w:style w:type="character" w:customStyle="1" w:styleId="31">
    <w:name w:val="页脚 字符"/>
    <w:basedOn w:val="23"/>
    <w:link w:val="15"/>
    <w:qFormat/>
    <w:uiPriority w:val="99"/>
    <w:rPr>
      <w:kern w:val="2"/>
      <w:sz w:val="18"/>
      <w:szCs w:val="24"/>
    </w:rPr>
  </w:style>
  <w:style w:type="character" w:customStyle="1" w:styleId="32">
    <w:name w:val="副标题 字符"/>
    <w:basedOn w:val="23"/>
    <w:link w:val="17"/>
    <w:qFormat/>
    <w:uiPriority w:val="0"/>
    <w:rPr>
      <w:rFonts w:eastAsiaTheme="majorEastAsia" w:cstheme="minorBidi"/>
      <w:b/>
      <w:bCs/>
      <w:kern w:val="28"/>
      <w:sz w:val="28"/>
      <w:szCs w:val="32"/>
    </w:rPr>
  </w:style>
  <w:style w:type="character" w:customStyle="1" w:styleId="33">
    <w:name w:val="批注主题 字符"/>
    <w:basedOn w:val="29"/>
    <w:link w:val="20"/>
    <w:qFormat/>
    <w:uiPriority w:val="0"/>
    <w:rPr>
      <w:b/>
      <w:bCs/>
      <w:kern w:val="2"/>
      <w:sz w:val="27"/>
      <w:szCs w:val="24"/>
    </w:rPr>
  </w:style>
  <w:style w:type="paragraph" w:styleId="34">
    <w:name w:val="List Paragraph"/>
    <w:basedOn w:val="1"/>
    <w:qFormat/>
    <w:uiPriority w:val="34"/>
    <w:pPr>
      <w:ind w:firstLine="420"/>
    </w:pPr>
  </w:style>
  <w:style w:type="character" w:customStyle="1" w:styleId="35">
    <w:name w:val="font31"/>
    <w:basedOn w:val="23"/>
    <w:qFormat/>
    <w:uiPriority w:val="0"/>
    <w:rPr>
      <w:rFonts w:hint="default" w:ascii="Times New Roman" w:hAnsi="Times New Roman" w:cs="Times New Roman"/>
      <w:color w:val="000000"/>
      <w:sz w:val="20"/>
      <w:szCs w:val="20"/>
      <w:u w:val="none"/>
    </w:rPr>
  </w:style>
  <w:style w:type="character" w:customStyle="1" w:styleId="36">
    <w:name w:val="font01"/>
    <w:basedOn w:val="23"/>
    <w:qFormat/>
    <w:uiPriority w:val="0"/>
    <w:rPr>
      <w:rFonts w:hint="eastAsia" w:ascii="宋体" w:hAnsi="宋体" w:eastAsia="宋体" w:cs="宋体"/>
      <w:color w:val="000000"/>
      <w:sz w:val="20"/>
      <w:szCs w:val="20"/>
      <w:u w:val="none"/>
    </w:rPr>
  </w:style>
  <w:style w:type="paragraph" w:customStyle="1" w:styleId="37">
    <w:name w:val="WPSOffice手动目录 1"/>
    <w:qFormat/>
    <w:uiPriority w:val="0"/>
    <w:rPr>
      <w:rFonts w:asciiTheme="minorHAnsi" w:hAnsiTheme="minorHAnsi" w:eastAsiaTheme="minorEastAsia" w:cstheme="minorBidi"/>
      <w:lang w:val="en-US" w:eastAsia="zh-CN" w:bidi="ar-SA"/>
    </w:rPr>
  </w:style>
  <w:style w:type="paragraph" w:customStyle="1" w:styleId="38">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39">
    <w:name w:val="font11"/>
    <w:basedOn w:val="23"/>
    <w:qFormat/>
    <w:uiPriority w:val="0"/>
    <w:rPr>
      <w:rFonts w:hint="eastAsia" w:ascii="宋体" w:hAnsi="宋体" w:eastAsia="宋体" w:cs="宋体"/>
      <w:color w:val="000000"/>
      <w:sz w:val="20"/>
      <w:szCs w:val="20"/>
      <w:u w:val="none"/>
    </w:rPr>
  </w:style>
  <w:style w:type="paragraph" w:customStyle="1" w:styleId="4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41">
    <w:name w:val="font21"/>
    <w:basedOn w:val="23"/>
    <w:qFormat/>
    <w:uiPriority w:val="0"/>
    <w:rPr>
      <w:rFonts w:hint="default" w:ascii="Times New Roman" w:hAnsi="Times New Roman" w:cs="Times New Roman"/>
      <w:color w:val="000000"/>
      <w:sz w:val="20"/>
      <w:szCs w:val="20"/>
      <w:u w:val="none"/>
    </w:rPr>
  </w:style>
  <w:style w:type="paragraph" w:customStyle="1" w:styleId="42">
    <w:name w:val="TOC 标题1"/>
    <w:basedOn w:val="3"/>
    <w:next w:val="1"/>
    <w:unhideWhenUsed/>
    <w:qFormat/>
    <w:uiPriority w:val="39"/>
    <w:pPr>
      <w:pageBreakBefore w:val="0"/>
      <w:spacing w:before="240" w:line="259" w:lineRule="auto"/>
      <w:ind w:firstLine="0" w:firstLineChars="0"/>
      <w:jc w:val="left"/>
      <w:outlineLvl w:val="9"/>
    </w:pPr>
    <w:rPr>
      <w:rFonts w:asciiTheme="majorHAnsi" w:hAnsiTheme="majorHAnsi" w:eastAsiaTheme="majorEastAsia" w:cstheme="majorBidi"/>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3A0988-F911-4156-BFCB-EEBC4A72A5D4}">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21651</Words>
  <Characters>22865</Characters>
  <Lines>175</Lines>
  <Paragraphs>49</Paragraphs>
  <TotalTime>1</TotalTime>
  <ScaleCrop>false</ScaleCrop>
  <LinksUpToDate>false</LinksUpToDate>
  <CharactersWithSpaces>23006</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2019-12-15T14:37:00Z</dcterms:created>
  <dc:creator>ljq</dc:creator>
  <cp:lastModifiedBy>Administrator</cp:lastModifiedBy>
  <cp:lastPrinted>2022-12-06T11:55:00Z</cp:lastPrinted>
  <dcterms:modified xsi:type="dcterms:W3CDTF">2022-12-19T08:05:37Z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F5D840C605424B15830F2202DC569971</vt:lpwstr>
  </property>
</Properties>
</file>