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文星简黑体"/>
          <w:sz w:val="32"/>
          <w:szCs w:val="32"/>
        </w:rPr>
      </w:pPr>
    </w:p>
    <w:p>
      <w:pPr>
        <w:spacing w:line="600" w:lineRule="exact"/>
        <w:jc w:val="center"/>
        <w:rPr>
          <w:rFonts w:eastAsia="文星简黑体"/>
          <w:sz w:val="32"/>
          <w:szCs w:val="32"/>
        </w:rPr>
      </w:pPr>
    </w:p>
    <w:p>
      <w:pPr>
        <w:spacing w:line="600" w:lineRule="exact"/>
        <w:jc w:val="center"/>
        <w:rPr>
          <w:rFonts w:eastAsia="文星简黑体"/>
          <w:sz w:val="32"/>
          <w:szCs w:val="32"/>
        </w:rPr>
      </w:pPr>
    </w:p>
    <w:p>
      <w:pPr>
        <w:widowControl/>
        <w:overflowPunct w:val="0"/>
        <w:autoSpaceDE w:val="0"/>
        <w:autoSpaceDN w:val="0"/>
        <w:adjustRightInd w:val="0"/>
        <w:spacing w:line="660" w:lineRule="exact"/>
        <w:ind w:firstLine="0" w:firstLineChars="0"/>
        <w:jc w:val="center"/>
        <w:textAlignment w:val="baseline"/>
        <w:rPr>
          <w:rFonts w:hint="default" w:ascii="Times New Roman" w:hAnsi="Times New Roman" w:eastAsia="方正小标宋_GBK" w:cs="Times New Roman"/>
          <w:kern w:val="0"/>
          <w:sz w:val="44"/>
          <w:szCs w:val="44"/>
        </w:rPr>
      </w:pPr>
      <w:r>
        <w:rPr>
          <w:rFonts w:hint="default" w:ascii="Times New Roman" w:hAnsi="Times New Roman" w:eastAsia="方正小标宋_GBK" w:cs="Times New Roman"/>
          <w:kern w:val="0"/>
          <w:sz w:val="44"/>
          <w:szCs w:val="44"/>
        </w:rPr>
        <w:t>兖州区气象局迁建（2019-2021年）项目</w:t>
      </w:r>
    </w:p>
    <w:p>
      <w:pPr>
        <w:widowControl/>
        <w:overflowPunct w:val="0"/>
        <w:autoSpaceDE w:val="0"/>
        <w:autoSpaceDN w:val="0"/>
        <w:adjustRightInd w:val="0"/>
        <w:spacing w:line="660" w:lineRule="exact"/>
        <w:ind w:firstLine="0" w:firstLineChars="0"/>
        <w:jc w:val="center"/>
        <w:textAlignment w:val="baseline"/>
        <w:rPr>
          <w:rFonts w:hint="default" w:ascii="Times New Roman" w:hAnsi="Times New Roman" w:eastAsia="方正小标宋_GBK" w:cs="Times New Roman"/>
          <w:kern w:val="0"/>
          <w:sz w:val="44"/>
          <w:szCs w:val="44"/>
        </w:rPr>
      </w:pPr>
      <w:r>
        <w:rPr>
          <w:rFonts w:hint="default" w:ascii="Times New Roman" w:hAnsi="Times New Roman" w:eastAsia="方正小标宋_GBK" w:cs="Times New Roman"/>
          <w:kern w:val="0"/>
          <w:sz w:val="44"/>
          <w:szCs w:val="44"/>
        </w:rPr>
        <w:t>绩效评价报告</w:t>
      </w:r>
    </w:p>
    <w:p>
      <w:pPr>
        <w:widowControl/>
        <w:overflowPunct w:val="0"/>
        <w:autoSpaceDE w:val="0"/>
        <w:autoSpaceDN w:val="0"/>
        <w:adjustRightInd w:val="0"/>
        <w:spacing w:line="660" w:lineRule="exact"/>
        <w:ind w:firstLine="0" w:firstLineChars="0"/>
        <w:jc w:val="center"/>
        <w:textAlignment w:val="baseline"/>
        <w:rPr>
          <w:rFonts w:hint="default" w:ascii="Times New Roman" w:hAnsi="Times New Roman" w:eastAsia="方正小标宋_GBK" w:cs="Times New Roman"/>
          <w:kern w:val="0"/>
          <w:sz w:val="44"/>
          <w:szCs w:val="44"/>
        </w:rPr>
      </w:pPr>
    </w:p>
    <w:p>
      <w:pPr>
        <w:snapToGrid w:val="0"/>
        <w:spacing w:before="183" w:beforeLines="50"/>
        <w:ind w:firstLine="964"/>
        <w:rPr>
          <w:rFonts w:eastAsia="黑体"/>
          <w:b/>
          <w:sz w:val="48"/>
        </w:rPr>
      </w:pPr>
    </w:p>
    <w:p>
      <w:pPr>
        <w:snapToGrid w:val="0"/>
        <w:spacing w:before="183" w:beforeLines="50"/>
        <w:ind w:firstLine="964"/>
        <w:rPr>
          <w:rFonts w:eastAsia="黑体"/>
          <w:b/>
          <w:sz w:val="48"/>
        </w:rPr>
      </w:pPr>
    </w:p>
    <w:p>
      <w:pPr>
        <w:pStyle w:val="2"/>
      </w:pPr>
    </w:p>
    <w:p>
      <w:pPr>
        <w:spacing w:before="183" w:beforeLines="50" w:after="183" w:afterLines="50"/>
        <w:ind w:firstLine="0" w:firstLineChars="0"/>
        <w:rPr>
          <w:rFonts w:eastAsia="仿宋_GB2312"/>
          <w:b/>
          <w:sz w:val="30"/>
        </w:rPr>
      </w:pPr>
    </w:p>
    <w:p>
      <w:pPr>
        <w:pStyle w:val="2"/>
        <w:rPr>
          <w:rFonts w:eastAsia="仿宋_GB2312"/>
          <w:b/>
          <w:sz w:val="30"/>
        </w:rPr>
      </w:pPr>
    </w:p>
    <w:p>
      <w:pPr>
        <w:rPr>
          <w:rFonts w:eastAsia="仿宋_GB2312"/>
          <w:b/>
          <w:sz w:val="30"/>
        </w:rPr>
      </w:pPr>
    </w:p>
    <w:p>
      <w:pPr>
        <w:pStyle w:val="2"/>
      </w:pPr>
    </w:p>
    <w:p>
      <w:pPr>
        <w:widowControl/>
        <w:overflowPunct w:val="0"/>
        <w:autoSpaceDE w:val="0"/>
        <w:autoSpaceDN w:val="0"/>
        <w:adjustRightInd w:val="0"/>
        <w:spacing w:line="600" w:lineRule="exact"/>
        <w:ind w:firstLine="640" w:firstLineChars="200"/>
        <w:textAlignment w:val="baseline"/>
        <w:rPr>
          <w:rFonts w:eastAsia="黑体"/>
          <w:kern w:val="0"/>
          <w:sz w:val="32"/>
          <w:szCs w:val="32"/>
        </w:rPr>
      </w:pPr>
      <w:r>
        <w:rPr>
          <w:rFonts w:eastAsia="黑体"/>
          <w:kern w:val="0"/>
          <w:sz w:val="32"/>
          <w:szCs w:val="32"/>
        </w:rPr>
        <w:t>委托单位：</w:t>
      </w:r>
      <w:r>
        <w:rPr>
          <w:rFonts w:eastAsia="黑体"/>
          <w:kern w:val="0"/>
          <w:sz w:val="32"/>
          <w:szCs w:val="32"/>
          <w:u w:val="single"/>
        </w:rPr>
        <w:t>济宁市兖州区财政局</w:t>
      </w:r>
      <w:r>
        <w:rPr>
          <w:rFonts w:eastAsia="黑体"/>
          <w:kern w:val="0"/>
          <w:sz w:val="32"/>
          <w:szCs w:val="32"/>
        </w:rPr>
        <w:t xml:space="preserve">               </w:t>
      </w:r>
    </w:p>
    <w:p>
      <w:pPr>
        <w:widowControl/>
        <w:overflowPunct w:val="0"/>
        <w:autoSpaceDE w:val="0"/>
        <w:autoSpaceDN w:val="0"/>
        <w:adjustRightInd w:val="0"/>
        <w:spacing w:line="600" w:lineRule="exact"/>
        <w:ind w:firstLine="640" w:firstLineChars="200"/>
        <w:textAlignment w:val="baseline"/>
        <w:rPr>
          <w:rFonts w:eastAsia="黑体"/>
          <w:kern w:val="0"/>
          <w:sz w:val="32"/>
          <w:szCs w:val="32"/>
          <w:u w:val="single"/>
        </w:rPr>
      </w:pPr>
      <w:r>
        <w:rPr>
          <w:rFonts w:eastAsia="黑体"/>
          <w:kern w:val="0"/>
          <w:sz w:val="32"/>
          <w:szCs w:val="32"/>
        </w:rPr>
        <w:t>主管部门：</w:t>
      </w:r>
      <w:r>
        <w:rPr>
          <w:rFonts w:hint="eastAsia" w:eastAsia="黑体"/>
          <w:kern w:val="0"/>
          <w:sz w:val="32"/>
          <w:szCs w:val="32"/>
          <w:u w:val="single"/>
        </w:rPr>
        <w:t>济宁市兖州区气象局</w:t>
      </w:r>
    </w:p>
    <w:p>
      <w:pPr>
        <w:widowControl/>
        <w:overflowPunct w:val="0"/>
        <w:autoSpaceDE w:val="0"/>
        <w:autoSpaceDN w:val="0"/>
        <w:adjustRightInd w:val="0"/>
        <w:spacing w:line="600" w:lineRule="exact"/>
        <w:ind w:firstLine="640" w:firstLineChars="200"/>
        <w:textAlignment w:val="baseline"/>
        <w:rPr>
          <w:rFonts w:eastAsia="黑体"/>
          <w:kern w:val="0"/>
          <w:sz w:val="32"/>
          <w:szCs w:val="32"/>
        </w:rPr>
      </w:pPr>
      <w:r>
        <w:rPr>
          <w:rFonts w:hint="eastAsia" w:eastAsia="黑体"/>
          <w:kern w:val="0"/>
          <w:sz w:val="32"/>
          <w:szCs w:val="32"/>
        </w:rPr>
        <w:t>评价机构</w:t>
      </w:r>
      <w:r>
        <w:rPr>
          <w:rFonts w:eastAsia="黑体"/>
          <w:kern w:val="0"/>
          <w:sz w:val="32"/>
          <w:szCs w:val="32"/>
        </w:rPr>
        <w:t>：</w:t>
      </w:r>
      <w:r>
        <w:rPr>
          <w:rFonts w:hint="eastAsia" w:eastAsia="黑体"/>
          <w:kern w:val="0"/>
          <w:sz w:val="32"/>
          <w:szCs w:val="32"/>
          <w:u w:val="single"/>
        </w:rPr>
        <w:t>山东德睿融投资咨询有限公司</w:t>
      </w:r>
      <w:r>
        <w:rPr>
          <w:rFonts w:eastAsia="黑体"/>
          <w:kern w:val="0"/>
          <w:sz w:val="32"/>
          <w:szCs w:val="32"/>
        </w:rPr>
        <w:t xml:space="preserve"> </w:t>
      </w:r>
    </w:p>
    <w:p>
      <w:pPr>
        <w:tabs>
          <w:tab w:val="left" w:pos="2685"/>
        </w:tabs>
        <w:ind w:firstLine="600"/>
        <w:rPr>
          <w:rFonts w:eastAsia="方正小标宋_GBK"/>
          <w:bCs/>
          <w:sz w:val="30"/>
        </w:rPr>
      </w:pPr>
    </w:p>
    <w:p>
      <w:pPr>
        <w:pStyle w:val="2"/>
      </w:pPr>
    </w:p>
    <w:p>
      <w:pPr>
        <w:widowControl/>
        <w:overflowPunct w:val="0"/>
        <w:autoSpaceDE w:val="0"/>
        <w:autoSpaceDN w:val="0"/>
        <w:adjustRightInd w:val="0"/>
        <w:spacing w:line="600" w:lineRule="exact"/>
        <w:ind w:firstLine="0" w:firstLineChars="0"/>
        <w:jc w:val="center"/>
        <w:textAlignment w:val="baseline"/>
        <w:rPr>
          <w:rFonts w:eastAsia="黑体"/>
          <w:kern w:val="0"/>
          <w:sz w:val="32"/>
          <w:szCs w:val="32"/>
        </w:rPr>
      </w:pPr>
      <w:r>
        <w:rPr>
          <w:rFonts w:eastAsia="黑体"/>
          <w:kern w:val="0"/>
          <w:sz w:val="32"/>
          <w:szCs w:val="32"/>
        </w:rPr>
        <w:t>2022年8月</w:t>
      </w:r>
    </w:p>
    <w:p>
      <w:pPr>
        <w:widowControl/>
        <w:overflowPunct w:val="0"/>
        <w:autoSpaceDE w:val="0"/>
        <w:autoSpaceDN w:val="0"/>
        <w:adjustRightInd w:val="0"/>
        <w:spacing w:line="600" w:lineRule="exact"/>
        <w:ind w:firstLine="0" w:firstLineChars="0"/>
        <w:jc w:val="center"/>
        <w:textAlignment w:val="baseline"/>
        <w:rPr>
          <w:rFonts w:eastAsia="黑体"/>
          <w:kern w:val="0"/>
          <w:sz w:val="32"/>
          <w:szCs w:val="32"/>
        </w:rPr>
        <w:sectPr>
          <w:headerReference r:id="rId7" w:type="first"/>
          <w:footerReference r:id="rId10" w:type="first"/>
          <w:headerReference r:id="rId5" w:type="default"/>
          <w:footerReference r:id="rId8" w:type="default"/>
          <w:headerReference r:id="rId6" w:type="even"/>
          <w:footerReference r:id="rId9" w:type="even"/>
          <w:footnotePr>
            <w:numFmt w:val="decimalEnclosedCircleChinese"/>
            <w:numRestart w:val="eachPage"/>
          </w:footnotePr>
          <w:pgSz w:w="11906" w:h="16838"/>
          <w:pgMar w:top="1587" w:right="1587" w:bottom="1587" w:left="1587" w:header="851" w:footer="992" w:gutter="0"/>
          <w:pgNumType w:fmt="numberInDash" w:start="1"/>
          <w:cols w:space="0" w:num="1"/>
          <w:titlePg/>
          <w:rtlGutter w:val="0"/>
          <w:docGrid w:type="lines" w:linePitch="369" w:charSpace="0"/>
        </w:sectPr>
      </w:pPr>
    </w:p>
    <w:sdt>
      <w:sdtPr>
        <w:rPr>
          <w:rFonts w:hint="eastAsia" w:ascii="方正小标宋简体" w:hAnsi="宋体" w:eastAsia="方正小标宋简体"/>
          <w:kern w:val="0"/>
          <w:sz w:val="44"/>
          <w:szCs w:val="44"/>
        </w:rPr>
        <w:id w:val="242067155"/>
        <w:docPartObj>
          <w:docPartGallery w:val="Table of Contents"/>
          <w:docPartUnique/>
        </w:docPartObj>
      </w:sdtPr>
      <w:sdtEndPr>
        <w:rPr>
          <w:rFonts w:hint="eastAsia" w:ascii="Times New Roman" w:hAnsi="Times New Roman" w:eastAsia="宋体" w:cs="Times New Roman"/>
          <w:b/>
          <w:bCs/>
          <w:color w:val="auto"/>
          <w:kern w:val="2"/>
          <w:sz w:val="27"/>
          <w:szCs w:val="24"/>
          <w:lang w:val="zh-CN"/>
        </w:rPr>
      </w:sdtEndPr>
      <w:sdtContent>
        <w:p>
          <w:pPr>
            <w:keepNext w:val="0"/>
            <w:keepLines w:val="0"/>
            <w:pageBreakBefore w:val="0"/>
            <w:widowControl/>
            <w:kinsoku/>
            <w:wordWrap/>
            <w:overflowPunct w:val="0"/>
            <w:topLinePunct w:val="0"/>
            <w:autoSpaceDE w:val="0"/>
            <w:autoSpaceDN w:val="0"/>
            <w:bidi w:val="0"/>
            <w:adjustRightInd w:val="0"/>
            <w:snapToGrid/>
            <w:spacing w:before="313" w:beforeLines="100" w:after="313" w:afterLines="100" w:line="600" w:lineRule="exact"/>
            <w:ind w:firstLine="0" w:firstLineChars="0"/>
            <w:jc w:val="center"/>
            <w:textAlignment w:val="baseline"/>
            <w:rPr>
              <w:rFonts w:ascii="Times New Roman" w:hAnsi="Times New Roman" w:eastAsia="宋体" w:cs="Times New Roman"/>
              <w:bCs/>
              <w:kern w:val="2"/>
              <w:sz w:val="27"/>
              <w:szCs w:val="24"/>
              <w:lang w:val="zh-CN" w:eastAsia="zh-CN" w:bidi="ar-SA"/>
            </w:rPr>
          </w:pPr>
          <w:bookmarkStart w:id="0" w:name="_Toc24374840"/>
          <w:bookmarkStart w:id="1" w:name="_Toc24374199"/>
          <w:bookmarkStart w:id="2" w:name="_Toc24311764"/>
          <w:bookmarkStart w:id="3" w:name="_Toc4739"/>
          <w:bookmarkStart w:id="4" w:name="_Toc24375741"/>
          <w:bookmarkStart w:id="5" w:name="_Toc25650484"/>
          <w:r>
            <w:rPr>
              <w:rFonts w:hint="eastAsia" w:ascii="方正小标宋简体" w:hAnsi="宋体" w:eastAsia="方正小标宋简体"/>
              <w:kern w:val="0"/>
              <w:sz w:val="44"/>
              <w:szCs w:val="44"/>
              <w:lang w:val="en-US" w:eastAsia="zh-CN"/>
            </w:rPr>
            <w:t>目  录</w:t>
          </w:r>
          <w:r>
            <w:rPr>
              <w:b/>
              <w:bCs/>
              <w:lang w:val="zh-CN"/>
            </w:rPr>
            <w:fldChar w:fldCharType="begin"/>
          </w:r>
          <w:r>
            <w:rPr>
              <w:b/>
              <w:bCs/>
              <w:lang w:val="zh-CN"/>
            </w:rPr>
            <w:instrText xml:space="preserve"> TOC \o "1-3" \h \z \u </w:instrText>
          </w:r>
          <w:r>
            <w:rPr>
              <w:b/>
              <w:bCs/>
              <w:lang w:val="zh-CN"/>
            </w:rPr>
            <w:fldChar w:fldCharType="separate"/>
          </w:r>
        </w:p>
        <w:p>
          <w:pPr>
            <w:pStyle w:val="2"/>
            <w:tabs>
              <w:tab w:val="right" w:leader="dot" w:pos="8306"/>
            </w:tabs>
            <w:rPr>
              <w:rFonts w:hint="eastAsia" w:ascii="Times New Roman" w:hAnsi="Times New Roman" w:eastAsia="黑体" w:cs="Times New Roman"/>
              <w:kern w:val="0"/>
              <w:sz w:val="32"/>
              <w:szCs w:val="32"/>
              <w:lang w:val="en-US" w:eastAsia="zh-CN" w:bidi="ar-SA"/>
            </w:rPr>
          </w:pPr>
          <w:r>
            <w:rPr>
              <w:rFonts w:hint="eastAsia" w:ascii="Times New Roman" w:hAnsi="Times New Roman" w:eastAsia="黑体" w:cs="Times New Roman"/>
              <w:kern w:val="0"/>
              <w:sz w:val="32"/>
              <w:szCs w:val="32"/>
              <w:lang w:val="zh-CN" w:eastAsia="zh-CN" w:bidi="ar-SA"/>
            </w:rPr>
            <w:fldChar w:fldCharType="begin"/>
          </w:r>
          <w:r>
            <w:rPr>
              <w:rFonts w:hint="eastAsia" w:ascii="Times New Roman" w:hAnsi="Times New Roman" w:eastAsia="黑体" w:cs="Times New Roman"/>
              <w:kern w:val="0"/>
              <w:sz w:val="32"/>
              <w:szCs w:val="32"/>
              <w:lang w:val="zh-CN" w:eastAsia="zh-CN" w:bidi="ar-SA"/>
            </w:rPr>
            <w:instrText xml:space="preserve"> HYPERLINK \l _Toc15976 </w:instrText>
          </w:r>
          <w:r>
            <w:rPr>
              <w:rFonts w:hint="eastAsia" w:ascii="Times New Roman" w:hAnsi="Times New Roman" w:eastAsia="黑体" w:cs="Times New Roman"/>
              <w:kern w:val="0"/>
              <w:sz w:val="32"/>
              <w:szCs w:val="32"/>
              <w:lang w:val="zh-CN" w:eastAsia="zh-CN" w:bidi="ar-SA"/>
            </w:rPr>
            <w:fldChar w:fldCharType="separate"/>
          </w:r>
          <w:r>
            <w:rPr>
              <w:rFonts w:hint="eastAsia" w:ascii="Times New Roman" w:hAnsi="Times New Roman" w:eastAsia="黑体" w:cs="Times New Roman"/>
              <w:kern w:val="0"/>
              <w:sz w:val="32"/>
              <w:szCs w:val="32"/>
              <w:lang w:val="en-US" w:eastAsia="zh-CN" w:bidi="ar-SA"/>
            </w:rPr>
            <w:t>摘  要</w:t>
          </w:r>
          <w:r>
            <w:rPr>
              <w:rFonts w:hint="eastAsia" w:ascii="Times New Roman" w:hAnsi="Times New Roman" w:eastAsia="黑体" w:cs="Times New Roman"/>
              <w:kern w:val="0"/>
              <w:sz w:val="32"/>
              <w:szCs w:val="32"/>
              <w:lang w:val="en-US" w:eastAsia="zh-CN" w:bidi="ar-SA"/>
            </w:rPr>
            <w:tab/>
          </w:r>
          <w:r>
            <w:rPr>
              <w:rFonts w:hint="eastAsia" w:eastAsia="黑体" w:cs="Times New Roman"/>
              <w:kern w:val="0"/>
              <w:sz w:val="32"/>
              <w:szCs w:val="32"/>
              <w:lang w:val="en-US" w:eastAsia="zh-CN" w:bidi="ar-SA"/>
            </w:rPr>
            <w:t>1</w:t>
          </w:r>
          <w:r>
            <w:rPr>
              <w:rFonts w:hint="eastAsia" w:ascii="Times New Roman" w:hAnsi="Times New Roman" w:eastAsia="黑体" w:cs="Times New Roman"/>
              <w:kern w:val="0"/>
              <w:sz w:val="32"/>
              <w:szCs w:val="32"/>
              <w:lang w:val="zh-CN" w:eastAsia="zh-CN" w:bidi="ar-SA"/>
            </w:rPr>
            <w:fldChar w:fldCharType="end"/>
          </w:r>
        </w:p>
        <w:p>
          <w:pPr>
            <w:pStyle w:val="2"/>
            <w:tabs>
              <w:tab w:val="right" w:leader="dot" w:pos="8306"/>
            </w:tabs>
            <w:rPr>
              <w:rFonts w:hint="eastAsia" w:ascii="Times New Roman" w:hAnsi="Times New Roman" w:eastAsia="黑体" w:cs="Times New Roman"/>
              <w:kern w:val="0"/>
              <w:sz w:val="32"/>
              <w:szCs w:val="32"/>
              <w:lang w:val="en-US" w:eastAsia="zh-CN" w:bidi="ar-SA"/>
            </w:rPr>
          </w:pPr>
          <w:r>
            <w:rPr>
              <w:rFonts w:hint="eastAsia" w:ascii="Times New Roman" w:hAnsi="Times New Roman" w:eastAsia="黑体" w:cs="Times New Roman"/>
              <w:kern w:val="0"/>
              <w:sz w:val="32"/>
              <w:szCs w:val="32"/>
              <w:lang w:val="zh-CN" w:eastAsia="zh-CN" w:bidi="ar-SA"/>
            </w:rPr>
            <w:fldChar w:fldCharType="begin"/>
          </w:r>
          <w:r>
            <w:rPr>
              <w:rFonts w:hint="eastAsia" w:ascii="Times New Roman" w:hAnsi="Times New Roman" w:eastAsia="黑体" w:cs="Times New Roman"/>
              <w:kern w:val="0"/>
              <w:sz w:val="32"/>
              <w:szCs w:val="32"/>
              <w:lang w:val="zh-CN" w:eastAsia="zh-CN" w:bidi="ar-SA"/>
            </w:rPr>
            <w:instrText xml:space="preserve"> HYPERLINK \l _Toc28277 </w:instrText>
          </w:r>
          <w:r>
            <w:rPr>
              <w:rFonts w:hint="eastAsia" w:ascii="Times New Roman" w:hAnsi="Times New Roman" w:eastAsia="黑体" w:cs="Times New Roman"/>
              <w:kern w:val="0"/>
              <w:sz w:val="32"/>
              <w:szCs w:val="32"/>
              <w:lang w:val="zh-CN" w:eastAsia="zh-CN" w:bidi="ar-SA"/>
            </w:rPr>
            <w:fldChar w:fldCharType="separate"/>
          </w:r>
          <w:r>
            <w:rPr>
              <w:rFonts w:hint="eastAsia" w:ascii="Times New Roman" w:hAnsi="Times New Roman" w:eastAsia="黑体" w:cs="Times New Roman"/>
              <w:kern w:val="0"/>
              <w:sz w:val="32"/>
              <w:szCs w:val="32"/>
              <w:lang w:val="en-US" w:eastAsia="zh-CN" w:bidi="ar-SA"/>
            </w:rPr>
            <w:t>一、项目基本情况</w:t>
          </w:r>
          <w:r>
            <w:rPr>
              <w:rFonts w:hint="eastAsia" w:ascii="Times New Roman" w:hAnsi="Times New Roman" w:eastAsia="黑体" w:cs="Times New Roman"/>
              <w:kern w:val="0"/>
              <w:sz w:val="32"/>
              <w:szCs w:val="32"/>
              <w:lang w:val="en-US" w:eastAsia="zh-CN" w:bidi="ar-SA"/>
            </w:rPr>
            <w:tab/>
          </w:r>
          <w:r>
            <w:rPr>
              <w:rFonts w:hint="eastAsia" w:eastAsia="黑体" w:cs="Times New Roman"/>
              <w:kern w:val="0"/>
              <w:sz w:val="32"/>
              <w:szCs w:val="32"/>
              <w:lang w:val="en-US" w:eastAsia="zh-CN" w:bidi="ar-SA"/>
            </w:rPr>
            <w:t>7</w:t>
          </w:r>
          <w:r>
            <w:rPr>
              <w:rFonts w:hint="eastAsia" w:ascii="Times New Roman" w:hAnsi="Times New Roman" w:eastAsia="黑体" w:cs="Times New Roman"/>
              <w:kern w:val="0"/>
              <w:sz w:val="32"/>
              <w:szCs w:val="32"/>
              <w:lang w:val="zh-CN" w:eastAsia="zh-CN" w:bidi="ar-SA"/>
            </w:rPr>
            <w:fldChar w:fldCharType="end"/>
          </w:r>
        </w:p>
        <w:p>
          <w:pPr>
            <w:pStyle w:val="19"/>
            <w:tabs>
              <w:tab w:val="right" w:leader="dot" w:pos="8306"/>
            </w:tabs>
            <w:rPr>
              <w:rFonts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_Toc30166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（一）项目立项</w:t>
          </w:r>
          <w:r>
            <w:rPr>
              <w:rFonts w:ascii="Times New Roman" w:hAnsi="Times New Roman" w:eastAsia="楷体_GB2312" w:cs="Times New Roman"/>
              <w:kern w:val="0"/>
              <w:sz w:val="32"/>
              <w:szCs w:val="32"/>
              <w:lang w:val="en-US" w:eastAsia="zh-CN" w:bidi="ar-SA"/>
            </w:rPr>
            <w:tab/>
          </w:r>
          <w:r>
            <w:rPr>
              <w:rFonts w:hint="eastAsia" w:eastAsia="楷体_GB2312" w:cs="Times New Roman"/>
              <w:kern w:val="0"/>
              <w:sz w:val="32"/>
              <w:szCs w:val="32"/>
              <w:lang w:val="en-US" w:eastAsia="zh-CN" w:bidi="ar-SA"/>
            </w:rPr>
            <w:t>7</w:t>
          </w:r>
          <w:r>
            <w:rPr>
              <w:rFonts w:ascii="Times New Roman" w:hAnsi="Times New Roman" w:eastAsia="楷体_GB2312" w:cs="Times New Roman"/>
              <w:kern w:val="0"/>
              <w:sz w:val="32"/>
              <w:szCs w:val="32"/>
              <w:lang w:val="zh-CN" w:eastAsia="zh-CN" w:bidi="ar-SA"/>
            </w:rPr>
            <w:fldChar w:fldCharType="end"/>
          </w:r>
        </w:p>
        <w:p>
          <w:pPr>
            <w:pStyle w:val="19"/>
            <w:tabs>
              <w:tab w:val="right" w:leader="dot" w:pos="8306"/>
            </w:tabs>
            <w:rPr>
              <w:rFonts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_Toc18167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（二）项目预算</w:t>
          </w:r>
          <w:r>
            <w:rPr>
              <w:rFonts w:ascii="Times New Roman" w:hAnsi="Times New Roman" w:eastAsia="楷体_GB2312" w:cs="Times New Roman"/>
              <w:kern w:val="0"/>
              <w:sz w:val="32"/>
              <w:szCs w:val="32"/>
              <w:lang w:val="en-US" w:eastAsia="zh-CN" w:bidi="ar-SA"/>
            </w:rPr>
            <w:tab/>
          </w:r>
          <w:r>
            <w:rPr>
              <w:rFonts w:hint="eastAsia" w:eastAsia="楷体_GB2312" w:cs="Times New Roman"/>
              <w:kern w:val="0"/>
              <w:sz w:val="32"/>
              <w:szCs w:val="32"/>
              <w:lang w:val="en-US" w:eastAsia="zh-CN" w:bidi="ar-SA"/>
            </w:rPr>
            <w:t>9</w:t>
          </w:r>
          <w:r>
            <w:rPr>
              <w:rFonts w:ascii="Times New Roman" w:hAnsi="Times New Roman" w:eastAsia="楷体_GB2312" w:cs="Times New Roman"/>
              <w:kern w:val="0"/>
              <w:sz w:val="32"/>
              <w:szCs w:val="32"/>
              <w:lang w:val="zh-CN" w:eastAsia="zh-CN" w:bidi="ar-SA"/>
            </w:rPr>
            <w:fldChar w:fldCharType="end"/>
          </w:r>
        </w:p>
        <w:p>
          <w:pPr>
            <w:pStyle w:val="19"/>
            <w:tabs>
              <w:tab w:val="right" w:leader="dot" w:pos="8306"/>
            </w:tabs>
            <w:rPr>
              <w:rFonts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_Toc28839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（三）项目计划实施内容</w:t>
          </w:r>
          <w:r>
            <w:rPr>
              <w:rFonts w:ascii="Times New Roman" w:hAnsi="Times New Roman" w:eastAsia="楷体_GB2312" w:cs="Times New Roman"/>
              <w:kern w:val="0"/>
              <w:sz w:val="32"/>
              <w:szCs w:val="32"/>
              <w:lang w:val="en-US" w:eastAsia="zh-CN" w:bidi="ar-SA"/>
            </w:rPr>
            <w:tab/>
          </w:r>
          <w:r>
            <w:rPr>
              <w:rFonts w:hint="eastAsia" w:eastAsia="楷体_GB2312" w:cs="Times New Roman"/>
              <w:kern w:val="0"/>
              <w:sz w:val="32"/>
              <w:szCs w:val="32"/>
              <w:lang w:val="en-US" w:eastAsia="zh-CN" w:bidi="ar-SA"/>
            </w:rPr>
            <w:t>9</w:t>
          </w:r>
          <w:r>
            <w:rPr>
              <w:rFonts w:ascii="Times New Roman" w:hAnsi="Times New Roman" w:eastAsia="楷体_GB2312" w:cs="Times New Roman"/>
              <w:kern w:val="0"/>
              <w:sz w:val="32"/>
              <w:szCs w:val="32"/>
              <w:lang w:val="zh-CN" w:eastAsia="zh-CN" w:bidi="ar-SA"/>
            </w:rPr>
            <w:fldChar w:fldCharType="end"/>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_Toc27650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（四）项目组织管理</w:t>
          </w:r>
          <w:r>
            <w:rPr>
              <w:rFonts w:ascii="Times New Roman" w:hAnsi="Times New Roman" w:eastAsia="楷体_GB2312" w:cs="Times New Roman"/>
              <w:kern w:val="0"/>
              <w:sz w:val="32"/>
              <w:szCs w:val="32"/>
              <w:lang w:val="en-US" w:eastAsia="zh-CN" w:bidi="ar-SA"/>
            </w:rPr>
            <w:tab/>
          </w:r>
          <w:r>
            <w:rPr>
              <w:rFonts w:hint="eastAsia" w:eastAsia="楷体_GB2312" w:cs="Times New Roman"/>
              <w:kern w:val="0"/>
              <w:sz w:val="32"/>
              <w:szCs w:val="32"/>
              <w:lang w:val="en-US" w:eastAsia="zh-CN" w:bidi="ar-SA"/>
            </w:rPr>
            <w:t>1</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0</w:t>
          </w:r>
        </w:p>
        <w:p>
          <w:pPr>
            <w:pStyle w:val="2"/>
            <w:tabs>
              <w:tab w:val="right" w:leader="dot" w:pos="8306"/>
            </w:tabs>
            <w:rPr>
              <w:rFonts w:hint="default" w:ascii="Times New Roman" w:hAnsi="Times New Roman" w:eastAsia="黑体" w:cs="Times New Roman"/>
              <w:kern w:val="0"/>
              <w:sz w:val="32"/>
              <w:szCs w:val="32"/>
              <w:lang w:val="en-US" w:eastAsia="zh-CN" w:bidi="ar-SA"/>
            </w:rPr>
          </w:pPr>
          <w:r>
            <w:rPr>
              <w:rFonts w:hint="eastAsia" w:ascii="Times New Roman" w:hAnsi="Times New Roman" w:eastAsia="黑体" w:cs="Times New Roman"/>
              <w:kern w:val="0"/>
              <w:sz w:val="32"/>
              <w:szCs w:val="32"/>
              <w:lang w:val="zh-CN" w:eastAsia="zh-CN" w:bidi="ar-SA"/>
            </w:rPr>
            <w:fldChar w:fldCharType="begin"/>
          </w:r>
          <w:r>
            <w:rPr>
              <w:rFonts w:hint="eastAsia" w:ascii="Times New Roman" w:hAnsi="Times New Roman" w:eastAsia="黑体" w:cs="Times New Roman"/>
              <w:kern w:val="0"/>
              <w:sz w:val="32"/>
              <w:szCs w:val="32"/>
              <w:lang w:val="zh-CN" w:eastAsia="zh-CN" w:bidi="ar-SA"/>
            </w:rPr>
            <w:instrText xml:space="preserve"> HYPERLINK \l _Toc2146 </w:instrText>
          </w:r>
          <w:r>
            <w:rPr>
              <w:rFonts w:hint="eastAsia" w:ascii="Times New Roman" w:hAnsi="Times New Roman" w:eastAsia="黑体" w:cs="Times New Roman"/>
              <w:kern w:val="0"/>
              <w:sz w:val="32"/>
              <w:szCs w:val="32"/>
              <w:lang w:val="zh-CN" w:eastAsia="zh-CN" w:bidi="ar-SA"/>
            </w:rPr>
            <w:fldChar w:fldCharType="separate"/>
          </w:r>
          <w:r>
            <w:rPr>
              <w:rFonts w:hint="eastAsia" w:ascii="Times New Roman" w:hAnsi="Times New Roman" w:eastAsia="黑体" w:cs="Times New Roman"/>
              <w:kern w:val="0"/>
              <w:sz w:val="32"/>
              <w:szCs w:val="32"/>
              <w:lang w:val="en-US" w:eastAsia="zh-CN" w:bidi="ar-SA"/>
            </w:rPr>
            <w:t>二、项目绩效目标</w:t>
          </w:r>
          <w:r>
            <w:rPr>
              <w:rFonts w:hint="eastAsia" w:ascii="Times New Roman" w:hAnsi="Times New Roman" w:eastAsia="黑体" w:cs="Times New Roman"/>
              <w:kern w:val="0"/>
              <w:sz w:val="32"/>
              <w:szCs w:val="32"/>
              <w:lang w:val="zh-CN" w:eastAsia="zh-CN" w:bidi="ar-SA"/>
            </w:rPr>
            <w:tab/>
          </w:r>
          <w:r>
            <w:rPr>
              <w:rFonts w:hint="eastAsia" w:eastAsia="黑体" w:cs="Times New Roman"/>
              <w:kern w:val="0"/>
              <w:sz w:val="32"/>
              <w:szCs w:val="32"/>
              <w:lang w:val="en-US" w:eastAsia="zh-CN" w:bidi="ar-SA"/>
            </w:rPr>
            <w:t>1</w:t>
          </w:r>
          <w:r>
            <w:rPr>
              <w:rFonts w:hint="eastAsia" w:ascii="Times New Roman" w:hAnsi="Times New Roman" w:eastAsia="黑体" w:cs="Times New Roman"/>
              <w:kern w:val="0"/>
              <w:sz w:val="32"/>
              <w:szCs w:val="32"/>
              <w:lang w:val="zh-CN" w:eastAsia="zh-CN" w:bidi="ar-SA"/>
            </w:rPr>
            <w:fldChar w:fldCharType="end"/>
          </w:r>
          <w:r>
            <w:rPr>
              <w:rFonts w:hint="eastAsia" w:eastAsia="黑体" w:cs="Times New Roman"/>
              <w:kern w:val="0"/>
              <w:sz w:val="32"/>
              <w:szCs w:val="32"/>
              <w:lang w:val="en-US" w:eastAsia="zh-CN" w:bidi="ar-SA"/>
            </w:rPr>
            <w:t>1</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_Toc21788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（一）总体绩效目标</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1</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2</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_Toc25037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（二）年度绩效目标</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1</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2</w:t>
          </w:r>
        </w:p>
        <w:p>
          <w:pPr>
            <w:pStyle w:val="2"/>
            <w:tabs>
              <w:tab w:val="right" w:leader="dot" w:pos="8306"/>
            </w:tabs>
            <w:rPr>
              <w:rFonts w:hint="default" w:ascii="Times New Roman" w:hAnsi="Times New Roman" w:eastAsia="黑体" w:cs="Times New Roman"/>
              <w:kern w:val="0"/>
              <w:sz w:val="32"/>
              <w:szCs w:val="32"/>
              <w:lang w:val="en-US" w:eastAsia="zh-CN" w:bidi="ar-SA"/>
            </w:rPr>
          </w:pPr>
          <w:r>
            <w:rPr>
              <w:rFonts w:hint="eastAsia" w:ascii="Times New Roman" w:hAnsi="Times New Roman" w:eastAsia="黑体" w:cs="Times New Roman"/>
              <w:kern w:val="0"/>
              <w:sz w:val="32"/>
              <w:szCs w:val="32"/>
              <w:lang w:val="zh-CN" w:eastAsia="zh-CN" w:bidi="ar-SA"/>
            </w:rPr>
            <w:fldChar w:fldCharType="begin"/>
          </w:r>
          <w:r>
            <w:rPr>
              <w:rFonts w:hint="eastAsia" w:ascii="Times New Roman" w:hAnsi="Times New Roman" w:eastAsia="黑体" w:cs="Times New Roman"/>
              <w:kern w:val="0"/>
              <w:sz w:val="32"/>
              <w:szCs w:val="32"/>
              <w:lang w:val="zh-CN" w:eastAsia="zh-CN" w:bidi="ar-SA"/>
            </w:rPr>
            <w:instrText xml:space="preserve"> HYPERLINK \l _Toc6606 </w:instrText>
          </w:r>
          <w:r>
            <w:rPr>
              <w:rFonts w:hint="eastAsia" w:ascii="Times New Roman" w:hAnsi="Times New Roman" w:eastAsia="黑体" w:cs="Times New Roman"/>
              <w:kern w:val="0"/>
              <w:sz w:val="32"/>
              <w:szCs w:val="32"/>
              <w:lang w:val="zh-CN" w:eastAsia="zh-CN" w:bidi="ar-SA"/>
            </w:rPr>
            <w:fldChar w:fldCharType="separate"/>
          </w:r>
          <w:r>
            <w:rPr>
              <w:rFonts w:hint="eastAsia" w:ascii="Times New Roman" w:hAnsi="Times New Roman" w:eastAsia="黑体" w:cs="Times New Roman"/>
              <w:kern w:val="0"/>
              <w:sz w:val="32"/>
              <w:szCs w:val="32"/>
              <w:lang w:val="zh-CN" w:eastAsia="zh-CN" w:bidi="ar-SA"/>
            </w:rPr>
            <w:t>三、</w:t>
          </w:r>
          <w:r>
            <w:rPr>
              <w:rFonts w:hint="eastAsia" w:ascii="Times New Roman" w:hAnsi="Times New Roman" w:eastAsia="黑体" w:cs="Times New Roman"/>
              <w:kern w:val="0"/>
              <w:sz w:val="32"/>
              <w:szCs w:val="32"/>
              <w:lang w:val="en-US" w:eastAsia="zh-CN" w:bidi="ar-SA"/>
            </w:rPr>
            <w:t>评价基本情况</w:t>
          </w:r>
          <w:r>
            <w:rPr>
              <w:rFonts w:hint="eastAsia" w:ascii="Times New Roman" w:hAnsi="Times New Roman" w:eastAsia="黑体" w:cs="Times New Roman"/>
              <w:kern w:val="0"/>
              <w:sz w:val="32"/>
              <w:szCs w:val="32"/>
              <w:lang w:val="zh-CN" w:eastAsia="zh-CN" w:bidi="ar-SA"/>
            </w:rPr>
            <w:tab/>
          </w:r>
          <w:r>
            <w:rPr>
              <w:rFonts w:hint="eastAsia" w:eastAsia="黑体" w:cs="Times New Roman"/>
              <w:kern w:val="0"/>
              <w:sz w:val="32"/>
              <w:szCs w:val="32"/>
              <w:lang w:val="en-US" w:eastAsia="zh-CN" w:bidi="ar-SA"/>
            </w:rPr>
            <w:t>1</w:t>
          </w:r>
          <w:r>
            <w:rPr>
              <w:rFonts w:hint="eastAsia" w:ascii="Times New Roman" w:hAnsi="Times New Roman" w:eastAsia="黑体" w:cs="Times New Roman"/>
              <w:kern w:val="0"/>
              <w:sz w:val="32"/>
              <w:szCs w:val="32"/>
              <w:lang w:val="zh-CN" w:eastAsia="zh-CN" w:bidi="ar-SA"/>
            </w:rPr>
            <w:fldChar w:fldCharType="end"/>
          </w:r>
          <w:r>
            <w:rPr>
              <w:rFonts w:hint="eastAsia" w:eastAsia="黑体" w:cs="Times New Roman"/>
              <w:kern w:val="0"/>
              <w:sz w:val="32"/>
              <w:szCs w:val="32"/>
              <w:lang w:val="en-US" w:eastAsia="zh-CN" w:bidi="ar-SA"/>
            </w:rPr>
            <w:t>2</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_Toc29561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（一）评价目的</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1</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2</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_Toc19874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（二）评价对象与范围</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1</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2</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_Toc1308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（三）评价依据</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1</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3</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_Toc23159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（四）评价原则、评价方法</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1</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4</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_Toc20305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（五）绩效评价指标体系</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1</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5</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_Toc19028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（六）评价人员组成</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1</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5</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_Toc25396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（七）绩效评价工作过程</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1</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6</w:t>
          </w:r>
        </w:p>
        <w:p>
          <w:pPr>
            <w:pStyle w:val="2"/>
            <w:tabs>
              <w:tab w:val="right" w:leader="dot" w:pos="8306"/>
            </w:tabs>
            <w:rPr>
              <w:rFonts w:hint="default" w:ascii="Times New Roman" w:hAnsi="Times New Roman" w:eastAsia="黑体" w:cs="Times New Roman"/>
              <w:kern w:val="0"/>
              <w:sz w:val="32"/>
              <w:szCs w:val="32"/>
              <w:lang w:val="en-US" w:eastAsia="zh-CN" w:bidi="ar-SA"/>
            </w:rPr>
          </w:pPr>
          <w:r>
            <w:rPr>
              <w:rFonts w:hint="eastAsia" w:ascii="Times New Roman" w:hAnsi="Times New Roman" w:eastAsia="黑体" w:cs="Times New Roman"/>
              <w:kern w:val="0"/>
              <w:sz w:val="32"/>
              <w:szCs w:val="32"/>
              <w:lang w:val="zh-CN" w:eastAsia="zh-CN" w:bidi="ar-SA"/>
            </w:rPr>
            <w:fldChar w:fldCharType="begin"/>
          </w:r>
          <w:r>
            <w:rPr>
              <w:rFonts w:hint="eastAsia" w:ascii="Times New Roman" w:hAnsi="Times New Roman" w:eastAsia="黑体" w:cs="Times New Roman"/>
              <w:kern w:val="0"/>
              <w:sz w:val="32"/>
              <w:szCs w:val="32"/>
              <w:lang w:val="zh-CN" w:eastAsia="zh-CN" w:bidi="ar-SA"/>
            </w:rPr>
            <w:instrText xml:space="preserve"> HYPERLINK \l _Toc3995 </w:instrText>
          </w:r>
          <w:r>
            <w:rPr>
              <w:rFonts w:hint="eastAsia" w:ascii="Times New Roman" w:hAnsi="Times New Roman" w:eastAsia="黑体" w:cs="Times New Roman"/>
              <w:kern w:val="0"/>
              <w:sz w:val="32"/>
              <w:szCs w:val="32"/>
              <w:lang w:val="zh-CN" w:eastAsia="zh-CN" w:bidi="ar-SA"/>
            </w:rPr>
            <w:fldChar w:fldCharType="separate"/>
          </w:r>
          <w:r>
            <w:rPr>
              <w:rFonts w:hint="eastAsia" w:ascii="Times New Roman" w:hAnsi="Times New Roman" w:eastAsia="黑体" w:cs="Times New Roman"/>
              <w:kern w:val="0"/>
              <w:sz w:val="32"/>
              <w:szCs w:val="32"/>
              <w:lang w:val="en-US" w:eastAsia="zh-CN" w:bidi="ar-SA"/>
            </w:rPr>
            <w:t>四、评价结论及分析</w:t>
          </w:r>
          <w:r>
            <w:rPr>
              <w:rFonts w:hint="eastAsia" w:ascii="Times New Roman" w:hAnsi="Times New Roman" w:eastAsia="黑体" w:cs="Times New Roman"/>
              <w:kern w:val="0"/>
              <w:sz w:val="32"/>
              <w:szCs w:val="32"/>
              <w:lang w:val="zh-CN" w:eastAsia="zh-CN" w:bidi="ar-SA"/>
            </w:rPr>
            <w:tab/>
          </w:r>
          <w:r>
            <w:rPr>
              <w:rFonts w:hint="eastAsia" w:eastAsia="黑体" w:cs="Times New Roman"/>
              <w:kern w:val="0"/>
              <w:sz w:val="32"/>
              <w:szCs w:val="32"/>
              <w:lang w:val="en-US" w:eastAsia="zh-CN" w:bidi="ar-SA"/>
            </w:rPr>
            <w:t>2</w:t>
          </w:r>
          <w:r>
            <w:rPr>
              <w:rFonts w:hint="eastAsia" w:ascii="Times New Roman" w:hAnsi="Times New Roman" w:eastAsia="黑体" w:cs="Times New Roman"/>
              <w:kern w:val="0"/>
              <w:sz w:val="32"/>
              <w:szCs w:val="32"/>
              <w:lang w:val="zh-CN" w:eastAsia="zh-CN" w:bidi="ar-SA"/>
            </w:rPr>
            <w:fldChar w:fldCharType="end"/>
          </w:r>
          <w:r>
            <w:rPr>
              <w:rFonts w:hint="eastAsia" w:eastAsia="黑体" w:cs="Times New Roman"/>
              <w:kern w:val="0"/>
              <w:sz w:val="32"/>
              <w:szCs w:val="32"/>
              <w:lang w:val="en-US" w:eastAsia="zh-CN" w:bidi="ar-SA"/>
            </w:rPr>
            <w:t>1</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_Toc4690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（一）综合评价情况及结论</w:t>
          </w:r>
          <w:r>
            <w:rPr>
              <w:rFonts w:ascii="Times New Roman" w:hAnsi="Times New Roman" w:eastAsia="楷体_GB2312" w:cs="Times New Roman"/>
              <w:kern w:val="0"/>
              <w:sz w:val="32"/>
              <w:szCs w:val="32"/>
              <w:lang w:val="en-US" w:eastAsia="zh-CN" w:bidi="ar-SA"/>
            </w:rPr>
            <w:tab/>
          </w:r>
          <w:r>
            <w:rPr>
              <w:rFonts w:hint="eastAsia" w:eastAsia="楷体_GB2312" w:cs="Times New Roman"/>
              <w:kern w:val="0"/>
              <w:sz w:val="32"/>
              <w:szCs w:val="32"/>
              <w:lang w:val="en-US" w:eastAsia="zh-CN" w:bidi="ar-SA"/>
            </w:rPr>
            <w:t>2</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1</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_Toc1336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（二）绩效评价结果分析</w:t>
          </w:r>
          <w:r>
            <w:rPr>
              <w:rFonts w:ascii="Times New Roman" w:hAnsi="Times New Roman" w:eastAsia="楷体_GB2312" w:cs="Times New Roman"/>
              <w:kern w:val="0"/>
              <w:sz w:val="32"/>
              <w:szCs w:val="32"/>
              <w:lang w:val="en-US" w:eastAsia="zh-CN" w:bidi="ar-SA"/>
            </w:rPr>
            <w:tab/>
          </w:r>
          <w:r>
            <w:rPr>
              <w:rFonts w:hint="eastAsia" w:eastAsia="楷体_GB2312" w:cs="Times New Roman"/>
              <w:kern w:val="0"/>
              <w:sz w:val="32"/>
              <w:szCs w:val="32"/>
              <w:lang w:val="en-US" w:eastAsia="zh-CN" w:bidi="ar-SA"/>
            </w:rPr>
            <w:t>2</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1</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_Toc19254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（三）</w:t>
          </w:r>
          <w:r>
            <w:rPr>
              <w:rFonts w:hint="eastAsia" w:ascii="楷体" w:hAnsi="楷体" w:eastAsia="楷体" w:cs="楷体"/>
              <w:kern w:val="0"/>
              <w:sz w:val="32"/>
              <w:szCs w:val="32"/>
            </w:rPr>
            <w:t>评价</w:t>
          </w:r>
          <w:r>
            <w:rPr>
              <w:rFonts w:hint="eastAsia" w:ascii="楷体" w:hAnsi="楷体" w:eastAsia="楷体" w:cs="楷体"/>
              <w:kern w:val="0"/>
              <w:sz w:val="32"/>
              <w:szCs w:val="32"/>
              <w:lang w:val="en-US" w:eastAsia="zh-CN"/>
            </w:rPr>
            <w:t>得分及</w:t>
          </w:r>
          <w:r>
            <w:rPr>
              <w:rFonts w:hint="eastAsia" w:ascii="楷体" w:hAnsi="楷体" w:eastAsia="楷体" w:cs="楷体"/>
              <w:kern w:val="0"/>
              <w:sz w:val="32"/>
              <w:szCs w:val="32"/>
            </w:rPr>
            <w:t>结论</w:t>
          </w:r>
          <w:r>
            <w:rPr>
              <w:rFonts w:ascii="Times New Roman" w:hAnsi="Times New Roman" w:eastAsia="楷体_GB2312" w:cs="Times New Roman"/>
              <w:kern w:val="0"/>
              <w:sz w:val="32"/>
              <w:szCs w:val="32"/>
              <w:lang w:val="en-US" w:eastAsia="zh-CN" w:bidi="ar-SA"/>
            </w:rPr>
            <w:tab/>
          </w:r>
          <w:r>
            <w:rPr>
              <w:rFonts w:hint="eastAsia" w:eastAsia="楷体_GB2312" w:cs="Times New Roman"/>
              <w:kern w:val="0"/>
              <w:sz w:val="32"/>
              <w:szCs w:val="32"/>
              <w:lang w:val="en-US" w:eastAsia="zh-CN" w:bidi="ar-SA"/>
            </w:rPr>
            <w:t>2</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2</w:t>
          </w:r>
        </w:p>
        <w:p>
          <w:pPr>
            <w:pStyle w:val="2"/>
            <w:tabs>
              <w:tab w:val="right" w:leader="dot" w:pos="8306"/>
            </w:tabs>
            <w:rPr>
              <w:rFonts w:hint="default" w:ascii="Times New Roman" w:hAnsi="Times New Roman" w:eastAsia="黑体" w:cs="Times New Roman"/>
              <w:kern w:val="0"/>
              <w:sz w:val="32"/>
              <w:szCs w:val="32"/>
              <w:lang w:val="en-US" w:eastAsia="zh-CN" w:bidi="ar-SA"/>
            </w:rPr>
          </w:pPr>
          <w:r>
            <w:rPr>
              <w:rFonts w:hint="eastAsia" w:ascii="Times New Roman" w:hAnsi="Times New Roman" w:eastAsia="黑体" w:cs="Times New Roman"/>
              <w:kern w:val="0"/>
              <w:sz w:val="32"/>
              <w:szCs w:val="32"/>
              <w:lang w:val="zh-CN" w:eastAsia="zh-CN" w:bidi="ar-SA"/>
            </w:rPr>
            <w:fldChar w:fldCharType="begin"/>
          </w:r>
          <w:r>
            <w:rPr>
              <w:rFonts w:hint="eastAsia" w:ascii="Times New Roman" w:hAnsi="Times New Roman" w:eastAsia="黑体" w:cs="Times New Roman"/>
              <w:kern w:val="0"/>
              <w:sz w:val="32"/>
              <w:szCs w:val="32"/>
              <w:lang w:val="zh-CN" w:eastAsia="zh-CN" w:bidi="ar-SA"/>
            </w:rPr>
            <w:instrText xml:space="preserve"> HYPERLINK \l _Toc20365 </w:instrText>
          </w:r>
          <w:r>
            <w:rPr>
              <w:rFonts w:hint="eastAsia" w:ascii="Times New Roman" w:hAnsi="Times New Roman" w:eastAsia="黑体" w:cs="Times New Roman"/>
              <w:kern w:val="0"/>
              <w:sz w:val="32"/>
              <w:szCs w:val="32"/>
              <w:lang w:val="zh-CN" w:eastAsia="zh-CN" w:bidi="ar-SA"/>
            </w:rPr>
            <w:fldChar w:fldCharType="separate"/>
          </w:r>
          <w:r>
            <w:rPr>
              <w:rFonts w:hint="eastAsia" w:ascii="Times New Roman" w:hAnsi="Times New Roman" w:eastAsia="黑体" w:cs="Times New Roman"/>
              <w:kern w:val="0"/>
              <w:sz w:val="32"/>
              <w:szCs w:val="32"/>
              <w:lang w:val="en-US" w:eastAsia="zh-CN" w:bidi="ar-SA"/>
            </w:rPr>
            <w:t>五</w:t>
          </w:r>
          <w:r>
            <w:rPr>
              <w:rFonts w:hint="eastAsia" w:ascii="Times New Roman" w:hAnsi="Times New Roman" w:eastAsia="黑体" w:cs="Times New Roman"/>
              <w:kern w:val="0"/>
              <w:sz w:val="32"/>
              <w:szCs w:val="32"/>
              <w:lang w:val="zh-CN" w:eastAsia="zh-CN" w:bidi="ar-SA"/>
            </w:rPr>
            <w:t>、</w:t>
          </w:r>
          <w:r>
            <w:rPr>
              <w:rFonts w:hint="eastAsia" w:ascii="Times New Roman" w:hAnsi="Times New Roman" w:eastAsia="黑体" w:cs="Times New Roman"/>
              <w:kern w:val="0"/>
              <w:sz w:val="32"/>
              <w:szCs w:val="32"/>
              <w:lang w:val="en-US" w:eastAsia="zh-CN" w:bidi="ar-SA"/>
            </w:rPr>
            <w:t>绩效评价指标分析</w:t>
          </w:r>
          <w:r>
            <w:rPr>
              <w:rFonts w:hint="eastAsia" w:ascii="Times New Roman" w:hAnsi="Times New Roman" w:eastAsia="黑体" w:cs="Times New Roman"/>
              <w:kern w:val="0"/>
              <w:sz w:val="32"/>
              <w:szCs w:val="32"/>
              <w:lang w:val="zh-CN" w:eastAsia="zh-CN" w:bidi="ar-SA"/>
            </w:rPr>
            <w:tab/>
          </w:r>
          <w:r>
            <w:rPr>
              <w:rFonts w:hint="eastAsia" w:eastAsia="黑体" w:cs="Times New Roman"/>
              <w:kern w:val="0"/>
              <w:sz w:val="32"/>
              <w:szCs w:val="32"/>
              <w:lang w:val="en-US" w:eastAsia="zh-CN" w:bidi="ar-SA"/>
            </w:rPr>
            <w:t>2</w:t>
          </w:r>
          <w:r>
            <w:rPr>
              <w:rFonts w:hint="eastAsia" w:ascii="Times New Roman" w:hAnsi="Times New Roman" w:eastAsia="黑体" w:cs="Times New Roman"/>
              <w:kern w:val="0"/>
              <w:sz w:val="32"/>
              <w:szCs w:val="32"/>
              <w:lang w:val="zh-CN" w:eastAsia="zh-CN" w:bidi="ar-SA"/>
            </w:rPr>
            <w:fldChar w:fldCharType="end"/>
          </w:r>
          <w:r>
            <w:rPr>
              <w:rFonts w:hint="eastAsia" w:eastAsia="黑体" w:cs="Times New Roman"/>
              <w:kern w:val="0"/>
              <w:sz w:val="32"/>
              <w:szCs w:val="32"/>
              <w:lang w:val="en-US" w:eastAsia="zh-CN" w:bidi="ar-SA"/>
            </w:rPr>
            <w:t>3</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_Toc31534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（一）项目决策情况</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2</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3</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_Toc6957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（二）项目过程情况</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2</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7</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_Toc20479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（三）项目产出情况</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3</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1</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_Toc15054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en-US" w:eastAsia="zh-CN" w:bidi="ar-SA"/>
            </w:rPr>
            <w:t>（四）项目效益情况</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3</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5</w:t>
          </w:r>
        </w:p>
        <w:p>
          <w:pPr>
            <w:pStyle w:val="2"/>
            <w:tabs>
              <w:tab w:val="right" w:leader="dot" w:pos="8306"/>
            </w:tabs>
            <w:rPr>
              <w:rFonts w:hint="default" w:ascii="Times New Roman" w:hAnsi="Times New Roman" w:eastAsia="黑体" w:cs="Times New Roman"/>
              <w:kern w:val="0"/>
              <w:sz w:val="32"/>
              <w:szCs w:val="32"/>
              <w:lang w:val="en-US" w:eastAsia="zh-CN" w:bidi="ar-SA"/>
            </w:rPr>
          </w:pPr>
          <w:r>
            <w:rPr>
              <w:rFonts w:hint="eastAsia" w:ascii="Times New Roman" w:hAnsi="Times New Roman" w:eastAsia="黑体" w:cs="Times New Roman"/>
              <w:kern w:val="0"/>
              <w:sz w:val="32"/>
              <w:szCs w:val="32"/>
              <w:lang w:val="zh-CN" w:eastAsia="zh-CN" w:bidi="ar-SA"/>
            </w:rPr>
            <w:fldChar w:fldCharType="begin"/>
          </w:r>
          <w:r>
            <w:rPr>
              <w:rFonts w:hint="eastAsia" w:ascii="Times New Roman" w:hAnsi="Times New Roman" w:eastAsia="黑体" w:cs="Times New Roman"/>
              <w:kern w:val="0"/>
              <w:sz w:val="32"/>
              <w:szCs w:val="32"/>
              <w:lang w:val="zh-CN" w:eastAsia="zh-CN" w:bidi="ar-SA"/>
            </w:rPr>
            <w:instrText xml:space="preserve"> HYPERLINK \l _Toc18305 </w:instrText>
          </w:r>
          <w:r>
            <w:rPr>
              <w:rFonts w:hint="eastAsia" w:ascii="Times New Roman" w:hAnsi="Times New Roman" w:eastAsia="黑体" w:cs="Times New Roman"/>
              <w:kern w:val="0"/>
              <w:sz w:val="32"/>
              <w:szCs w:val="32"/>
              <w:lang w:val="zh-CN" w:eastAsia="zh-CN" w:bidi="ar-SA"/>
            </w:rPr>
            <w:fldChar w:fldCharType="separate"/>
          </w:r>
          <w:r>
            <w:rPr>
              <w:rFonts w:hint="eastAsia" w:ascii="Times New Roman" w:hAnsi="Times New Roman" w:eastAsia="黑体" w:cs="Times New Roman"/>
              <w:kern w:val="0"/>
              <w:sz w:val="32"/>
              <w:szCs w:val="32"/>
              <w:lang w:val="en-US" w:eastAsia="zh-CN" w:bidi="ar-SA"/>
            </w:rPr>
            <w:t>六、取得的成效</w:t>
          </w:r>
          <w:r>
            <w:rPr>
              <w:rFonts w:hint="eastAsia" w:ascii="Times New Roman" w:hAnsi="Times New Roman" w:eastAsia="黑体" w:cs="Times New Roman"/>
              <w:kern w:val="0"/>
              <w:sz w:val="32"/>
              <w:szCs w:val="32"/>
              <w:lang w:val="zh-CN" w:eastAsia="zh-CN" w:bidi="ar-SA"/>
            </w:rPr>
            <w:tab/>
          </w:r>
          <w:r>
            <w:rPr>
              <w:rFonts w:hint="eastAsia" w:eastAsia="黑体" w:cs="Times New Roman"/>
              <w:kern w:val="0"/>
              <w:sz w:val="32"/>
              <w:szCs w:val="32"/>
              <w:lang w:val="en-US" w:eastAsia="zh-CN" w:bidi="ar-SA"/>
            </w:rPr>
            <w:t>3</w:t>
          </w:r>
          <w:r>
            <w:rPr>
              <w:rFonts w:hint="eastAsia" w:ascii="Times New Roman" w:hAnsi="Times New Roman" w:eastAsia="黑体" w:cs="Times New Roman"/>
              <w:kern w:val="0"/>
              <w:sz w:val="32"/>
              <w:szCs w:val="32"/>
              <w:lang w:val="zh-CN" w:eastAsia="zh-CN" w:bidi="ar-SA"/>
            </w:rPr>
            <w:fldChar w:fldCharType="end"/>
          </w:r>
          <w:r>
            <w:rPr>
              <w:rFonts w:hint="eastAsia" w:eastAsia="黑体" w:cs="Times New Roman"/>
              <w:kern w:val="0"/>
              <w:sz w:val="32"/>
              <w:szCs w:val="32"/>
              <w:lang w:val="en-US" w:eastAsia="zh-CN" w:bidi="ar-SA"/>
            </w:rPr>
            <w:t>7</w:t>
          </w:r>
        </w:p>
        <w:p>
          <w:pPr>
            <w:pStyle w:val="2"/>
            <w:tabs>
              <w:tab w:val="right" w:leader="dot" w:pos="8306"/>
            </w:tabs>
            <w:rPr>
              <w:rFonts w:hint="default" w:ascii="Times New Roman" w:hAnsi="Times New Roman" w:eastAsia="黑体" w:cs="Times New Roman"/>
              <w:kern w:val="0"/>
              <w:sz w:val="32"/>
              <w:szCs w:val="32"/>
              <w:lang w:val="en-US" w:eastAsia="zh-CN" w:bidi="ar-SA"/>
            </w:rPr>
          </w:pPr>
          <w:r>
            <w:rPr>
              <w:rFonts w:hint="eastAsia" w:ascii="Times New Roman" w:hAnsi="Times New Roman" w:eastAsia="黑体" w:cs="Times New Roman"/>
              <w:kern w:val="0"/>
              <w:sz w:val="32"/>
              <w:szCs w:val="32"/>
              <w:lang w:val="zh-CN" w:eastAsia="zh-CN" w:bidi="ar-SA"/>
            </w:rPr>
            <w:fldChar w:fldCharType="begin"/>
          </w:r>
          <w:r>
            <w:rPr>
              <w:rFonts w:hint="eastAsia" w:ascii="Times New Roman" w:hAnsi="Times New Roman" w:eastAsia="黑体" w:cs="Times New Roman"/>
              <w:kern w:val="0"/>
              <w:sz w:val="32"/>
              <w:szCs w:val="32"/>
              <w:lang w:val="zh-CN" w:eastAsia="zh-CN" w:bidi="ar-SA"/>
            </w:rPr>
            <w:instrText xml:space="preserve"> HYPERLINK \l _Toc16185 </w:instrText>
          </w:r>
          <w:r>
            <w:rPr>
              <w:rFonts w:hint="eastAsia" w:ascii="Times New Roman" w:hAnsi="Times New Roman" w:eastAsia="黑体" w:cs="Times New Roman"/>
              <w:kern w:val="0"/>
              <w:sz w:val="32"/>
              <w:szCs w:val="32"/>
              <w:lang w:val="zh-CN" w:eastAsia="zh-CN" w:bidi="ar-SA"/>
            </w:rPr>
            <w:fldChar w:fldCharType="separate"/>
          </w:r>
          <w:r>
            <w:rPr>
              <w:rFonts w:hint="eastAsia" w:ascii="Times New Roman" w:hAnsi="Times New Roman" w:eastAsia="黑体" w:cs="Times New Roman"/>
              <w:kern w:val="0"/>
              <w:sz w:val="32"/>
              <w:szCs w:val="32"/>
              <w:lang w:val="en-US" w:eastAsia="zh-CN" w:bidi="ar-SA"/>
            </w:rPr>
            <w:t>七、存在的问题及原因分析</w:t>
          </w:r>
          <w:r>
            <w:rPr>
              <w:rFonts w:hint="eastAsia" w:ascii="Times New Roman" w:hAnsi="Times New Roman" w:eastAsia="黑体" w:cs="Times New Roman"/>
              <w:kern w:val="0"/>
              <w:sz w:val="32"/>
              <w:szCs w:val="32"/>
              <w:lang w:val="zh-CN" w:eastAsia="zh-CN" w:bidi="ar-SA"/>
            </w:rPr>
            <w:tab/>
          </w:r>
          <w:r>
            <w:rPr>
              <w:rFonts w:hint="eastAsia" w:eastAsia="黑体" w:cs="Times New Roman"/>
              <w:kern w:val="0"/>
              <w:sz w:val="32"/>
              <w:szCs w:val="32"/>
              <w:lang w:val="en-US" w:eastAsia="zh-CN" w:bidi="ar-SA"/>
            </w:rPr>
            <w:t>3</w:t>
          </w:r>
          <w:r>
            <w:rPr>
              <w:rFonts w:hint="eastAsia" w:ascii="Times New Roman" w:hAnsi="Times New Roman" w:eastAsia="黑体" w:cs="Times New Roman"/>
              <w:kern w:val="0"/>
              <w:sz w:val="32"/>
              <w:szCs w:val="32"/>
              <w:lang w:val="zh-CN" w:eastAsia="zh-CN" w:bidi="ar-SA"/>
            </w:rPr>
            <w:fldChar w:fldCharType="end"/>
          </w:r>
          <w:r>
            <w:rPr>
              <w:rFonts w:hint="eastAsia" w:eastAsia="黑体" w:cs="Times New Roman"/>
              <w:kern w:val="0"/>
              <w:sz w:val="32"/>
              <w:szCs w:val="32"/>
              <w:lang w:val="en-US" w:eastAsia="zh-CN" w:bidi="ar-SA"/>
            </w:rPr>
            <w:t>8</w:t>
          </w:r>
        </w:p>
        <w:p>
          <w:pPr>
            <w:pStyle w:val="2"/>
            <w:tabs>
              <w:tab w:val="right" w:leader="dot" w:pos="8306"/>
            </w:tabs>
            <w:rPr>
              <w:rFonts w:hint="default" w:ascii="Times New Roman" w:hAnsi="Times New Roman" w:eastAsia="黑体" w:cs="Times New Roman"/>
              <w:kern w:val="0"/>
              <w:sz w:val="32"/>
              <w:szCs w:val="32"/>
              <w:lang w:val="en-US" w:eastAsia="zh-CN" w:bidi="ar-SA"/>
            </w:rPr>
          </w:pPr>
          <w:r>
            <w:rPr>
              <w:rFonts w:hint="eastAsia" w:ascii="Times New Roman" w:hAnsi="Times New Roman" w:eastAsia="黑体" w:cs="Times New Roman"/>
              <w:kern w:val="0"/>
              <w:sz w:val="32"/>
              <w:szCs w:val="32"/>
              <w:lang w:val="zh-CN" w:eastAsia="zh-CN" w:bidi="ar-SA"/>
            </w:rPr>
            <w:fldChar w:fldCharType="begin"/>
          </w:r>
          <w:r>
            <w:rPr>
              <w:rFonts w:hint="eastAsia" w:ascii="Times New Roman" w:hAnsi="Times New Roman" w:eastAsia="黑体" w:cs="Times New Roman"/>
              <w:kern w:val="0"/>
              <w:sz w:val="32"/>
              <w:szCs w:val="32"/>
              <w:lang w:val="zh-CN" w:eastAsia="zh-CN" w:bidi="ar-SA"/>
            </w:rPr>
            <w:instrText xml:space="preserve"> HYPERLINK \l _Toc14669 </w:instrText>
          </w:r>
          <w:r>
            <w:rPr>
              <w:rFonts w:hint="eastAsia" w:ascii="Times New Roman" w:hAnsi="Times New Roman" w:eastAsia="黑体" w:cs="Times New Roman"/>
              <w:kern w:val="0"/>
              <w:sz w:val="32"/>
              <w:szCs w:val="32"/>
              <w:lang w:val="zh-CN" w:eastAsia="zh-CN" w:bidi="ar-SA"/>
            </w:rPr>
            <w:fldChar w:fldCharType="separate"/>
          </w:r>
          <w:r>
            <w:rPr>
              <w:rFonts w:hint="eastAsia" w:ascii="Times New Roman" w:hAnsi="Times New Roman" w:eastAsia="黑体" w:cs="Times New Roman"/>
              <w:kern w:val="0"/>
              <w:sz w:val="32"/>
              <w:szCs w:val="32"/>
              <w:lang w:val="en-US" w:eastAsia="zh-CN" w:bidi="ar-SA"/>
            </w:rPr>
            <w:t>八、有关建议</w:t>
          </w:r>
          <w:r>
            <w:rPr>
              <w:rFonts w:hint="eastAsia" w:ascii="Times New Roman" w:hAnsi="Times New Roman" w:eastAsia="黑体" w:cs="Times New Roman"/>
              <w:kern w:val="0"/>
              <w:sz w:val="32"/>
              <w:szCs w:val="32"/>
              <w:lang w:val="zh-CN" w:eastAsia="zh-CN" w:bidi="ar-SA"/>
            </w:rPr>
            <w:tab/>
          </w:r>
          <w:r>
            <w:rPr>
              <w:rFonts w:hint="eastAsia" w:eastAsia="黑体" w:cs="Times New Roman"/>
              <w:kern w:val="0"/>
              <w:sz w:val="32"/>
              <w:szCs w:val="32"/>
              <w:lang w:val="en-US" w:eastAsia="zh-CN" w:bidi="ar-SA"/>
            </w:rPr>
            <w:t>3</w:t>
          </w:r>
          <w:r>
            <w:rPr>
              <w:rFonts w:hint="eastAsia" w:ascii="Times New Roman" w:hAnsi="Times New Roman" w:eastAsia="黑体" w:cs="Times New Roman"/>
              <w:kern w:val="0"/>
              <w:sz w:val="32"/>
              <w:szCs w:val="32"/>
              <w:lang w:val="zh-CN" w:eastAsia="zh-CN" w:bidi="ar-SA"/>
            </w:rPr>
            <w:fldChar w:fldCharType="end"/>
          </w:r>
          <w:r>
            <w:rPr>
              <w:rFonts w:hint="eastAsia" w:eastAsia="黑体" w:cs="Times New Roman"/>
              <w:kern w:val="0"/>
              <w:sz w:val="32"/>
              <w:szCs w:val="32"/>
              <w:lang w:val="en-US" w:eastAsia="zh-CN" w:bidi="ar-SA"/>
            </w:rPr>
            <w:t>9</w:t>
          </w:r>
        </w:p>
        <w:p>
          <w:pPr>
            <w:pStyle w:val="2"/>
            <w:tabs>
              <w:tab w:val="right" w:leader="dot" w:pos="8306"/>
            </w:tabs>
            <w:rPr>
              <w:rFonts w:hint="default" w:ascii="Times New Roman" w:hAnsi="Times New Roman" w:eastAsia="黑体" w:cs="Times New Roman"/>
              <w:kern w:val="0"/>
              <w:sz w:val="32"/>
              <w:szCs w:val="32"/>
              <w:lang w:val="en-US" w:eastAsia="zh-CN" w:bidi="ar-SA"/>
            </w:rPr>
          </w:pPr>
          <w:r>
            <w:rPr>
              <w:rFonts w:hint="eastAsia" w:ascii="Times New Roman" w:hAnsi="Times New Roman" w:eastAsia="黑体" w:cs="Times New Roman"/>
              <w:kern w:val="0"/>
              <w:sz w:val="32"/>
              <w:szCs w:val="32"/>
              <w:lang w:val="zh-CN" w:eastAsia="zh-CN" w:bidi="ar-SA"/>
            </w:rPr>
            <w:fldChar w:fldCharType="begin"/>
          </w:r>
          <w:r>
            <w:rPr>
              <w:rFonts w:hint="eastAsia" w:ascii="Times New Roman" w:hAnsi="Times New Roman" w:eastAsia="黑体" w:cs="Times New Roman"/>
              <w:kern w:val="0"/>
              <w:sz w:val="32"/>
              <w:szCs w:val="32"/>
              <w:lang w:val="zh-CN" w:eastAsia="zh-CN" w:bidi="ar-SA"/>
            </w:rPr>
            <w:instrText xml:space="preserve"> HYPERLINK \l _Toc22051 </w:instrText>
          </w:r>
          <w:r>
            <w:rPr>
              <w:rFonts w:hint="eastAsia" w:ascii="Times New Roman" w:hAnsi="Times New Roman" w:eastAsia="黑体" w:cs="Times New Roman"/>
              <w:kern w:val="0"/>
              <w:sz w:val="32"/>
              <w:szCs w:val="32"/>
              <w:lang w:val="zh-CN" w:eastAsia="zh-CN" w:bidi="ar-SA"/>
            </w:rPr>
            <w:fldChar w:fldCharType="separate"/>
          </w:r>
          <w:r>
            <w:rPr>
              <w:rFonts w:hint="eastAsia" w:ascii="Times New Roman" w:hAnsi="Times New Roman" w:eastAsia="黑体" w:cs="Times New Roman"/>
              <w:kern w:val="0"/>
              <w:sz w:val="32"/>
              <w:szCs w:val="32"/>
              <w:lang w:val="en-US" w:eastAsia="zh-CN" w:bidi="ar-SA"/>
            </w:rPr>
            <w:t>九、其他需要说明的问题</w:t>
          </w:r>
          <w:r>
            <w:rPr>
              <w:rFonts w:hint="eastAsia" w:ascii="Times New Roman" w:hAnsi="Times New Roman" w:eastAsia="黑体" w:cs="Times New Roman"/>
              <w:kern w:val="0"/>
              <w:sz w:val="32"/>
              <w:szCs w:val="32"/>
              <w:lang w:val="zh-CN" w:eastAsia="zh-CN" w:bidi="ar-SA"/>
            </w:rPr>
            <w:tab/>
          </w:r>
          <w:r>
            <w:rPr>
              <w:rFonts w:hint="eastAsia" w:eastAsia="黑体" w:cs="Times New Roman"/>
              <w:kern w:val="0"/>
              <w:sz w:val="32"/>
              <w:szCs w:val="32"/>
              <w:lang w:val="en-US" w:eastAsia="zh-CN" w:bidi="ar-SA"/>
            </w:rPr>
            <w:t>4</w:t>
          </w:r>
          <w:r>
            <w:rPr>
              <w:rFonts w:hint="eastAsia" w:ascii="Times New Roman" w:hAnsi="Times New Roman" w:eastAsia="黑体" w:cs="Times New Roman"/>
              <w:kern w:val="0"/>
              <w:sz w:val="32"/>
              <w:szCs w:val="32"/>
              <w:lang w:val="zh-CN" w:eastAsia="zh-CN" w:bidi="ar-SA"/>
            </w:rPr>
            <w:fldChar w:fldCharType="end"/>
          </w:r>
          <w:r>
            <w:rPr>
              <w:rFonts w:hint="eastAsia" w:eastAsia="黑体" w:cs="Times New Roman"/>
              <w:kern w:val="0"/>
              <w:sz w:val="32"/>
              <w:szCs w:val="32"/>
              <w:lang w:val="en-US" w:eastAsia="zh-CN" w:bidi="ar-SA"/>
            </w:rPr>
            <w:t>1</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_Toc17580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zh-CN" w:eastAsia="zh-CN" w:bidi="ar-SA"/>
            </w:rPr>
            <w:t>附录1：绩效评价得分表</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4</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2</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_Toc32720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zh-CN" w:eastAsia="zh-CN" w:bidi="ar-SA"/>
            </w:rPr>
            <w:t>附录2：问题清单</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4</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7</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_Toc21532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zh-CN" w:eastAsia="zh-CN" w:bidi="ar-SA"/>
            </w:rPr>
            <w:t>附录3：调查分析报告</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4</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8</w:t>
          </w:r>
        </w:p>
        <w:p>
          <w:pPr>
            <w:pStyle w:val="19"/>
            <w:tabs>
              <w:tab w:val="right" w:leader="dot" w:pos="8306"/>
            </w:tabs>
            <w:rPr>
              <w:rFonts w:hint="default" w:ascii="Times New Roman" w:hAnsi="Times New Roman" w:eastAsia="楷体_GB2312" w:cs="Times New Roman"/>
              <w:kern w:val="0"/>
              <w:sz w:val="32"/>
              <w:szCs w:val="32"/>
              <w:lang w:val="en-US" w:eastAsia="zh-CN" w:bidi="ar-SA"/>
            </w:rPr>
          </w:pPr>
          <w:r>
            <w:rPr>
              <w:rFonts w:ascii="Times New Roman" w:hAnsi="Times New Roman" w:eastAsia="楷体_GB2312" w:cs="Times New Roman"/>
              <w:kern w:val="0"/>
              <w:sz w:val="32"/>
              <w:szCs w:val="32"/>
              <w:lang w:val="zh-CN" w:eastAsia="zh-CN" w:bidi="ar-SA"/>
            </w:rPr>
            <w:fldChar w:fldCharType="begin"/>
          </w:r>
          <w:r>
            <w:rPr>
              <w:rFonts w:ascii="Times New Roman" w:hAnsi="Times New Roman" w:eastAsia="楷体_GB2312" w:cs="Times New Roman"/>
              <w:kern w:val="0"/>
              <w:sz w:val="32"/>
              <w:szCs w:val="32"/>
              <w:lang w:val="zh-CN" w:eastAsia="zh-CN" w:bidi="ar-SA"/>
            </w:rPr>
            <w:instrText xml:space="preserve"> HYPERLINK \l _Toc29875 </w:instrText>
          </w:r>
          <w:r>
            <w:rPr>
              <w:rFonts w:ascii="Times New Roman" w:hAnsi="Times New Roman" w:eastAsia="楷体_GB2312" w:cs="Times New Roman"/>
              <w:kern w:val="0"/>
              <w:sz w:val="32"/>
              <w:szCs w:val="32"/>
              <w:lang w:val="zh-CN" w:eastAsia="zh-CN" w:bidi="ar-SA"/>
            </w:rPr>
            <w:fldChar w:fldCharType="separate"/>
          </w:r>
          <w:r>
            <w:rPr>
              <w:rFonts w:hint="eastAsia" w:ascii="Times New Roman" w:hAnsi="Times New Roman" w:eastAsia="楷体_GB2312" w:cs="Times New Roman"/>
              <w:kern w:val="0"/>
              <w:sz w:val="32"/>
              <w:szCs w:val="32"/>
              <w:lang w:val="zh-CN" w:eastAsia="zh-CN" w:bidi="ar-SA"/>
            </w:rPr>
            <w:t>附录4：2023年预算项目支出绩效目标表</w:t>
          </w:r>
          <w:r>
            <w:rPr>
              <w:rFonts w:ascii="Times New Roman" w:hAnsi="Times New Roman" w:eastAsia="楷体_GB2312" w:cs="Times New Roman"/>
              <w:kern w:val="0"/>
              <w:sz w:val="32"/>
              <w:szCs w:val="32"/>
              <w:lang w:val="zh-CN" w:eastAsia="zh-CN" w:bidi="ar-SA"/>
            </w:rPr>
            <w:tab/>
          </w:r>
          <w:r>
            <w:rPr>
              <w:rFonts w:hint="eastAsia" w:eastAsia="楷体_GB2312" w:cs="Times New Roman"/>
              <w:kern w:val="0"/>
              <w:sz w:val="32"/>
              <w:szCs w:val="32"/>
              <w:lang w:val="en-US" w:eastAsia="zh-CN" w:bidi="ar-SA"/>
            </w:rPr>
            <w:t>5</w:t>
          </w:r>
          <w:r>
            <w:rPr>
              <w:rFonts w:ascii="Times New Roman" w:hAnsi="Times New Roman" w:eastAsia="楷体_GB2312" w:cs="Times New Roman"/>
              <w:kern w:val="0"/>
              <w:sz w:val="32"/>
              <w:szCs w:val="32"/>
              <w:lang w:val="zh-CN" w:eastAsia="zh-CN" w:bidi="ar-SA"/>
            </w:rPr>
            <w:fldChar w:fldCharType="end"/>
          </w:r>
          <w:r>
            <w:rPr>
              <w:rFonts w:hint="eastAsia" w:eastAsia="楷体_GB2312" w:cs="Times New Roman"/>
              <w:kern w:val="0"/>
              <w:sz w:val="32"/>
              <w:szCs w:val="32"/>
              <w:lang w:val="en-US" w:eastAsia="zh-CN" w:bidi="ar-SA"/>
            </w:rPr>
            <w:t>2</w:t>
          </w:r>
        </w:p>
        <w:p>
          <w:pPr>
            <w:pStyle w:val="2"/>
            <w:tabs>
              <w:tab w:val="right" w:leader="dot" w:pos="8306"/>
            </w:tabs>
            <w:ind w:firstLine="540"/>
          </w:pPr>
          <w:r>
            <w:rPr>
              <w:bCs/>
              <w:lang w:val="zh-CN"/>
            </w:rPr>
            <w:fldChar w:fldCharType="end"/>
          </w:r>
        </w:p>
      </w:sdtContent>
    </w:sdt>
    <w:p>
      <w:pPr>
        <w:ind w:firstLine="540"/>
      </w:pPr>
    </w:p>
    <w:p>
      <w:pPr>
        <w:pStyle w:val="2"/>
        <w:ind w:firstLine="540"/>
        <w:sectPr>
          <w:headerReference r:id="rId11" w:type="default"/>
          <w:footerReference r:id="rId12" w:type="default"/>
          <w:footnotePr>
            <w:numFmt w:val="decimalEnclosedCircleChinese"/>
            <w:numRestart w:val="eachPage"/>
          </w:footnotePr>
          <w:pgSz w:w="11906" w:h="16838"/>
          <w:pgMar w:top="1440" w:right="1800" w:bottom="1440" w:left="1800" w:header="851" w:footer="992" w:gutter="0"/>
          <w:pgNumType w:fmt="numberInDash" w:start="1"/>
          <w:cols w:space="425" w:num="1"/>
          <w:docGrid w:type="lines" w:linePitch="312" w:charSpace="0"/>
        </w:sectPr>
      </w:pPr>
    </w:p>
    <w:bookmarkEnd w:id="0"/>
    <w:bookmarkEnd w:id="1"/>
    <w:bookmarkEnd w:id="2"/>
    <w:bookmarkEnd w:id="3"/>
    <w:bookmarkEnd w:id="4"/>
    <w:bookmarkEnd w:id="5"/>
    <w:p>
      <w:pPr>
        <w:pStyle w:val="3"/>
        <w:keepNext/>
        <w:keepLines/>
        <w:pageBreakBefore w:val="0"/>
        <w:widowControl/>
        <w:kinsoku/>
        <w:wordWrap/>
        <w:overflowPunct/>
        <w:topLinePunct w:val="0"/>
        <w:autoSpaceDE/>
        <w:autoSpaceDN/>
        <w:bidi w:val="0"/>
        <w:adjustRightInd/>
        <w:snapToGrid/>
        <w:spacing w:before="313" w:beforeLines="100" w:after="313" w:afterLines="100" w:line="600" w:lineRule="exact"/>
        <w:ind w:firstLine="0" w:firstLineChars="0"/>
        <w:jc w:val="center"/>
        <w:textAlignment w:val="auto"/>
        <w:rPr>
          <w:rFonts w:hint="eastAsia" w:ascii="方正小标宋_GBK" w:hAnsi="方正小标宋_GBK" w:eastAsia="方正小标宋_GBK" w:cs="方正小标宋_GBK"/>
          <w:kern w:val="0"/>
          <w:sz w:val="44"/>
          <w:szCs w:val="44"/>
        </w:rPr>
      </w:pPr>
      <w:bookmarkStart w:id="6" w:name="_Toc15976"/>
      <w:bookmarkStart w:id="7" w:name="_Hlk24228435"/>
      <w:r>
        <w:rPr>
          <w:rFonts w:hint="eastAsia" w:ascii="方正小标宋_GBK" w:hAnsi="方正小标宋_GBK" w:eastAsia="方正小标宋_GBK" w:cs="方正小标宋_GBK"/>
          <w:kern w:val="0"/>
          <w:sz w:val="44"/>
          <w:szCs w:val="44"/>
        </w:rPr>
        <w:t>摘  要</w:t>
      </w:r>
      <w:bookmarkEnd w:id="6"/>
    </w:p>
    <w:p>
      <w:pPr>
        <w:pageBreakBefore w:val="0"/>
        <w:widowControl w:val="0"/>
        <w:kinsoku/>
        <w:wordWrap/>
        <w:overflowPunct w:val="0"/>
        <w:topLinePunct w:val="0"/>
        <w:autoSpaceDE w:val="0"/>
        <w:autoSpaceDN w:val="0"/>
        <w:bidi w:val="0"/>
        <w:adjustRightInd w:val="0"/>
        <w:snapToGrid/>
        <w:spacing w:line="600" w:lineRule="exact"/>
        <w:ind w:firstLine="640" w:firstLineChars="200"/>
        <w:textAlignment w:val="baseline"/>
        <w:outlineLvl w:val="0"/>
        <w:rPr>
          <w:rFonts w:hint="eastAsia" w:eastAsia="黑体"/>
          <w:kern w:val="0"/>
          <w:sz w:val="32"/>
          <w:szCs w:val="32"/>
          <w:lang w:val="en-US" w:eastAsia="zh-CN"/>
        </w:rPr>
      </w:pPr>
      <w:bookmarkStart w:id="8" w:name="_Toc31185"/>
      <w:bookmarkStart w:id="9" w:name="_Toc15849"/>
      <w:bookmarkStart w:id="10" w:name="_Toc29275"/>
      <w:bookmarkStart w:id="11" w:name="_Toc18860"/>
      <w:bookmarkStart w:id="12" w:name="_Toc139"/>
      <w:bookmarkStart w:id="13" w:name="_Toc19720"/>
      <w:bookmarkStart w:id="14" w:name="_Toc2588"/>
      <w:r>
        <w:rPr>
          <w:rFonts w:hint="eastAsia" w:eastAsia="黑体"/>
          <w:kern w:val="0"/>
          <w:sz w:val="32"/>
          <w:szCs w:val="32"/>
          <w:lang w:val="en-US" w:eastAsia="zh-CN"/>
        </w:rPr>
        <w:t>一、项目基本情况</w:t>
      </w:r>
      <w:bookmarkEnd w:id="8"/>
      <w:bookmarkEnd w:id="9"/>
      <w:bookmarkEnd w:id="10"/>
      <w:bookmarkEnd w:id="11"/>
      <w:bookmarkEnd w:id="12"/>
      <w:bookmarkEnd w:id="13"/>
      <w:bookmarkEnd w:id="14"/>
    </w:p>
    <w:p>
      <w:pPr>
        <w:pageBreakBefore w:val="0"/>
        <w:widowControl w:val="0"/>
        <w:kinsoku/>
        <w:wordWrap/>
        <w:topLinePunct w:val="0"/>
        <w:bidi w:val="0"/>
        <w:snapToGrid/>
        <w:spacing w:line="600" w:lineRule="exact"/>
        <w:ind w:firstLine="540"/>
        <w:rPr>
          <w:rFonts w:ascii="Times New Roman" w:hAnsi="Times New Roman" w:eastAsia="仿宋_GB2312" w:cs="Times New Roman"/>
          <w:kern w:val="0"/>
          <w:sz w:val="32"/>
          <w:szCs w:val="32"/>
          <w:lang w:val="en-US" w:eastAsia="zh-CN" w:bidi="ar-SA"/>
        </w:rPr>
      </w:pPr>
      <w:bookmarkStart w:id="15" w:name="_Toc24089"/>
      <w:bookmarkStart w:id="16" w:name="_Toc23899"/>
      <w:r>
        <w:rPr>
          <w:rFonts w:ascii="Times New Roman" w:hAnsi="Times New Roman" w:eastAsia="仿宋_GB2312" w:cs="Times New Roman"/>
          <w:kern w:val="0"/>
          <w:sz w:val="32"/>
          <w:szCs w:val="32"/>
          <w:lang w:val="en-US" w:eastAsia="zh-CN" w:bidi="ar-SA"/>
        </w:rPr>
        <w:t>本项目按国家基本气象站标准建设，总投资约1905万元。本报告评价范围为气象局迁建（2019-2021年）项目资金，其中2019年拨付650万元，2020年拨付630万元，2021年拨付531.34万元，全部为区级财政资金。</w:t>
      </w:r>
    </w:p>
    <w:bookmarkEnd w:id="15"/>
    <w:bookmarkEnd w:id="16"/>
    <w:p>
      <w:pPr>
        <w:pageBreakBefore w:val="0"/>
        <w:widowControl w:val="0"/>
        <w:kinsoku/>
        <w:wordWrap/>
        <w:overflowPunct w:val="0"/>
        <w:topLinePunct w:val="0"/>
        <w:autoSpaceDE w:val="0"/>
        <w:autoSpaceDN w:val="0"/>
        <w:bidi w:val="0"/>
        <w:adjustRightInd w:val="0"/>
        <w:snapToGrid/>
        <w:spacing w:line="600" w:lineRule="exact"/>
        <w:ind w:firstLine="640" w:firstLineChars="200"/>
        <w:textAlignment w:val="baseline"/>
        <w:outlineLvl w:val="0"/>
        <w:rPr>
          <w:rFonts w:hint="eastAsia" w:eastAsia="黑体"/>
          <w:kern w:val="0"/>
          <w:sz w:val="32"/>
          <w:szCs w:val="32"/>
          <w:lang w:val="en-US" w:eastAsia="zh-CN"/>
        </w:rPr>
      </w:pPr>
      <w:bookmarkStart w:id="17" w:name="_Toc31976"/>
      <w:bookmarkStart w:id="18" w:name="_Toc8842"/>
      <w:bookmarkStart w:id="19" w:name="_Toc19424"/>
      <w:bookmarkStart w:id="20" w:name="_Toc3503"/>
      <w:bookmarkStart w:id="21" w:name="_Toc24558"/>
      <w:bookmarkStart w:id="22" w:name="_Toc28393"/>
      <w:bookmarkStart w:id="23" w:name="_Toc29092"/>
      <w:r>
        <w:rPr>
          <w:rFonts w:hint="eastAsia" w:eastAsia="黑体"/>
          <w:kern w:val="0"/>
          <w:sz w:val="32"/>
          <w:szCs w:val="32"/>
          <w:lang w:val="en-US" w:eastAsia="zh-CN"/>
        </w:rPr>
        <w:t>二、项目绩效目标</w:t>
      </w:r>
      <w:bookmarkEnd w:id="17"/>
      <w:bookmarkEnd w:id="18"/>
      <w:bookmarkEnd w:id="19"/>
      <w:bookmarkEnd w:id="20"/>
      <w:bookmarkEnd w:id="21"/>
      <w:bookmarkEnd w:id="22"/>
      <w:bookmarkEnd w:id="23"/>
    </w:p>
    <w:p>
      <w:pPr>
        <w:pStyle w:val="5"/>
        <w:pageBreakBefore w:val="0"/>
        <w:widowControl w:val="0"/>
        <w:kinsoku/>
        <w:wordWrap/>
        <w:topLinePunct w:val="0"/>
        <w:bidi w:val="0"/>
        <w:snapToGrid/>
        <w:spacing w:line="600" w:lineRule="exact"/>
        <w:ind w:firstLine="562"/>
        <w:rPr>
          <w:rFonts w:hint="eastAsia" w:ascii="Times New Roman" w:hAnsi="Times New Roman" w:eastAsia="楷体" w:cs="Times New Roman"/>
          <w:b w:val="0"/>
          <w:kern w:val="0"/>
          <w:sz w:val="32"/>
          <w:szCs w:val="32"/>
          <w:lang w:val="en-US" w:eastAsia="zh-CN" w:bidi="ar-SA"/>
        </w:rPr>
      </w:pPr>
      <w:bookmarkStart w:id="24" w:name="_Toc8662"/>
      <w:bookmarkStart w:id="25" w:name="_Toc1658"/>
      <w:bookmarkStart w:id="26" w:name="_Toc18738"/>
      <w:bookmarkStart w:id="27" w:name="_Toc377"/>
      <w:r>
        <w:rPr>
          <w:rFonts w:hint="eastAsia" w:ascii="Times New Roman" w:hAnsi="Times New Roman" w:eastAsia="楷体" w:cs="Times New Roman"/>
          <w:b w:val="0"/>
          <w:kern w:val="0"/>
          <w:sz w:val="32"/>
          <w:szCs w:val="32"/>
          <w:lang w:val="en-US" w:eastAsia="zh-CN" w:bidi="ar-SA"/>
        </w:rPr>
        <w:t>（一）项目长期绩效目标</w:t>
      </w:r>
      <w:bookmarkEnd w:id="24"/>
      <w:bookmarkEnd w:id="25"/>
      <w:bookmarkEnd w:id="26"/>
      <w:bookmarkEnd w:id="27"/>
    </w:p>
    <w:p>
      <w:pPr>
        <w:pageBreakBefore w:val="0"/>
        <w:widowControl w:val="0"/>
        <w:kinsoku/>
        <w:wordWrap/>
        <w:topLinePunct w:val="0"/>
        <w:bidi w:val="0"/>
        <w:snapToGrid/>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保障地面气象观测业务正常的运行和通信网络的畅通，为天气预报预测提供准确、及时、连续的观测数据，为社会发展、防灾减灾提供准确及时的气象预报服务，取得巨大经济效益和社会效益。</w:t>
      </w:r>
    </w:p>
    <w:p>
      <w:pPr>
        <w:pStyle w:val="5"/>
        <w:pageBreakBefore w:val="0"/>
        <w:widowControl w:val="0"/>
        <w:kinsoku/>
        <w:wordWrap/>
        <w:topLinePunct w:val="0"/>
        <w:bidi w:val="0"/>
        <w:snapToGrid/>
        <w:spacing w:line="600" w:lineRule="exact"/>
        <w:ind w:firstLine="562"/>
        <w:rPr>
          <w:rFonts w:hint="eastAsia" w:ascii="Times New Roman" w:hAnsi="Times New Roman" w:eastAsia="楷体" w:cs="Times New Roman"/>
          <w:b w:val="0"/>
          <w:kern w:val="0"/>
          <w:sz w:val="32"/>
          <w:szCs w:val="32"/>
          <w:lang w:val="en-US" w:eastAsia="zh-CN" w:bidi="ar-SA"/>
        </w:rPr>
      </w:pPr>
      <w:bookmarkStart w:id="28" w:name="_Toc17228"/>
      <w:bookmarkStart w:id="29" w:name="_Toc2327"/>
      <w:bookmarkStart w:id="30" w:name="_Toc8097"/>
      <w:bookmarkStart w:id="31" w:name="_Toc23434"/>
      <w:r>
        <w:rPr>
          <w:rFonts w:hint="eastAsia" w:ascii="Times New Roman" w:hAnsi="Times New Roman" w:eastAsia="楷体" w:cs="Times New Roman"/>
          <w:b w:val="0"/>
          <w:kern w:val="0"/>
          <w:sz w:val="32"/>
          <w:szCs w:val="32"/>
          <w:lang w:val="en-US" w:eastAsia="zh-CN" w:bidi="ar-SA"/>
        </w:rPr>
        <w:t>（二）项目年度绩效目标</w:t>
      </w:r>
      <w:bookmarkEnd w:id="28"/>
      <w:bookmarkEnd w:id="29"/>
      <w:bookmarkEnd w:id="30"/>
      <w:bookmarkEnd w:id="31"/>
    </w:p>
    <w:p>
      <w:pPr>
        <w:pageBreakBefore w:val="0"/>
        <w:widowControl w:val="0"/>
        <w:kinsoku/>
        <w:wordWrap/>
        <w:topLinePunct w:val="0"/>
        <w:bidi w:val="0"/>
        <w:snapToGrid/>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保障各类地面气象观测系统地、连续地进行，满足规范规定的准确度要求，提供及时有效的观测数据，为天气预报、气象信息、气候分析、科学研究和气象服务提供重要的依据。</w:t>
      </w:r>
    </w:p>
    <w:p>
      <w:pPr>
        <w:pageBreakBefore w:val="0"/>
        <w:widowControl w:val="0"/>
        <w:kinsoku/>
        <w:wordWrap/>
        <w:overflowPunct w:val="0"/>
        <w:topLinePunct w:val="0"/>
        <w:autoSpaceDE w:val="0"/>
        <w:autoSpaceDN w:val="0"/>
        <w:bidi w:val="0"/>
        <w:adjustRightInd w:val="0"/>
        <w:snapToGrid/>
        <w:spacing w:line="600" w:lineRule="exact"/>
        <w:ind w:firstLine="640" w:firstLineChars="200"/>
        <w:textAlignment w:val="baseline"/>
        <w:outlineLvl w:val="0"/>
        <w:rPr>
          <w:rFonts w:hint="eastAsia" w:eastAsia="黑体"/>
          <w:kern w:val="0"/>
          <w:sz w:val="32"/>
          <w:szCs w:val="32"/>
          <w:lang w:val="en-US" w:eastAsia="zh-CN"/>
        </w:rPr>
      </w:pPr>
      <w:bookmarkStart w:id="32" w:name="_Toc4032"/>
      <w:bookmarkStart w:id="33" w:name="_Toc9427"/>
      <w:bookmarkStart w:id="34" w:name="_Toc25094"/>
      <w:bookmarkStart w:id="35" w:name="_Toc8745"/>
      <w:bookmarkStart w:id="36" w:name="_Toc28235"/>
      <w:r>
        <w:rPr>
          <w:rFonts w:hint="eastAsia" w:eastAsia="黑体"/>
          <w:kern w:val="0"/>
          <w:sz w:val="32"/>
          <w:szCs w:val="32"/>
          <w:lang w:val="en-US" w:eastAsia="zh-CN"/>
        </w:rPr>
        <w:t>三、绩效评价工作开展情况</w:t>
      </w:r>
      <w:bookmarkEnd w:id="32"/>
      <w:bookmarkEnd w:id="33"/>
      <w:bookmarkEnd w:id="34"/>
      <w:bookmarkEnd w:id="35"/>
      <w:bookmarkEnd w:id="36"/>
    </w:p>
    <w:p>
      <w:pPr>
        <w:pageBreakBefore w:val="0"/>
        <w:widowControl w:val="0"/>
        <w:kinsoku/>
        <w:wordWrap/>
        <w:topLinePunct w:val="0"/>
        <w:bidi w:val="0"/>
        <w:snapToGrid/>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本次绩效评价主要采用对比法、专家评判和访谈方法。其中对比法是将项目执行产生的效果和实际完成数量与实施计划和目标进行对比，评价项目的产出情况；将项目实际执行过程与相关管理办法规定的条款对比，评价项目实施过程的规范情况。专家评判法是参与评价的专家通过实地考察、材料核实、询问答辩等方式，结合自身专业知识针对项目实施产生的效益和可持续影响出具评价意见。访谈是指评价工作组通过对受益群众和项目实施人员进行随机调查，以全面反映相关人员对项目组织实施过程以及结果的满意度情况，也为项目后期运行提供参考意见。</w:t>
      </w:r>
    </w:p>
    <w:p>
      <w:pPr>
        <w:pageBreakBefore w:val="0"/>
        <w:widowControl w:val="0"/>
        <w:kinsoku/>
        <w:wordWrap/>
        <w:topLinePunct w:val="0"/>
        <w:bidi w:val="0"/>
        <w:snapToGrid/>
        <w:spacing w:line="600" w:lineRule="exact"/>
        <w:ind w:firstLine="540"/>
        <w:rPr>
          <w:rFonts w:ascii="Times New Roman" w:hAnsi="Times New Roman" w:eastAsia="仿宋_GB2312" w:cs="Times New Roman"/>
          <w:kern w:val="0"/>
          <w:sz w:val="32"/>
          <w:szCs w:val="32"/>
          <w:lang w:val="en-US" w:eastAsia="zh-CN" w:bidi="ar-SA"/>
        </w:rPr>
      </w:pPr>
      <w:bookmarkStart w:id="37" w:name="_Toc30334"/>
      <w:bookmarkStart w:id="38" w:name="_Toc17016"/>
      <w:bookmarkStart w:id="39" w:name="_Toc3463"/>
      <w:r>
        <w:rPr>
          <w:rFonts w:ascii="Times New Roman" w:hAnsi="Times New Roman" w:eastAsia="仿宋_GB2312" w:cs="Times New Roman"/>
          <w:kern w:val="0"/>
          <w:sz w:val="32"/>
          <w:szCs w:val="32"/>
          <w:lang w:val="en-US" w:eastAsia="zh-CN" w:bidi="ar-SA"/>
        </w:rPr>
        <w:t>绩效评价指标的确定原则</w:t>
      </w:r>
      <w:bookmarkEnd w:id="37"/>
      <w:bookmarkEnd w:id="38"/>
      <w:bookmarkEnd w:id="39"/>
      <w:r>
        <w:rPr>
          <w:rFonts w:hint="eastAsia" w:ascii="Times New Roman" w:hAnsi="Times New Roman" w:eastAsia="仿宋_GB2312" w:cs="Times New Roman"/>
          <w:kern w:val="0"/>
          <w:sz w:val="32"/>
          <w:szCs w:val="32"/>
          <w:lang w:val="en-US" w:eastAsia="zh-CN" w:bidi="ar-SA"/>
        </w:rPr>
        <w:t>：</w:t>
      </w:r>
      <w:bookmarkStart w:id="40" w:name="_Toc25280"/>
      <w:bookmarkStart w:id="41" w:name="_Toc10913"/>
      <w:r>
        <w:rPr>
          <w:rFonts w:ascii="Times New Roman" w:hAnsi="Times New Roman" w:eastAsia="仿宋_GB2312" w:cs="Times New Roman"/>
          <w:kern w:val="0"/>
          <w:sz w:val="32"/>
          <w:szCs w:val="32"/>
          <w:lang w:val="en-US" w:eastAsia="zh-CN" w:bidi="ar-SA"/>
        </w:rPr>
        <w:t>相关性原则</w:t>
      </w:r>
      <w:r>
        <w:rPr>
          <w:rFonts w:hint="eastAsia" w:ascii="Times New Roman" w:hAnsi="Times New Roman" w:eastAsia="仿宋_GB2312" w:cs="Times New Roman"/>
          <w:kern w:val="0"/>
          <w:sz w:val="32"/>
          <w:szCs w:val="32"/>
          <w:lang w:val="en-US" w:eastAsia="zh-CN" w:bidi="ar-SA"/>
        </w:rPr>
        <w:t>、</w:t>
      </w:r>
      <w:r>
        <w:rPr>
          <w:rFonts w:ascii="Times New Roman" w:hAnsi="Times New Roman" w:eastAsia="仿宋_GB2312" w:cs="Times New Roman"/>
          <w:kern w:val="0"/>
          <w:sz w:val="32"/>
          <w:szCs w:val="32"/>
          <w:lang w:val="en-US" w:eastAsia="zh-CN" w:bidi="ar-SA"/>
        </w:rPr>
        <w:t>重要性原则</w:t>
      </w:r>
      <w:r>
        <w:rPr>
          <w:rFonts w:hint="eastAsia" w:ascii="Times New Roman" w:hAnsi="Times New Roman" w:eastAsia="仿宋_GB2312" w:cs="Times New Roman"/>
          <w:kern w:val="0"/>
          <w:sz w:val="32"/>
          <w:szCs w:val="32"/>
          <w:lang w:val="en-US" w:eastAsia="zh-CN" w:bidi="ar-SA"/>
        </w:rPr>
        <w:t>、</w:t>
      </w:r>
      <w:r>
        <w:rPr>
          <w:rFonts w:ascii="Times New Roman" w:hAnsi="Times New Roman" w:eastAsia="仿宋_GB2312" w:cs="Times New Roman"/>
          <w:kern w:val="0"/>
          <w:sz w:val="32"/>
          <w:szCs w:val="32"/>
          <w:lang w:val="en-US" w:eastAsia="zh-CN" w:bidi="ar-SA"/>
        </w:rPr>
        <w:t>可比性原则</w:t>
      </w:r>
      <w:r>
        <w:rPr>
          <w:rFonts w:hint="eastAsia" w:ascii="Times New Roman" w:hAnsi="Times New Roman" w:eastAsia="仿宋_GB2312" w:cs="Times New Roman"/>
          <w:kern w:val="0"/>
          <w:sz w:val="32"/>
          <w:szCs w:val="32"/>
          <w:lang w:val="en-US" w:eastAsia="zh-CN" w:bidi="ar-SA"/>
        </w:rPr>
        <w:t>、</w:t>
      </w:r>
      <w:r>
        <w:rPr>
          <w:rFonts w:ascii="Times New Roman" w:hAnsi="Times New Roman" w:eastAsia="仿宋_GB2312" w:cs="Times New Roman"/>
          <w:kern w:val="0"/>
          <w:sz w:val="32"/>
          <w:szCs w:val="32"/>
          <w:lang w:val="en-US" w:eastAsia="zh-CN" w:bidi="ar-SA"/>
        </w:rPr>
        <w:t>系统性原则</w:t>
      </w:r>
      <w:r>
        <w:rPr>
          <w:rFonts w:hint="eastAsia" w:ascii="Times New Roman" w:hAnsi="Times New Roman" w:eastAsia="仿宋_GB2312" w:cs="Times New Roman"/>
          <w:kern w:val="0"/>
          <w:sz w:val="32"/>
          <w:szCs w:val="32"/>
          <w:lang w:val="en-US" w:eastAsia="zh-CN" w:bidi="ar-SA"/>
        </w:rPr>
        <w:t>、</w:t>
      </w:r>
      <w:r>
        <w:rPr>
          <w:rFonts w:ascii="Times New Roman" w:hAnsi="Times New Roman" w:eastAsia="仿宋_GB2312" w:cs="Times New Roman"/>
          <w:kern w:val="0"/>
          <w:sz w:val="32"/>
          <w:szCs w:val="32"/>
          <w:lang w:val="en-US" w:eastAsia="zh-CN" w:bidi="ar-SA"/>
        </w:rPr>
        <w:t>经济性原则。</w:t>
      </w:r>
    </w:p>
    <w:bookmarkEnd w:id="40"/>
    <w:bookmarkEnd w:id="41"/>
    <w:p>
      <w:pPr>
        <w:pageBreakBefore w:val="0"/>
        <w:widowControl w:val="0"/>
        <w:kinsoku/>
        <w:wordWrap/>
        <w:topLinePunct w:val="0"/>
        <w:bidi w:val="0"/>
        <w:snapToGrid/>
        <w:spacing w:line="600" w:lineRule="exact"/>
        <w:ind w:firstLine="540"/>
        <w:rPr>
          <w:rFonts w:ascii="Times New Roman" w:hAnsi="Times New Roman" w:eastAsia="仿宋_GB2312" w:cs="Times New Roman"/>
          <w:kern w:val="0"/>
          <w:sz w:val="32"/>
          <w:szCs w:val="32"/>
          <w:lang w:val="en-US" w:eastAsia="zh-CN" w:bidi="ar-SA"/>
        </w:rPr>
      </w:pPr>
      <w:bookmarkStart w:id="42" w:name="_Toc7417"/>
      <w:bookmarkStart w:id="43" w:name="_Toc14695"/>
      <w:r>
        <w:rPr>
          <w:rFonts w:ascii="Times New Roman" w:hAnsi="Times New Roman" w:eastAsia="仿宋_GB2312" w:cs="Times New Roman"/>
          <w:kern w:val="0"/>
          <w:sz w:val="32"/>
          <w:szCs w:val="32"/>
          <w:lang w:val="en-US" w:eastAsia="zh-CN" w:bidi="ar-SA"/>
        </w:rPr>
        <w:t>本次绩效评价指标总标准分值为100分，根据项目特点，绩效评价指标体系共设立了三级指标。根据分值与指标的重要性要密切相关的原则，先分别对决策、过程、产出、效益设定分值，再在决策、过程、产出、效益设定分值内根据重要程度对三级指标确定分值。前述评价指标体系包括：指标内容、指标解释、指标说明及评价标准。</w:t>
      </w:r>
    </w:p>
    <w:bookmarkEnd w:id="42"/>
    <w:bookmarkEnd w:id="43"/>
    <w:p>
      <w:pPr>
        <w:pageBreakBefore w:val="0"/>
        <w:widowControl w:val="0"/>
        <w:kinsoku/>
        <w:wordWrap/>
        <w:overflowPunct w:val="0"/>
        <w:topLinePunct w:val="0"/>
        <w:autoSpaceDE w:val="0"/>
        <w:autoSpaceDN w:val="0"/>
        <w:bidi w:val="0"/>
        <w:adjustRightInd w:val="0"/>
        <w:snapToGrid/>
        <w:spacing w:line="600" w:lineRule="exact"/>
        <w:ind w:firstLine="640" w:firstLineChars="200"/>
        <w:textAlignment w:val="baseline"/>
        <w:outlineLvl w:val="0"/>
        <w:rPr>
          <w:rFonts w:hint="eastAsia" w:eastAsia="黑体"/>
          <w:kern w:val="0"/>
          <w:sz w:val="32"/>
          <w:szCs w:val="32"/>
          <w:lang w:val="en-US" w:eastAsia="zh-CN"/>
        </w:rPr>
      </w:pPr>
      <w:bookmarkStart w:id="44" w:name="_Toc1871"/>
      <w:bookmarkStart w:id="45" w:name="_Toc16608"/>
      <w:bookmarkStart w:id="46" w:name="_Toc5077"/>
      <w:bookmarkStart w:id="47" w:name="_Toc25481"/>
      <w:r>
        <w:rPr>
          <w:rFonts w:hint="eastAsia" w:eastAsia="黑体"/>
          <w:kern w:val="0"/>
          <w:sz w:val="32"/>
          <w:szCs w:val="32"/>
          <w:lang w:val="en-US" w:eastAsia="zh-CN"/>
        </w:rPr>
        <w:t>四、综合评价情况及评价结论</w:t>
      </w:r>
      <w:bookmarkEnd w:id="44"/>
      <w:bookmarkEnd w:id="45"/>
      <w:bookmarkEnd w:id="46"/>
      <w:bookmarkEnd w:id="47"/>
    </w:p>
    <w:p>
      <w:pPr>
        <w:pageBreakBefore w:val="0"/>
        <w:widowControl w:val="0"/>
        <w:kinsoku/>
        <w:wordWrap/>
        <w:topLinePunct w:val="0"/>
        <w:bidi w:val="0"/>
        <w:snapToGrid/>
        <w:spacing w:line="600" w:lineRule="exact"/>
        <w:ind w:firstLine="54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本次兖州区气象局迁建（2019-2021年）项目绩效评价得分87分，评价等级为“良”。</w:t>
      </w:r>
    </w:p>
    <w:p>
      <w:pPr>
        <w:pageBreakBefore w:val="0"/>
        <w:widowControl w:val="0"/>
        <w:kinsoku/>
        <w:wordWrap/>
        <w:topLinePunct w:val="0"/>
        <w:bidi w:val="0"/>
        <w:snapToGrid/>
        <w:spacing w:line="600" w:lineRule="exact"/>
        <w:ind w:firstLine="540"/>
        <w:rPr>
          <w:rFonts w:ascii="Times New Roman" w:hAnsi="Times New Roman" w:eastAsia="仿宋_GB2312" w:cs="Times New Roman"/>
          <w:kern w:val="0"/>
          <w:sz w:val="32"/>
          <w:szCs w:val="32"/>
          <w:lang w:val="en-US" w:eastAsia="zh-CN" w:bidi="ar-SA"/>
        </w:rPr>
      </w:pPr>
      <w:bookmarkStart w:id="368" w:name="_GoBack"/>
      <w:bookmarkEnd w:id="368"/>
      <w:r>
        <w:rPr>
          <w:rFonts w:ascii="Times New Roman" w:hAnsi="Times New Roman" w:eastAsia="仿宋_GB2312" w:cs="Times New Roman"/>
          <w:kern w:val="0"/>
          <w:sz w:val="32"/>
          <w:szCs w:val="32"/>
          <w:lang w:val="en-US" w:eastAsia="zh-CN" w:bidi="ar-SA"/>
        </w:rPr>
        <w:t>该项目立项依据比较充分，绩效目标合理，业务管理比较规范，资金到位及时，支出合规合理，但</w:t>
      </w:r>
      <w:r>
        <w:rPr>
          <w:rFonts w:hint="eastAsia" w:ascii="Times New Roman" w:hAnsi="Times New Roman" w:eastAsia="仿宋_GB2312" w:cs="Times New Roman"/>
          <w:kern w:val="0"/>
          <w:sz w:val="32"/>
          <w:szCs w:val="32"/>
          <w:lang w:val="en-US" w:eastAsia="zh-CN" w:bidi="ar-SA"/>
        </w:rPr>
        <w:t>存在</w:t>
      </w:r>
      <w:r>
        <w:rPr>
          <w:rFonts w:ascii="Times New Roman" w:hAnsi="Times New Roman" w:eastAsia="仿宋_GB2312" w:cs="Times New Roman"/>
          <w:kern w:val="0"/>
          <w:sz w:val="32"/>
          <w:szCs w:val="32"/>
          <w:lang w:val="en-US" w:eastAsia="zh-CN" w:bidi="ar-SA"/>
        </w:rPr>
        <w:t>部分指标</w:t>
      </w:r>
      <w:r>
        <w:rPr>
          <w:rFonts w:hint="eastAsia" w:ascii="Times New Roman" w:hAnsi="Times New Roman" w:eastAsia="仿宋_GB2312" w:cs="Times New Roman"/>
          <w:kern w:val="0"/>
          <w:sz w:val="32"/>
          <w:szCs w:val="32"/>
          <w:lang w:val="en-US" w:eastAsia="zh-CN" w:bidi="ar-SA"/>
        </w:rPr>
        <w:t>设置不符合要求</w:t>
      </w:r>
      <w:r>
        <w:rPr>
          <w:rFonts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施工许可证等审批滞后</w:t>
      </w:r>
      <w:r>
        <w:rPr>
          <w:rFonts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合同工期不合理，实际工期超出计划工期</w:t>
      </w:r>
      <w:r>
        <w:rPr>
          <w:rFonts w:ascii="Times New Roman" w:hAnsi="Times New Roman" w:eastAsia="仿宋_GB2312" w:cs="Times New Roman"/>
          <w:kern w:val="0"/>
          <w:sz w:val="32"/>
          <w:szCs w:val="32"/>
          <w:lang w:val="en-US" w:eastAsia="zh-CN" w:bidi="ar-SA"/>
        </w:rPr>
        <w:t>。项目实现了预期目标，相关工程设备按照相关实施方案的要求时间投入使用，取得了较好的社会效益。</w:t>
      </w:r>
    </w:p>
    <w:p>
      <w:pPr>
        <w:pageBreakBefore w:val="0"/>
        <w:widowControl w:val="0"/>
        <w:kinsoku/>
        <w:wordWrap/>
        <w:overflowPunct w:val="0"/>
        <w:topLinePunct w:val="0"/>
        <w:autoSpaceDE w:val="0"/>
        <w:autoSpaceDN w:val="0"/>
        <w:bidi w:val="0"/>
        <w:adjustRightInd w:val="0"/>
        <w:snapToGrid/>
        <w:spacing w:line="600" w:lineRule="exact"/>
        <w:ind w:firstLine="640" w:firstLineChars="200"/>
        <w:textAlignment w:val="baseline"/>
        <w:outlineLvl w:val="0"/>
        <w:rPr>
          <w:rFonts w:hint="eastAsia" w:eastAsia="黑体"/>
          <w:kern w:val="0"/>
          <w:sz w:val="32"/>
          <w:szCs w:val="32"/>
          <w:lang w:val="en-US" w:eastAsia="zh-CN"/>
        </w:rPr>
      </w:pPr>
      <w:bookmarkStart w:id="48" w:name="_Toc25763"/>
      <w:bookmarkStart w:id="49" w:name="_Toc7198"/>
      <w:bookmarkStart w:id="50" w:name="_Toc8784"/>
      <w:bookmarkStart w:id="51" w:name="_Toc9876"/>
      <w:r>
        <w:rPr>
          <w:rFonts w:hint="eastAsia" w:eastAsia="黑体"/>
          <w:kern w:val="0"/>
          <w:sz w:val="32"/>
          <w:szCs w:val="32"/>
          <w:lang w:val="en-US" w:eastAsia="zh-CN"/>
        </w:rPr>
        <w:t>五、存在的问题</w:t>
      </w:r>
      <w:bookmarkEnd w:id="48"/>
      <w:bookmarkEnd w:id="49"/>
      <w:bookmarkEnd w:id="50"/>
      <w:bookmarkEnd w:id="51"/>
      <w:bookmarkStart w:id="52" w:name="_Toc9380"/>
      <w:bookmarkStart w:id="53" w:name="_Toc13276"/>
    </w:p>
    <w:bookmarkEnd w:id="52"/>
    <w:bookmarkEnd w:id="53"/>
    <w:p>
      <w:pPr>
        <w:pStyle w:val="5"/>
        <w:pageBreakBefore w:val="0"/>
        <w:widowControl w:val="0"/>
        <w:kinsoku/>
        <w:wordWrap/>
        <w:topLinePunct w:val="0"/>
        <w:bidi w:val="0"/>
        <w:snapToGrid/>
        <w:spacing w:line="600" w:lineRule="exact"/>
        <w:ind w:firstLine="562"/>
        <w:rPr>
          <w:rFonts w:hint="eastAsia" w:ascii="Times New Roman" w:hAnsi="Times New Roman" w:eastAsia="楷体" w:cs="Times New Roman"/>
          <w:b w:val="0"/>
          <w:kern w:val="0"/>
          <w:sz w:val="32"/>
          <w:szCs w:val="32"/>
          <w:lang w:val="en-US" w:eastAsia="zh-CN" w:bidi="ar-SA"/>
        </w:rPr>
      </w:pPr>
      <w:bookmarkStart w:id="54" w:name="_Toc17109"/>
      <w:bookmarkStart w:id="55" w:name="_Toc28555"/>
      <w:bookmarkStart w:id="56" w:name="_Toc17138"/>
      <w:bookmarkStart w:id="57" w:name="_Toc20880"/>
      <w:r>
        <w:rPr>
          <w:rFonts w:hint="eastAsia" w:ascii="Times New Roman" w:hAnsi="Times New Roman" w:eastAsia="楷体" w:cs="Times New Roman"/>
          <w:b w:val="0"/>
          <w:kern w:val="0"/>
          <w:sz w:val="32"/>
          <w:szCs w:val="32"/>
          <w:lang w:val="en-US" w:eastAsia="zh-CN" w:bidi="ar-SA"/>
        </w:rPr>
        <w:t>（一）部分绩效指标设置不符合要求</w:t>
      </w:r>
      <w:bookmarkEnd w:id="54"/>
    </w:p>
    <w:p>
      <w:pPr>
        <w:pageBreakBefore w:val="0"/>
        <w:widowControl w:val="0"/>
        <w:kinsoku/>
        <w:wordWrap/>
        <w:overflowPunct/>
        <w:topLinePunct w:val="0"/>
        <w:autoSpaceDE/>
        <w:autoSpaceDN/>
        <w:bidi w:val="0"/>
        <w:adjustRightInd/>
        <w:snapToGrid/>
        <w:spacing w:line="600" w:lineRule="exact"/>
        <w:ind w:firstLine="540"/>
        <w:textAlignment w:val="auto"/>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产出数量指标设置为“气象站供电安装、线路改造和建设”，指标值为650万元，指标分类错误，该指标为成本指标，产出数量指标应反映预算部门计划完成的产品或服务数量，效益指标“提升生产生活空气质量”不能反映项目相关产出对社会发展带来的影响和效果。</w:t>
      </w:r>
    </w:p>
    <w:p>
      <w:pPr>
        <w:pStyle w:val="5"/>
        <w:pageBreakBefore w:val="0"/>
        <w:widowControl w:val="0"/>
        <w:kinsoku/>
        <w:wordWrap/>
        <w:overflowPunct/>
        <w:topLinePunct w:val="0"/>
        <w:autoSpaceDE/>
        <w:autoSpaceDN/>
        <w:bidi w:val="0"/>
        <w:adjustRightInd/>
        <w:snapToGrid/>
        <w:spacing w:line="600" w:lineRule="exact"/>
        <w:ind w:firstLine="562"/>
        <w:textAlignment w:val="auto"/>
        <w:rPr>
          <w:rFonts w:hint="eastAsia" w:ascii="Times New Roman" w:hAnsi="Times New Roman" w:eastAsia="楷体" w:cs="Times New Roman"/>
          <w:b w:val="0"/>
          <w:kern w:val="0"/>
          <w:sz w:val="32"/>
          <w:szCs w:val="32"/>
          <w:lang w:val="en-US" w:eastAsia="zh-CN" w:bidi="ar-SA"/>
        </w:rPr>
      </w:pPr>
      <w:bookmarkStart w:id="58" w:name="_Toc12335"/>
      <w:r>
        <w:rPr>
          <w:rFonts w:hint="eastAsia" w:ascii="Times New Roman" w:hAnsi="Times New Roman" w:eastAsia="楷体" w:cs="Times New Roman"/>
          <w:b w:val="0"/>
          <w:kern w:val="0"/>
          <w:sz w:val="32"/>
          <w:szCs w:val="32"/>
          <w:lang w:val="en-US" w:eastAsia="zh-CN" w:bidi="ar-SA"/>
        </w:rPr>
        <w:t>（二）施工许可证等审批滞后</w:t>
      </w:r>
      <w:bookmarkEnd w:id="58"/>
    </w:p>
    <w:p>
      <w:pPr>
        <w:pageBreakBefore w:val="0"/>
        <w:widowControl w:val="0"/>
        <w:kinsoku/>
        <w:wordWrap/>
        <w:topLinePunct w:val="0"/>
        <w:bidi w:val="0"/>
        <w:snapToGrid/>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根据开工报告，办公用房、附属用房于2019年5月10日开工。2020年8月5日，区行政审批服务局核发用地预审与选址意见书（用字第370822[2020]003号）。2020年10月12日，区自然资源局核发国有建设用地划拨决定书（兖州-02-2020-0006号）。2020年11月2日，区自然资源局核发国有建设用地使用权证书（鲁（2020）兖州区不动产权第0010286号）。2020年12月4日，区行政审批服务局核发建设工程规划许可证（建字第0822[2020]042号）。2020年12月14日，区行政审批服务局核发建筑工程施工许可证（编号370882202012140101）。施工许可证等审批滞后，获得许可证之前即开工，也未提供其他准予容缺开工的批复文件。</w:t>
      </w:r>
    </w:p>
    <w:p>
      <w:pPr>
        <w:pStyle w:val="5"/>
        <w:pageBreakBefore w:val="0"/>
        <w:widowControl w:val="0"/>
        <w:kinsoku/>
        <w:wordWrap/>
        <w:topLinePunct w:val="0"/>
        <w:bidi w:val="0"/>
        <w:snapToGrid/>
        <w:spacing w:line="600" w:lineRule="exact"/>
        <w:ind w:firstLine="562"/>
        <w:rPr>
          <w:rFonts w:hint="eastAsia" w:ascii="Times New Roman" w:hAnsi="Times New Roman" w:eastAsia="楷体" w:cs="Times New Roman"/>
          <w:b w:val="0"/>
          <w:kern w:val="0"/>
          <w:sz w:val="32"/>
          <w:szCs w:val="32"/>
          <w:lang w:val="en-US" w:eastAsia="zh-CN" w:bidi="ar-SA"/>
        </w:rPr>
      </w:pPr>
      <w:bookmarkStart w:id="59" w:name="_Toc2819"/>
      <w:r>
        <w:rPr>
          <w:rFonts w:hint="eastAsia" w:ascii="Times New Roman" w:hAnsi="Times New Roman" w:eastAsia="楷体" w:cs="Times New Roman"/>
          <w:b w:val="0"/>
          <w:kern w:val="0"/>
          <w:sz w:val="32"/>
          <w:szCs w:val="32"/>
          <w:lang w:val="en-US" w:eastAsia="zh-CN" w:bidi="ar-SA"/>
        </w:rPr>
        <w:t>（三）合同工期不合理，实际工期超出计划工期</w:t>
      </w:r>
      <w:bookmarkEnd w:id="59"/>
    </w:p>
    <w:p>
      <w:pPr>
        <w:pageBreakBefore w:val="0"/>
        <w:widowControl w:val="0"/>
        <w:kinsoku/>
        <w:wordWrap/>
        <w:topLinePunct w:val="0"/>
        <w:bidi w:val="0"/>
        <w:snapToGrid/>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施工合同约定工期为2019年5月10日至2019年9月7日，工期为120天。可行性研究报告中计划项目建设期为12个月，其中前期准备、施工设计、项目招投标分别用时1个月。施工合同约定工期远低于可研计划建设工期，缺乏合理性。工程建设项目于2019年5月开工建设，主体工程于2020年8月13日竣工。2020年8月27日，项目建设单位会同设计单位、勘察、监理单位及项目施工单位等有关人员对业务办公用房及附属用房工程组织验收，实际工期超出计划工期。</w:t>
      </w:r>
    </w:p>
    <w:p>
      <w:pPr>
        <w:pageBreakBefore w:val="0"/>
        <w:widowControl w:val="0"/>
        <w:kinsoku/>
        <w:wordWrap/>
        <w:overflowPunct w:val="0"/>
        <w:topLinePunct w:val="0"/>
        <w:autoSpaceDE w:val="0"/>
        <w:autoSpaceDN w:val="0"/>
        <w:bidi w:val="0"/>
        <w:adjustRightInd w:val="0"/>
        <w:snapToGrid/>
        <w:spacing w:line="600" w:lineRule="exact"/>
        <w:ind w:firstLine="640" w:firstLineChars="200"/>
        <w:textAlignment w:val="baseline"/>
        <w:outlineLvl w:val="0"/>
        <w:rPr>
          <w:rFonts w:hint="eastAsia" w:eastAsia="黑体"/>
          <w:kern w:val="0"/>
          <w:sz w:val="32"/>
          <w:szCs w:val="32"/>
          <w:lang w:val="en-US" w:eastAsia="zh-CN"/>
        </w:rPr>
      </w:pPr>
      <w:bookmarkStart w:id="60" w:name="_Toc8654"/>
      <w:r>
        <w:rPr>
          <w:rFonts w:hint="eastAsia" w:eastAsia="黑体"/>
          <w:kern w:val="0"/>
          <w:sz w:val="32"/>
          <w:szCs w:val="32"/>
          <w:lang w:val="en-US" w:eastAsia="zh-CN"/>
        </w:rPr>
        <w:t>六、有关建议</w:t>
      </w:r>
      <w:bookmarkEnd w:id="55"/>
      <w:bookmarkEnd w:id="56"/>
      <w:bookmarkEnd w:id="57"/>
      <w:bookmarkEnd w:id="60"/>
    </w:p>
    <w:p>
      <w:pPr>
        <w:pStyle w:val="5"/>
        <w:pageBreakBefore w:val="0"/>
        <w:widowControl w:val="0"/>
        <w:kinsoku/>
        <w:wordWrap/>
        <w:topLinePunct w:val="0"/>
        <w:bidi w:val="0"/>
        <w:snapToGrid/>
        <w:spacing w:line="600" w:lineRule="exact"/>
        <w:ind w:firstLine="562"/>
        <w:rPr>
          <w:rFonts w:hint="eastAsia" w:ascii="Times New Roman" w:hAnsi="Times New Roman" w:eastAsia="楷体" w:cs="Times New Roman"/>
          <w:b w:val="0"/>
          <w:kern w:val="0"/>
          <w:sz w:val="32"/>
          <w:szCs w:val="32"/>
          <w:lang w:val="en-US" w:eastAsia="zh-CN" w:bidi="ar-SA"/>
        </w:rPr>
      </w:pPr>
      <w:bookmarkStart w:id="61" w:name="_Toc30665"/>
      <w:r>
        <w:rPr>
          <w:rFonts w:hint="eastAsia" w:ascii="Times New Roman" w:hAnsi="Times New Roman" w:eastAsia="楷体" w:cs="Times New Roman"/>
          <w:b w:val="0"/>
          <w:kern w:val="0"/>
          <w:sz w:val="32"/>
          <w:szCs w:val="32"/>
          <w:lang w:val="en-US" w:eastAsia="zh-CN" w:bidi="ar-SA"/>
        </w:rPr>
        <w:t>（一）建议提高绩效指标设置的规范性</w:t>
      </w:r>
      <w:bookmarkEnd w:id="61"/>
    </w:p>
    <w:p>
      <w:pPr>
        <w:pageBreakBefore w:val="0"/>
        <w:widowControl w:val="0"/>
        <w:kinsoku/>
        <w:wordWrap/>
        <w:topLinePunct w:val="0"/>
        <w:bidi w:val="0"/>
        <w:snapToGrid/>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产出指标是对预期产出的描述，包括数量指标、质量指标、时效指标等二级指标，其中，数量指标反映预期提供的公共产品或服务数量，应根据项目活动设定相应的指标内容。数量指标应突出重点，力求以较少的指标涵盖体现主要工作内容。该项目可以用房屋建设工程量、气象站供电安装、线路改造和建设工程量等衡量产出数量。效益指标是对预期效果的描述，包括经济效益指标、社会效益指标、生态效益指标等二级指标，其中，社会效益指标反映相关产出对社会发展带来的影响和效果，用于体现项目实施当年及以后若干年在提升治理水平、落实国家政策、推动行业发展、服务民生大众、维持社会稳定、维护社会公平正义、提高履职或服务效率等方面的效益。该项目可以用“是否解决城市建设与气象探测环境保护问题”、“提升综合气象服务能力情况”等衡量社会效益。</w:t>
      </w:r>
    </w:p>
    <w:p>
      <w:pPr>
        <w:pStyle w:val="5"/>
        <w:pageBreakBefore w:val="0"/>
        <w:widowControl w:val="0"/>
        <w:kinsoku/>
        <w:wordWrap/>
        <w:topLinePunct w:val="0"/>
        <w:bidi w:val="0"/>
        <w:snapToGrid/>
        <w:spacing w:line="600" w:lineRule="exact"/>
        <w:ind w:firstLine="562"/>
        <w:rPr>
          <w:rFonts w:hint="eastAsia" w:ascii="Times New Roman" w:hAnsi="Times New Roman" w:eastAsia="楷体" w:cs="Times New Roman"/>
          <w:b w:val="0"/>
          <w:kern w:val="0"/>
          <w:sz w:val="32"/>
          <w:szCs w:val="32"/>
          <w:lang w:val="en-US" w:eastAsia="zh-CN" w:bidi="ar-SA"/>
        </w:rPr>
      </w:pPr>
      <w:bookmarkStart w:id="62" w:name="_Toc13873"/>
      <w:r>
        <w:rPr>
          <w:rFonts w:hint="eastAsia" w:ascii="Times New Roman" w:hAnsi="Times New Roman" w:eastAsia="楷体" w:cs="Times New Roman"/>
          <w:b w:val="0"/>
          <w:kern w:val="0"/>
          <w:sz w:val="32"/>
          <w:szCs w:val="32"/>
          <w:lang w:val="en-US" w:eastAsia="zh-CN" w:bidi="ar-SA"/>
        </w:rPr>
        <w:t>（二）规范项目流程，完善档案管理</w:t>
      </w:r>
      <w:bookmarkEnd w:id="62"/>
    </w:p>
    <w:p>
      <w:pPr>
        <w:pageBreakBefore w:val="0"/>
        <w:widowControl w:val="0"/>
        <w:kinsoku/>
        <w:wordWrap/>
        <w:topLinePunct w:val="0"/>
        <w:bidi w:val="0"/>
        <w:snapToGrid/>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建议制定和完善相关制度办法，弥补建设项目制度上的管理空档，如为进一步规范政府投资项目建设流程和管理，制定实施意见，规范流程、明确职责、严肃纪律，强化监管。严格落实立项审批程序和标准，项目立项应在进行了全面调查摸底及有效论证的基础上确定，尽可能一次性核准总规模，减少多次追加批复。重视会计基础工作，加强合同管理，认真落实合同审核制度，确保合同的完整、严谨。</w:t>
      </w:r>
    </w:p>
    <w:p>
      <w:pPr>
        <w:pStyle w:val="5"/>
        <w:pageBreakBefore w:val="0"/>
        <w:widowControl w:val="0"/>
        <w:kinsoku/>
        <w:wordWrap/>
        <w:topLinePunct w:val="0"/>
        <w:bidi w:val="0"/>
        <w:snapToGrid/>
        <w:spacing w:line="600" w:lineRule="exact"/>
        <w:ind w:firstLine="562"/>
        <w:rPr>
          <w:rFonts w:hint="eastAsia" w:ascii="Times New Roman" w:hAnsi="Times New Roman" w:eastAsia="楷体" w:cs="Times New Roman"/>
          <w:b w:val="0"/>
          <w:kern w:val="0"/>
          <w:sz w:val="32"/>
          <w:szCs w:val="32"/>
          <w:lang w:val="en-US" w:eastAsia="zh-CN" w:bidi="ar-SA"/>
        </w:rPr>
      </w:pPr>
      <w:bookmarkStart w:id="63" w:name="_Toc19360"/>
      <w:r>
        <w:rPr>
          <w:rFonts w:hint="eastAsia" w:ascii="Times New Roman" w:hAnsi="Times New Roman" w:eastAsia="楷体" w:cs="Times New Roman"/>
          <w:b w:val="0"/>
          <w:kern w:val="0"/>
          <w:sz w:val="32"/>
          <w:szCs w:val="32"/>
          <w:lang w:val="en-US" w:eastAsia="zh-CN" w:bidi="ar-SA"/>
        </w:rPr>
        <w:t>（三）严格按建设程序实施项目建设</w:t>
      </w:r>
      <w:bookmarkEnd w:id="63"/>
    </w:p>
    <w:p>
      <w:pPr>
        <w:pageBreakBefore w:val="0"/>
        <w:widowControl w:val="0"/>
        <w:kinsoku/>
        <w:wordWrap/>
        <w:topLinePunct w:val="0"/>
        <w:bidi w:val="0"/>
        <w:snapToGrid/>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1.做好施工前期准备工作。为保证项目按期完工，必须要在征地拆迁工作已经基本完成，施工过程不会出现用地纠纷，保证交付的场地可以正常进场施工条件下启动项目建设；地勘设计达到一定深度，避免施工过程变更过多；三通一平已经完成，无缺水、缺电影响施工的情况，场地已基本平整，无需施工单位进行大量的土方施工和地下管线迁移等工作。</w:t>
      </w:r>
    </w:p>
    <w:p>
      <w:pPr>
        <w:pageBreakBefore w:val="0"/>
        <w:widowControl w:val="0"/>
        <w:kinsoku/>
        <w:wordWrap/>
        <w:topLinePunct w:val="0"/>
        <w:bidi w:val="0"/>
        <w:snapToGrid/>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2.根据实际情况确定合理工期。某些影响较大的项目，何时开工、工期多少相关单位均有要求，但有些要求明显与建设程序及实际情况不相符合，致使合同工期形同虚设。因此合同签订时，必须在尊重事实、尊重科学的前提下，合理确定工期。</w:t>
      </w:r>
    </w:p>
    <w:p>
      <w:pPr>
        <w:pageBreakBefore w:val="0"/>
        <w:widowControl w:val="0"/>
        <w:kinsoku/>
        <w:wordWrap/>
        <w:topLinePunct w:val="0"/>
        <w:bidi w:val="0"/>
        <w:snapToGrid/>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3.加强变更管理，减少因变更造成的返工。开工前必须对设计图纸进行非常认真的审查和进行技术交底。图纸会审和技术交底会尽可能找出设计图纸中的问题，同时充分与施工单位协调沟通，在施工过程中尽量避免出差错，从而减少变更和返工，影响工期。</w:t>
      </w:r>
    </w:p>
    <w:p>
      <w:pPr>
        <w:pageBreakBefore w:val="0"/>
        <w:widowControl w:val="0"/>
        <w:kinsoku/>
        <w:wordWrap/>
        <w:topLinePunct w:val="0"/>
        <w:bidi w:val="0"/>
        <w:snapToGrid/>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4.及时组织竣工验收。项目施工完成后，若施工单位竣工资料收集完整，建设单位应及时组织相关单位进行竣工验收，避免造成工期延误。</w:t>
      </w:r>
    </w:p>
    <w:p>
      <w:pPr>
        <w:spacing w:line="600" w:lineRule="exact"/>
        <w:ind w:firstLine="540"/>
        <w:rPr>
          <w:rFonts w:ascii="Times New Roman" w:hAnsi="Times New Roman" w:eastAsia="仿宋_GB2312" w:cs="Times New Roman"/>
          <w:kern w:val="0"/>
          <w:sz w:val="32"/>
          <w:szCs w:val="32"/>
          <w:lang w:val="en-US" w:eastAsia="zh-CN" w:bidi="ar-SA"/>
        </w:rPr>
        <w:sectPr>
          <w:footerReference r:id="rId13" w:type="default"/>
          <w:footnotePr>
            <w:numFmt w:val="decimalEnclosedCircleChinese"/>
            <w:numRestart w:val="eachPage"/>
          </w:footnotePr>
          <w:pgSz w:w="11906" w:h="16838"/>
          <w:pgMar w:top="1440" w:right="1800" w:bottom="1440" w:left="1800" w:header="851" w:footer="992" w:gutter="0"/>
          <w:pgNumType w:fmt="numberInDash" w:start="1"/>
          <w:cols w:space="425" w:num="1"/>
          <w:docGrid w:type="lines" w:linePitch="312" w:charSpace="0"/>
        </w:sectPr>
      </w:pPr>
    </w:p>
    <w:bookmarkEnd w:id="7"/>
    <w:p>
      <w:pPr>
        <w:pStyle w:val="3"/>
        <w:keepNext/>
        <w:keepLines/>
        <w:pageBreakBefore w:val="0"/>
        <w:widowControl/>
        <w:kinsoku/>
        <w:wordWrap/>
        <w:overflowPunct/>
        <w:topLinePunct w:val="0"/>
        <w:autoSpaceDE/>
        <w:autoSpaceDN/>
        <w:bidi w:val="0"/>
        <w:adjustRightInd/>
        <w:snapToGrid/>
        <w:spacing w:before="313" w:beforeLines="100" w:after="313" w:afterLines="100" w:line="600" w:lineRule="exact"/>
        <w:ind w:firstLine="0" w:firstLineChars="0"/>
        <w:jc w:val="center"/>
        <w:textAlignment w:val="auto"/>
        <w:rPr>
          <w:rFonts w:hint="eastAsia" w:ascii="方正小标宋_GBK" w:hAnsi="方正小标宋_GBK" w:eastAsia="方正小标宋_GBK" w:cs="方正小标宋_GBK"/>
          <w:kern w:val="0"/>
          <w:sz w:val="44"/>
          <w:szCs w:val="44"/>
        </w:rPr>
      </w:pPr>
      <w:bookmarkStart w:id="64" w:name="_Toc9480"/>
      <w:bookmarkStart w:id="65" w:name="_Toc9296"/>
      <w:bookmarkStart w:id="66" w:name="_Toc24502"/>
      <w:bookmarkStart w:id="67" w:name="_Toc19415"/>
      <w:r>
        <w:rPr>
          <w:rFonts w:hint="eastAsia" w:ascii="方正小标宋_GBK" w:hAnsi="方正小标宋_GBK" w:eastAsia="方正小标宋_GBK" w:cs="方正小标宋_GBK"/>
          <w:kern w:val="0"/>
          <w:sz w:val="44"/>
          <w:szCs w:val="44"/>
        </w:rPr>
        <w:t>正文部分</w:t>
      </w:r>
      <w:bookmarkEnd w:id="64"/>
      <w:bookmarkEnd w:id="65"/>
      <w:bookmarkEnd w:id="66"/>
      <w:bookmarkEnd w:id="67"/>
    </w:p>
    <w:p>
      <w:pPr>
        <w:ind w:firstLine="540"/>
      </w:pPr>
    </w:p>
    <w:p>
      <w:pPr>
        <w:pStyle w:val="2"/>
        <w:keepNext w:val="0"/>
        <w:keepLines w:val="0"/>
        <w:pageBreakBefore w:val="0"/>
        <w:widowControl w:val="0"/>
        <w:kinsoku/>
        <w:wordWrap/>
        <w:overflowPunct/>
        <w:topLinePunct w:val="0"/>
        <w:autoSpaceDE/>
        <w:autoSpaceDN/>
        <w:bidi w:val="0"/>
        <w:adjustRightInd/>
        <w:snapToGrid/>
        <w:spacing w:line="600" w:lineRule="exact"/>
        <w:ind w:firstLine="540"/>
        <w:textAlignment w:val="auto"/>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根据《中共中央 国务院关于全面实施预算绩效管理的意见》(中发〔2018〕34号)、《山东省人民政府关于深化预算管理制度改革的实施意见》（鲁政发〔2014〕20号）等有关文件的精神，兖州区财政局委托山东德睿融投资咨询有限公司，于2022年8月对兖州区气象局迁建（2019-2021年）项目开展绩效评价。</w:t>
      </w:r>
    </w:p>
    <w:p>
      <w:pPr>
        <w:pStyle w:val="2"/>
        <w:keepNext w:val="0"/>
        <w:keepLines w:val="0"/>
        <w:pageBreakBefore w:val="0"/>
        <w:widowControl w:val="0"/>
        <w:kinsoku/>
        <w:wordWrap/>
        <w:overflowPunct/>
        <w:topLinePunct w:val="0"/>
        <w:autoSpaceDE/>
        <w:autoSpaceDN/>
        <w:bidi w:val="0"/>
        <w:adjustRightInd/>
        <w:snapToGrid/>
        <w:spacing w:line="600" w:lineRule="exact"/>
        <w:ind w:firstLine="540"/>
        <w:textAlignment w:val="auto"/>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现将本次绩效评价情况报告如下：</w:t>
      </w:r>
    </w:p>
    <w:p>
      <w:pPr>
        <w:widowControl w:val="0"/>
        <w:overflowPunct w:val="0"/>
        <w:autoSpaceDE w:val="0"/>
        <w:autoSpaceDN w:val="0"/>
        <w:adjustRightInd w:val="0"/>
        <w:spacing w:line="600" w:lineRule="exact"/>
        <w:ind w:firstLine="640" w:firstLineChars="200"/>
        <w:textAlignment w:val="baseline"/>
        <w:outlineLvl w:val="0"/>
        <w:rPr>
          <w:rFonts w:hint="eastAsia" w:eastAsia="黑体"/>
          <w:kern w:val="0"/>
          <w:sz w:val="32"/>
          <w:szCs w:val="32"/>
          <w:lang w:val="en-US" w:eastAsia="zh-CN"/>
        </w:rPr>
      </w:pPr>
      <w:bookmarkStart w:id="68" w:name="_Toc65_WPSOffice_Level1"/>
      <w:bookmarkStart w:id="69" w:name="_Toc24374201"/>
      <w:bookmarkStart w:id="70" w:name="_Toc24374842"/>
      <w:bookmarkStart w:id="71" w:name="_Toc25650486"/>
      <w:bookmarkStart w:id="72" w:name="_Toc28277"/>
      <w:bookmarkStart w:id="73" w:name="_Toc24311766"/>
      <w:r>
        <w:rPr>
          <w:rFonts w:hint="eastAsia" w:eastAsia="黑体"/>
          <w:kern w:val="0"/>
          <w:sz w:val="32"/>
          <w:szCs w:val="32"/>
          <w:lang w:val="en-US" w:eastAsia="zh-CN"/>
        </w:rPr>
        <w:t>一、项目基本情况</w:t>
      </w:r>
      <w:bookmarkEnd w:id="68"/>
      <w:bookmarkEnd w:id="69"/>
      <w:bookmarkEnd w:id="70"/>
      <w:bookmarkEnd w:id="71"/>
      <w:bookmarkEnd w:id="72"/>
      <w:bookmarkEnd w:id="73"/>
    </w:p>
    <w:p>
      <w:pPr>
        <w:widowControl w:val="0"/>
        <w:overflowPunct w:val="0"/>
        <w:autoSpaceDE w:val="0"/>
        <w:autoSpaceDN w:val="0"/>
        <w:adjustRightInd w:val="0"/>
        <w:spacing w:line="600" w:lineRule="exact"/>
        <w:ind w:firstLine="640" w:firstLineChars="200"/>
        <w:textAlignment w:val="baseline"/>
        <w:outlineLvl w:val="0"/>
        <w:rPr>
          <w:rFonts w:hint="eastAsia" w:ascii="Times New Roman" w:hAnsi="Times New Roman" w:eastAsia="楷体" w:cs="Times New Roman"/>
          <w:b w:val="0"/>
          <w:kern w:val="0"/>
          <w:sz w:val="32"/>
          <w:szCs w:val="32"/>
          <w:lang w:val="en-US" w:eastAsia="zh-CN" w:bidi="ar-SA"/>
        </w:rPr>
      </w:pPr>
      <w:bookmarkStart w:id="74" w:name="_Toc24374202"/>
      <w:bookmarkStart w:id="75" w:name="_Toc11694_WPSOffice_Level2"/>
      <w:bookmarkStart w:id="76" w:name="_Toc25650487"/>
      <w:bookmarkStart w:id="77" w:name="_Toc24374843"/>
      <w:bookmarkStart w:id="78" w:name="_Toc30166"/>
      <w:r>
        <w:rPr>
          <w:rFonts w:hint="eastAsia" w:ascii="Times New Roman" w:hAnsi="Times New Roman" w:eastAsia="楷体" w:cs="Times New Roman"/>
          <w:b w:val="0"/>
          <w:kern w:val="0"/>
          <w:sz w:val="32"/>
          <w:szCs w:val="32"/>
          <w:lang w:val="en-US" w:eastAsia="zh-CN" w:bidi="ar-SA"/>
        </w:rPr>
        <w:t>（一）项目</w:t>
      </w:r>
      <w:bookmarkEnd w:id="74"/>
      <w:bookmarkEnd w:id="75"/>
      <w:bookmarkEnd w:id="76"/>
      <w:bookmarkEnd w:id="77"/>
      <w:r>
        <w:rPr>
          <w:rFonts w:hint="eastAsia" w:ascii="Times New Roman" w:hAnsi="Times New Roman" w:eastAsia="楷体" w:cs="Times New Roman"/>
          <w:b w:val="0"/>
          <w:kern w:val="0"/>
          <w:sz w:val="32"/>
          <w:szCs w:val="32"/>
          <w:lang w:val="en-US" w:eastAsia="zh-CN" w:bidi="ar-SA"/>
        </w:rPr>
        <w:t>立项</w:t>
      </w:r>
      <w:bookmarkEnd w:id="78"/>
    </w:p>
    <w:p>
      <w:pPr>
        <w:spacing w:line="600" w:lineRule="exact"/>
        <w:ind w:firstLine="540"/>
        <w:rPr>
          <w:rFonts w:ascii="Times New Roman" w:hAnsi="Times New Roman" w:eastAsia="仿宋_GB2312" w:cs="Times New Roman"/>
          <w:kern w:val="0"/>
          <w:sz w:val="32"/>
          <w:szCs w:val="32"/>
          <w:lang w:val="en-US" w:eastAsia="zh-CN" w:bidi="ar-SA"/>
        </w:rPr>
      </w:pPr>
      <w:bookmarkStart w:id="79" w:name="_Toc25650488"/>
      <w:bookmarkStart w:id="80" w:name="_Toc24374844"/>
      <w:bookmarkStart w:id="81" w:name="_Toc24374203"/>
      <w:r>
        <w:rPr>
          <w:rFonts w:ascii="Times New Roman" w:hAnsi="Times New Roman" w:eastAsia="仿宋_GB2312" w:cs="Times New Roman"/>
          <w:kern w:val="0"/>
          <w:sz w:val="32"/>
          <w:szCs w:val="32"/>
          <w:lang w:val="en-US" w:eastAsia="zh-CN" w:bidi="ar-SA"/>
        </w:rPr>
        <w:t>兖州区气象局即兖州国家基本气象站，原址位于兖州区东环城路100号，建于1951年，占地面积16.7亩。国家基本气象站在山东省仅有17个，兖州区气象局是济宁市唯一的国家基本气象站，代表整个鲁南地区，地面气象资料参加全球交换。</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兖州国家基本气象站现有干部职工21人，其中退休9人。主要任务是：地面测报、天气预报、农业气象、人工增雨和防雷工程、防雷设施的图纸审核、竣工验收和行政许可。</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济宁市兖州区为改善市民居住条件和生活质量，提高城市承载能力，促进经济社会发展和城市面貌的提升，需要对气象观测场周边进行较大规模的城镇化改造和基础设施建设，由于受气象探测环境保护的限制，观测场周边的城市建设不能按计划推进，城市发展与气象探测环境保护的矛盾日益突出，对兖州气象事业可持续发展及城市建设造成严重影响。为妥善解决城市建设与气象探测环境保护问题，使气象事业更好地服务于济宁市兖州区经济社会发展，需要对兖州国家基本气象站进行选址新建。</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实施济宁市兖州区国家基本气象站迁建项目，不仅是改善现有不利气象工作环境的必要手段，也是按照“四个一流”台站建设要求，全面落实中国气象局关于推进气象现代化建设和县级气象机构综合改革等战略部署，以强化公共气象服务和社会管理职能为主线，以提高气象综合业务服务能力和增强发展活力为重点，进一步明确业务建设需求和功能定位，科学控制建设标准，统筹使用建设资金，严格规范建设程序，有序推进基层气象机构基础设施建设为目的。</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为了打造“防灾减灾，气象先行”的品牌，加快济宁市兖州区防灾减灾体系建设，全面提升综合气象服务能力，适应台站综合改革和气象业务发展的需要，避免气象探测环境再受影响，确保观测资料具有代表性、准确性和比较性。兖州区人民政府根据《中华人民共和国气象法》和《气象探测环境和设施保护条例》，主动提出迁移兖州站的请求。并承诺：(1)新址建设用地由政府征拨给气象部门使用；(2)因迁址产生的一切费用由区财政全额承担；(3)制定新址气象探测环境保护专项规划，依法长期保护新址探测环境。</w:t>
      </w:r>
    </w:p>
    <w:p>
      <w:pPr>
        <w:widowControl w:val="0"/>
        <w:overflowPunct w:val="0"/>
        <w:autoSpaceDE w:val="0"/>
        <w:autoSpaceDN w:val="0"/>
        <w:adjustRightInd w:val="0"/>
        <w:spacing w:line="600" w:lineRule="exact"/>
        <w:ind w:firstLine="640" w:firstLineChars="200"/>
        <w:textAlignment w:val="baseline"/>
        <w:outlineLvl w:val="0"/>
        <w:rPr>
          <w:rFonts w:hint="default" w:ascii="Times New Roman" w:hAnsi="Times New Roman" w:eastAsia="楷体" w:cs="Times New Roman"/>
          <w:b w:val="0"/>
          <w:kern w:val="0"/>
          <w:sz w:val="32"/>
          <w:szCs w:val="32"/>
          <w:lang w:val="en-US" w:eastAsia="zh-CN" w:bidi="ar-SA"/>
        </w:rPr>
      </w:pPr>
      <w:bookmarkStart w:id="82" w:name="_Toc18167"/>
      <w:r>
        <w:rPr>
          <w:rFonts w:hint="eastAsia" w:ascii="Times New Roman" w:hAnsi="Times New Roman" w:eastAsia="楷体" w:cs="Times New Roman"/>
          <w:b w:val="0"/>
          <w:kern w:val="0"/>
          <w:sz w:val="32"/>
          <w:szCs w:val="32"/>
          <w:lang w:val="en-US" w:eastAsia="zh-CN" w:bidi="ar-SA"/>
        </w:rPr>
        <w:t>（二）</w:t>
      </w:r>
      <w:bookmarkEnd w:id="79"/>
      <w:bookmarkEnd w:id="80"/>
      <w:bookmarkEnd w:id="81"/>
      <w:r>
        <w:rPr>
          <w:rFonts w:hint="eastAsia" w:ascii="Times New Roman" w:hAnsi="Times New Roman" w:eastAsia="楷体" w:cs="Times New Roman"/>
          <w:b w:val="0"/>
          <w:kern w:val="0"/>
          <w:sz w:val="32"/>
          <w:szCs w:val="32"/>
          <w:lang w:val="en-US" w:eastAsia="zh-CN" w:bidi="ar-SA"/>
        </w:rPr>
        <w:t>项目预算</w:t>
      </w:r>
      <w:bookmarkEnd w:id="82"/>
    </w:p>
    <w:p>
      <w:pPr>
        <w:pStyle w:val="6"/>
        <w:spacing w:line="600" w:lineRule="exact"/>
        <w:ind w:firstLine="562"/>
        <w:rPr>
          <w:rFonts w:ascii="Times New Roman" w:hAnsi="Times New Roman" w:eastAsia="仿宋_GB2312" w:cs="Times New Roman"/>
          <w:b w:val="0"/>
          <w:kern w:val="0"/>
          <w:sz w:val="32"/>
          <w:szCs w:val="32"/>
          <w:lang w:val="en-US" w:eastAsia="zh-CN" w:bidi="ar-SA"/>
        </w:rPr>
      </w:pPr>
      <w:bookmarkStart w:id="83" w:name="_Toc5046"/>
      <w:bookmarkStart w:id="84" w:name="_Toc15660"/>
      <w:bookmarkStart w:id="85" w:name="_Toc16508"/>
      <w:r>
        <w:rPr>
          <w:rFonts w:hint="eastAsia" w:ascii="Times New Roman" w:hAnsi="Times New Roman" w:eastAsia="仿宋_GB2312" w:cs="Times New Roman"/>
          <w:b w:val="0"/>
          <w:kern w:val="0"/>
          <w:sz w:val="32"/>
          <w:szCs w:val="32"/>
          <w:lang w:val="en-US" w:eastAsia="zh-CN" w:bidi="ar-SA"/>
        </w:rPr>
        <w:t>1.资金来源</w:t>
      </w:r>
      <w:bookmarkEnd w:id="83"/>
      <w:bookmarkEnd w:id="84"/>
      <w:bookmarkEnd w:id="85"/>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本项目按国家基本气象站标准建设，总投资约1905万元。本报告评价范围为气象局迁建（2019-2021年）项目资金，其中2019年拨付650万元，2020年拨付630万元，2021年拨付531.34万元，全部为区级财政资金。</w:t>
      </w:r>
    </w:p>
    <w:p>
      <w:pPr>
        <w:pStyle w:val="6"/>
        <w:spacing w:line="600" w:lineRule="exact"/>
        <w:ind w:firstLine="562"/>
        <w:rPr>
          <w:rFonts w:hint="eastAsia" w:ascii="Times New Roman" w:hAnsi="Times New Roman" w:eastAsia="仿宋_GB2312" w:cs="Times New Roman"/>
          <w:b w:val="0"/>
          <w:kern w:val="0"/>
          <w:sz w:val="32"/>
          <w:szCs w:val="32"/>
          <w:lang w:val="en-US" w:eastAsia="zh-CN" w:bidi="ar-SA"/>
        </w:rPr>
      </w:pPr>
      <w:bookmarkStart w:id="86" w:name="_Toc14101"/>
      <w:bookmarkStart w:id="87" w:name="_Toc15018"/>
      <w:bookmarkStart w:id="88" w:name="_Toc19269"/>
      <w:r>
        <w:rPr>
          <w:rFonts w:hint="eastAsia" w:ascii="Times New Roman" w:hAnsi="Times New Roman" w:eastAsia="仿宋_GB2312" w:cs="Times New Roman"/>
          <w:b w:val="0"/>
          <w:kern w:val="0"/>
          <w:sz w:val="32"/>
          <w:szCs w:val="32"/>
          <w:lang w:val="en-US" w:eastAsia="zh-CN" w:bidi="ar-SA"/>
        </w:rPr>
        <w:t>2.资金使用</w:t>
      </w:r>
      <w:bookmarkEnd w:id="86"/>
      <w:bookmarkEnd w:id="87"/>
      <w:bookmarkEnd w:id="88"/>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根据兖州区气象局提供的济宁市兖州国家基本气象站迁建工程项目资金申请文件和兖州国家基本气象站建设经费支出情况，2019年申请资金650万元，建设经费累计支付6491356.6元，剩余额度：8643.4元，已全部收回，2020年申请资金630万元，建设经费累计支付6299497.44元，剩余额度：502.56元，2021年申请资金531.34万元，建设经费累计支付5313301.52元，剩余额度：98.48元，已全部收回。</w:t>
      </w:r>
    </w:p>
    <w:p>
      <w:pPr>
        <w:widowControl w:val="0"/>
        <w:overflowPunct w:val="0"/>
        <w:autoSpaceDE w:val="0"/>
        <w:autoSpaceDN w:val="0"/>
        <w:adjustRightInd w:val="0"/>
        <w:spacing w:line="600" w:lineRule="exact"/>
        <w:ind w:firstLine="640" w:firstLineChars="200"/>
        <w:textAlignment w:val="baseline"/>
        <w:outlineLvl w:val="0"/>
        <w:rPr>
          <w:rFonts w:hint="eastAsia" w:ascii="Times New Roman" w:hAnsi="Times New Roman" w:eastAsia="楷体" w:cs="Times New Roman"/>
          <w:b w:val="0"/>
          <w:kern w:val="0"/>
          <w:sz w:val="32"/>
          <w:szCs w:val="32"/>
          <w:lang w:val="en-US" w:eastAsia="zh-CN" w:bidi="ar-SA"/>
        </w:rPr>
      </w:pPr>
      <w:bookmarkStart w:id="89" w:name="_Toc28839"/>
      <w:r>
        <w:rPr>
          <w:rFonts w:hint="eastAsia" w:ascii="Times New Roman" w:hAnsi="Times New Roman" w:eastAsia="楷体" w:cs="Times New Roman"/>
          <w:b w:val="0"/>
          <w:kern w:val="0"/>
          <w:sz w:val="32"/>
          <w:szCs w:val="32"/>
          <w:lang w:val="en-US" w:eastAsia="zh-CN" w:bidi="ar-SA"/>
        </w:rPr>
        <w:t>（三）项目计划实施内容</w:t>
      </w:r>
      <w:bookmarkEnd w:id="89"/>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济宁市兖州国家基本气象站迁建工程项目按国家基本气象站标准建设，总投资约1905万元（追加工程预算后，项目投资由原批复金额1,905.00万元变更为2,079.39万元），拟新征用地面积39200平方米，约58.8亩，建筑面积为2508平方米，其中：业务用房1560平方米，附属用房816平方米；传达室40平方米，人工影响天气火箭弹药库及气溶胶观测站60平方米，发电机房16平方米，变压器房16平方米。配套建设气象观测站、道路、文体设施、停车、道路、绿化及给排水、网络、供配电、供暖、院墙、大门等公用工程和设施。项目主管部门按照内部职责、组织架构等开展严格的项目实施流程控制。</w:t>
      </w:r>
    </w:p>
    <w:p>
      <w:pPr>
        <w:widowControl w:val="0"/>
        <w:overflowPunct w:val="0"/>
        <w:autoSpaceDE w:val="0"/>
        <w:autoSpaceDN w:val="0"/>
        <w:adjustRightInd w:val="0"/>
        <w:spacing w:line="600" w:lineRule="exact"/>
        <w:ind w:firstLine="640" w:firstLineChars="200"/>
        <w:textAlignment w:val="baseline"/>
        <w:outlineLvl w:val="0"/>
        <w:rPr>
          <w:rFonts w:hint="eastAsia" w:ascii="Times New Roman" w:hAnsi="Times New Roman" w:eastAsia="楷体" w:cs="Times New Roman"/>
          <w:b w:val="0"/>
          <w:kern w:val="0"/>
          <w:sz w:val="32"/>
          <w:szCs w:val="32"/>
          <w:lang w:val="en-US" w:eastAsia="zh-CN" w:bidi="ar-SA"/>
        </w:rPr>
      </w:pPr>
      <w:bookmarkStart w:id="90" w:name="_Toc27650"/>
      <w:r>
        <w:rPr>
          <w:rFonts w:hint="eastAsia" w:ascii="Times New Roman" w:hAnsi="Times New Roman" w:eastAsia="楷体" w:cs="Times New Roman"/>
          <w:b w:val="0"/>
          <w:kern w:val="0"/>
          <w:sz w:val="32"/>
          <w:szCs w:val="32"/>
          <w:lang w:val="en-US" w:eastAsia="zh-CN" w:bidi="ar-SA"/>
        </w:rPr>
        <w:t>（四）项目组织管理</w:t>
      </w:r>
      <w:bookmarkEnd w:id="90"/>
    </w:p>
    <w:p>
      <w:pPr>
        <w:spacing w:line="600" w:lineRule="exact"/>
        <w:ind w:firstLine="540"/>
        <w:rPr>
          <w:rFonts w:hint="eastAsia" w:ascii="Times New Roman" w:hAnsi="Times New Roman" w:eastAsia="仿宋_GB2312" w:cs="Times New Roman"/>
          <w:kern w:val="0"/>
          <w:sz w:val="32"/>
          <w:szCs w:val="32"/>
          <w:lang w:val="en-US" w:eastAsia="zh-CN" w:bidi="ar-SA"/>
        </w:rPr>
      </w:pPr>
      <w:bookmarkStart w:id="91" w:name="_Toc18563"/>
      <w:r>
        <w:rPr>
          <w:rFonts w:hint="eastAsia" w:ascii="Times New Roman" w:hAnsi="Times New Roman" w:eastAsia="仿宋_GB2312" w:cs="Times New Roman"/>
          <w:kern w:val="0"/>
          <w:sz w:val="32"/>
          <w:szCs w:val="32"/>
          <w:lang w:val="en-US" w:eastAsia="zh-CN" w:bidi="ar-SA"/>
        </w:rPr>
        <w:t>1.项目的管理职责</w:t>
      </w:r>
      <w:bookmarkEnd w:id="91"/>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（1）项目建设领导小组职责</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按上级有关要求，积极落实各项工作；</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协调部门间工作关系；</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考察、评审、督促本项目建设方案；</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制定项目指导原则和项目相关政策；</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采取有效措施确保项目的顺利实施，实现项目目标。</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（2）项目建设办公室职责</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制定项目实施计划、制定和修改项目培训、项目管理、项目财务信息管理计划。</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根据领导小组指示，协调各方关系。</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组织实施管理各类项目业务会议，安排项目土建工程实施、设备采购、合同签订、财务结算。</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组织实施各类调查和经常性项目检查、监督，组织和安排评估和评价。</w:t>
      </w:r>
    </w:p>
    <w:p>
      <w:pPr>
        <w:spacing w:line="600" w:lineRule="exact"/>
        <w:ind w:firstLine="540"/>
        <w:rPr>
          <w:rFonts w:hint="eastAsia" w:ascii="Times New Roman" w:hAnsi="Times New Roman" w:eastAsia="仿宋_GB2312" w:cs="Times New Roman"/>
          <w:kern w:val="0"/>
          <w:sz w:val="32"/>
          <w:szCs w:val="32"/>
          <w:lang w:val="en-US" w:eastAsia="zh-CN" w:bidi="ar-SA"/>
        </w:rPr>
      </w:pPr>
      <w:bookmarkStart w:id="92" w:name="_Toc14776"/>
      <w:r>
        <w:rPr>
          <w:rFonts w:hint="eastAsia" w:ascii="Times New Roman" w:hAnsi="Times New Roman" w:eastAsia="仿宋_GB2312" w:cs="Times New Roman"/>
          <w:kern w:val="0"/>
          <w:sz w:val="32"/>
          <w:szCs w:val="32"/>
          <w:lang w:val="en-US" w:eastAsia="zh-CN" w:bidi="ar-SA"/>
        </w:rPr>
        <w:t>2.项目实施管理</w:t>
      </w:r>
      <w:bookmarkEnd w:id="92"/>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工程设计、建设、监理等均按照国家规定的方法进行招标。签订设计、建筑施工等合同，严格监督工程质量和检验设备质量，使工程保质保量按期完成。</w:t>
      </w:r>
    </w:p>
    <w:p>
      <w:pPr>
        <w:spacing w:line="600" w:lineRule="exact"/>
        <w:ind w:firstLine="540"/>
        <w:rPr>
          <w:rFonts w:hint="eastAsia" w:ascii="Times New Roman" w:hAnsi="Times New Roman" w:eastAsia="仿宋_GB2312" w:cs="Times New Roman"/>
          <w:kern w:val="0"/>
          <w:sz w:val="32"/>
          <w:szCs w:val="32"/>
          <w:lang w:val="en-US" w:eastAsia="zh-CN" w:bidi="ar-SA"/>
        </w:rPr>
      </w:pPr>
      <w:bookmarkStart w:id="93" w:name="_Toc10297"/>
      <w:r>
        <w:rPr>
          <w:rFonts w:hint="eastAsia" w:ascii="Times New Roman" w:hAnsi="Times New Roman" w:eastAsia="仿宋_GB2312" w:cs="Times New Roman"/>
          <w:kern w:val="0"/>
          <w:sz w:val="32"/>
          <w:szCs w:val="32"/>
          <w:lang w:val="en-US" w:eastAsia="zh-CN" w:bidi="ar-SA"/>
        </w:rPr>
        <w:t>3.项目资金管理</w:t>
      </w:r>
      <w:bookmarkEnd w:id="93"/>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（1）设立银行专户，切实使用好区财政资金，确保项目工作的顺利完成。</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（2）实行专款、专户、专用，严格执行财经纪律，严禁挪用、转移项目资金。</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（3）区项目办根据工程进度和施工管理、设计监督报告，按照合同约定分期付款。</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（4）委托审计部门定期对项目资金管理与使用情况进行审计。</w:t>
      </w:r>
    </w:p>
    <w:p>
      <w:pPr>
        <w:spacing w:line="600" w:lineRule="exact"/>
        <w:ind w:firstLine="540"/>
        <w:rPr>
          <w:rFonts w:hint="eastAsia" w:ascii="Times New Roman" w:hAnsi="Times New Roman" w:eastAsia="仿宋_GB2312" w:cs="Times New Roman"/>
          <w:kern w:val="0"/>
          <w:sz w:val="32"/>
          <w:szCs w:val="32"/>
          <w:lang w:val="en-US" w:eastAsia="zh-CN" w:bidi="ar-SA"/>
        </w:rPr>
      </w:pPr>
      <w:bookmarkStart w:id="94" w:name="_Toc16395"/>
      <w:r>
        <w:rPr>
          <w:rFonts w:hint="eastAsia" w:ascii="Times New Roman" w:hAnsi="Times New Roman" w:eastAsia="仿宋_GB2312" w:cs="Times New Roman"/>
          <w:kern w:val="0"/>
          <w:sz w:val="32"/>
          <w:szCs w:val="32"/>
          <w:lang w:val="en-US" w:eastAsia="zh-CN" w:bidi="ar-SA"/>
        </w:rPr>
        <w:t>4.项目监督</w:t>
      </w:r>
      <w:bookmarkEnd w:id="94"/>
    </w:p>
    <w:p>
      <w:pPr>
        <w:spacing w:line="600" w:lineRule="exact"/>
        <w:ind w:firstLine="540"/>
        <w:rPr>
          <w:lang w:val="en-US" w:eastAsia="zh-CN"/>
        </w:rPr>
      </w:pPr>
      <w:r>
        <w:rPr>
          <w:rFonts w:ascii="Times New Roman" w:hAnsi="Times New Roman" w:eastAsia="仿宋_GB2312" w:cs="Times New Roman"/>
          <w:kern w:val="0"/>
          <w:sz w:val="32"/>
          <w:szCs w:val="32"/>
          <w:lang w:val="en-US" w:eastAsia="zh-CN" w:bidi="ar-SA"/>
        </w:rPr>
        <w:t>项目建设领导小组负责成立项目监督评价管理小组，由建设领导小组成员中发改局、财政局、建设局、国土局、环保局等部门负责人及有关专家组成，按照项目所确定的目标、实施方案、实施计划、管理制度及国家有关规定进行监督与评价。</w:t>
      </w:r>
    </w:p>
    <w:p>
      <w:pPr>
        <w:widowControl w:val="0"/>
        <w:overflowPunct w:val="0"/>
        <w:autoSpaceDE w:val="0"/>
        <w:autoSpaceDN w:val="0"/>
        <w:adjustRightInd w:val="0"/>
        <w:spacing w:line="600" w:lineRule="exact"/>
        <w:ind w:firstLine="640" w:firstLineChars="200"/>
        <w:textAlignment w:val="baseline"/>
        <w:outlineLvl w:val="0"/>
        <w:rPr>
          <w:rFonts w:hint="eastAsia" w:eastAsia="黑体"/>
          <w:kern w:val="0"/>
          <w:sz w:val="32"/>
          <w:szCs w:val="32"/>
          <w:lang w:val="en-US" w:eastAsia="zh-CN"/>
        </w:rPr>
      </w:pPr>
      <w:bookmarkStart w:id="95" w:name="_Toc2146"/>
      <w:r>
        <w:rPr>
          <w:rFonts w:hint="eastAsia" w:eastAsia="黑体"/>
          <w:kern w:val="0"/>
          <w:sz w:val="32"/>
          <w:szCs w:val="32"/>
          <w:lang w:val="en-US" w:eastAsia="zh-CN"/>
        </w:rPr>
        <w:t>二、项目绩效目标</w:t>
      </w:r>
      <w:bookmarkEnd w:id="95"/>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绩效目标是建设项目库、编制预算、实施绩效监控、开展绩效评价等的重要基础和依据，指财政预算资金计划在一定期限内达到的产出和效果。其中，长期绩效目标是指预算资金在跨度多年的计划期内预期达到的产出和效果。年度绩效目标是指预算资金在一个预算年度内预期达到的产出和效果。</w:t>
      </w:r>
    </w:p>
    <w:p>
      <w:pPr>
        <w:widowControl w:val="0"/>
        <w:overflowPunct w:val="0"/>
        <w:autoSpaceDE w:val="0"/>
        <w:autoSpaceDN w:val="0"/>
        <w:adjustRightInd w:val="0"/>
        <w:spacing w:line="600" w:lineRule="exact"/>
        <w:ind w:firstLine="640" w:firstLineChars="200"/>
        <w:textAlignment w:val="baseline"/>
        <w:outlineLvl w:val="0"/>
        <w:rPr>
          <w:rFonts w:hint="eastAsia" w:ascii="Times New Roman" w:hAnsi="Times New Roman" w:eastAsia="楷体" w:cs="Times New Roman"/>
          <w:b w:val="0"/>
          <w:kern w:val="0"/>
          <w:sz w:val="32"/>
          <w:szCs w:val="32"/>
          <w:lang w:val="en-US" w:eastAsia="zh-CN" w:bidi="ar-SA"/>
        </w:rPr>
      </w:pPr>
      <w:bookmarkStart w:id="96" w:name="_Toc18791"/>
      <w:bookmarkStart w:id="97" w:name="_Toc21788"/>
      <w:r>
        <w:rPr>
          <w:rFonts w:hint="eastAsia" w:ascii="Times New Roman" w:hAnsi="Times New Roman" w:eastAsia="楷体" w:cs="Times New Roman"/>
          <w:b w:val="0"/>
          <w:kern w:val="0"/>
          <w:sz w:val="32"/>
          <w:szCs w:val="32"/>
          <w:lang w:val="en-US" w:eastAsia="zh-CN" w:bidi="ar-SA"/>
        </w:rPr>
        <w:t>（一）</w:t>
      </w:r>
      <w:bookmarkEnd w:id="96"/>
      <w:r>
        <w:rPr>
          <w:rFonts w:hint="eastAsia" w:ascii="Times New Roman" w:hAnsi="Times New Roman" w:eastAsia="楷体" w:cs="Times New Roman"/>
          <w:b w:val="0"/>
          <w:kern w:val="0"/>
          <w:sz w:val="32"/>
          <w:szCs w:val="32"/>
          <w:lang w:val="en-US" w:eastAsia="zh-CN" w:bidi="ar-SA"/>
        </w:rPr>
        <w:t>总体绩效目标</w:t>
      </w:r>
      <w:bookmarkEnd w:id="97"/>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保障地面气象观测业务正常的运行和通信网络的畅通，为天气预报预测提供准确、及时、连续的观测数据，为社会发展、防灾减灾提供准确及时的气象预报服务，取得巨大经济效益和社会效益。</w:t>
      </w:r>
    </w:p>
    <w:p>
      <w:pPr>
        <w:widowControl w:val="0"/>
        <w:overflowPunct w:val="0"/>
        <w:autoSpaceDE w:val="0"/>
        <w:autoSpaceDN w:val="0"/>
        <w:adjustRightInd w:val="0"/>
        <w:spacing w:line="600" w:lineRule="exact"/>
        <w:ind w:firstLine="640" w:firstLineChars="200"/>
        <w:textAlignment w:val="baseline"/>
        <w:outlineLvl w:val="0"/>
        <w:rPr>
          <w:rFonts w:hint="eastAsia" w:ascii="Times New Roman" w:hAnsi="Times New Roman" w:eastAsia="楷体" w:cs="Times New Roman"/>
          <w:b w:val="0"/>
          <w:kern w:val="0"/>
          <w:sz w:val="32"/>
          <w:szCs w:val="32"/>
          <w:lang w:val="en-US" w:eastAsia="zh-CN" w:bidi="ar-SA"/>
        </w:rPr>
      </w:pPr>
      <w:bookmarkStart w:id="98" w:name="_Toc30523"/>
      <w:bookmarkStart w:id="99" w:name="_Toc25037"/>
      <w:r>
        <w:rPr>
          <w:rFonts w:hint="eastAsia" w:ascii="Times New Roman" w:hAnsi="Times New Roman" w:eastAsia="楷体" w:cs="Times New Roman"/>
          <w:b w:val="0"/>
          <w:kern w:val="0"/>
          <w:sz w:val="32"/>
          <w:szCs w:val="32"/>
          <w:lang w:val="en-US" w:eastAsia="zh-CN" w:bidi="ar-SA"/>
        </w:rPr>
        <w:t>（二）</w:t>
      </w:r>
      <w:bookmarkEnd w:id="98"/>
      <w:r>
        <w:rPr>
          <w:rFonts w:hint="eastAsia" w:ascii="Times New Roman" w:hAnsi="Times New Roman" w:eastAsia="楷体" w:cs="Times New Roman"/>
          <w:b w:val="0"/>
          <w:kern w:val="0"/>
          <w:sz w:val="32"/>
          <w:szCs w:val="32"/>
          <w:lang w:val="en-US" w:eastAsia="zh-CN" w:bidi="ar-SA"/>
        </w:rPr>
        <w:t>年度绩效目标</w:t>
      </w:r>
      <w:bookmarkEnd w:id="99"/>
    </w:p>
    <w:p>
      <w:pPr>
        <w:spacing w:line="600" w:lineRule="exact"/>
        <w:ind w:firstLine="540"/>
        <w:rPr>
          <w:lang w:val="en-US" w:eastAsia="zh-CN"/>
        </w:rPr>
      </w:pPr>
      <w:bookmarkStart w:id="100" w:name="_Toc19136_WPSOffice_Level1"/>
      <w:bookmarkStart w:id="101" w:name="_Toc25650492"/>
      <w:bookmarkStart w:id="102" w:name="_Toc24311768"/>
      <w:bookmarkStart w:id="103" w:name="_Toc24374848"/>
      <w:bookmarkStart w:id="104" w:name="_Toc24374207"/>
      <w:r>
        <w:rPr>
          <w:rFonts w:ascii="Times New Roman" w:hAnsi="Times New Roman" w:eastAsia="仿宋_GB2312" w:cs="Times New Roman"/>
          <w:kern w:val="0"/>
          <w:sz w:val="32"/>
          <w:szCs w:val="32"/>
          <w:lang w:val="en-US" w:eastAsia="zh-CN" w:bidi="ar-SA"/>
        </w:rPr>
        <w:t>保障各类地面气象观测系统地、连续地进行，满足规范规定的准确度要求，提供及时有效的观测数据，为天气预报、气象信息、气候分析、科学研究和气象服务提供重要的依据。</w:t>
      </w:r>
    </w:p>
    <w:p>
      <w:pPr>
        <w:widowControl w:val="0"/>
        <w:overflowPunct w:val="0"/>
        <w:autoSpaceDE w:val="0"/>
        <w:autoSpaceDN w:val="0"/>
        <w:adjustRightInd w:val="0"/>
        <w:spacing w:line="600" w:lineRule="exact"/>
        <w:ind w:firstLine="640" w:firstLineChars="200"/>
        <w:textAlignment w:val="baseline"/>
        <w:outlineLvl w:val="0"/>
        <w:rPr>
          <w:rFonts w:hint="eastAsia" w:eastAsia="黑体"/>
          <w:kern w:val="0"/>
          <w:sz w:val="32"/>
          <w:szCs w:val="32"/>
          <w:lang w:val="zh-CN" w:eastAsia="zh-CN"/>
        </w:rPr>
      </w:pPr>
      <w:bookmarkStart w:id="105" w:name="_Toc6606"/>
      <w:r>
        <w:rPr>
          <w:rFonts w:hint="eastAsia" w:eastAsia="黑体"/>
          <w:kern w:val="0"/>
          <w:sz w:val="32"/>
          <w:szCs w:val="32"/>
          <w:lang w:val="zh-CN" w:eastAsia="zh-CN"/>
        </w:rPr>
        <w:t>三、</w:t>
      </w:r>
      <w:bookmarkEnd w:id="100"/>
      <w:bookmarkEnd w:id="101"/>
      <w:bookmarkEnd w:id="102"/>
      <w:bookmarkEnd w:id="103"/>
      <w:bookmarkEnd w:id="104"/>
      <w:r>
        <w:rPr>
          <w:rFonts w:hint="eastAsia" w:eastAsia="黑体"/>
          <w:kern w:val="0"/>
          <w:sz w:val="32"/>
          <w:szCs w:val="32"/>
          <w:lang w:val="en-US" w:eastAsia="zh-CN"/>
        </w:rPr>
        <w:t>评价基本情况</w:t>
      </w:r>
      <w:bookmarkEnd w:id="105"/>
    </w:p>
    <w:p>
      <w:pPr>
        <w:widowControl w:val="0"/>
        <w:overflowPunct w:val="0"/>
        <w:autoSpaceDE w:val="0"/>
        <w:autoSpaceDN w:val="0"/>
        <w:adjustRightInd w:val="0"/>
        <w:spacing w:line="600" w:lineRule="exact"/>
        <w:ind w:firstLine="640" w:firstLineChars="200"/>
        <w:textAlignment w:val="baseline"/>
        <w:outlineLvl w:val="0"/>
        <w:rPr>
          <w:rFonts w:hint="eastAsia" w:ascii="Times New Roman" w:hAnsi="Times New Roman" w:eastAsia="楷体" w:cs="Times New Roman"/>
          <w:b w:val="0"/>
          <w:kern w:val="0"/>
          <w:sz w:val="32"/>
          <w:szCs w:val="32"/>
          <w:lang w:val="en-US" w:eastAsia="zh-CN" w:bidi="ar-SA"/>
        </w:rPr>
      </w:pPr>
      <w:bookmarkStart w:id="106" w:name="_Toc24374849"/>
      <w:bookmarkStart w:id="107" w:name="_Toc24374208"/>
      <w:bookmarkStart w:id="108" w:name="_Toc25650493"/>
      <w:bookmarkStart w:id="109" w:name="_Toc29561"/>
      <w:bookmarkStart w:id="110" w:name="_Toc25495_WPSOffice_Level2"/>
      <w:r>
        <w:rPr>
          <w:rFonts w:hint="eastAsia" w:ascii="Times New Roman" w:hAnsi="Times New Roman" w:eastAsia="楷体" w:cs="Times New Roman"/>
          <w:b w:val="0"/>
          <w:kern w:val="0"/>
          <w:sz w:val="32"/>
          <w:szCs w:val="32"/>
          <w:lang w:val="en-US" w:eastAsia="zh-CN" w:bidi="ar-SA"/>
        </w:rPr>
        <w:t>（一）评价目的</w:t>
      </w:r>
      <w:bookmarkEnd w:id="106"/>
      <w:bookmarkEnd w:id="107"/>
      <w:bookmarkEnd w:id="108"/>
      <w:bookmarkEnd w:id="109"/>
    </w:p>
    <w:p>
      <w:pPr>
        <w:spacing w:line="600" w:lineRule="exact"/>
        <w:ind w:firstLine="540"/>
        <w:rPr>
          <w:rFonts w:ascii="Times New Roman" w:hAnsi="Times New Roman" w:eastAsia="仿宋_GB2312" w:cs="Times New Roman"/>
          <w:kern w:val="0"/>
          <w:sz w:val="32"/>
          <w:szCs w:val="32"/>
          <w:lang w:val="en-US" w:eastAsia="zh-CN" w:bidi="ar-SA"/>
        </w:rPr>
      </w:pPr>
      <w:bookmarkStart w:id="111" w:name="_Toc25650494"/>
      <w:bookmarkStart w:id="112" w:name="_Toc24374209"/>
      <w:bookmarkStart w:id="113" w:name="_Toc24374850"/>
      <w:r>
        <w:rPr>
          <w:rFonts w:ascii="Times New Roman" w:hAnsi="Times New Roman" w:eastAsia="仿宋_GB2312" w:cs="Times New Roman"/>
          <w:kern w:val="0"/>
          <w:sz w:val="32"/>
          <w:szCs w:val="32"/>
          <w:lang w:val="en-US" w:eastAsia="zh-CN" w:bidi="ar-SA"/>
        </w:rPr>
        <w:t>通过对济宁市兖州国家基本气象站迁建工程项目的分析，从决策、过程、产出和效益四个方面进行客观、公正的评价，总结项目实施过程中的经验，发现问题，提出建议，进一步加强项目管理，提高财政资金的使用效益，为下一步预算安排提供重要参考。同时，通过实施本次评价，树立以结果为导向、讲求绩效的观念，为绩效评价工作流程和方式方法提供参考案例。</w:t>
      </w:r>
    </w:p>
    <w:p>
      <w:pPr>
        <w:widowControl w:val="0"/>
        <w:overflowPunct w:val="0"/>
        <w:autoSpaceDE w:val="0"/>
        <w:autoSpaceDN w:val="0"/>
        <w:adjustRightInd w:val="0"/>
        <w:spacing w:line="600" w:lineRule="exact"/>
        <w:ind w:firstLine="640" w:firstLineChars="200"/>
        <w:textAlignment w:val="baseline"/>
        <w:outlineLvl w:val="0"/>
        <w:rPr>
          <w:rFonts w:hint="eastAsia" w:ascii="Times New Roman" w:hAnsi="Times New Roman" w:eastAsia="楷体" w:cs="Times New Roman"/>
          <w:b w:val="0"/>
          <w:kern w:val="0"/>
          <w:sz w:val="32"/>
          <w:szCs w:val="32"/>
          <w:lang w:val="en-US" w:eastAsia="zh-CN" w:bidi="ar-SA"/>
        </w:rPr>
      </w:pPr>
      <w:bookmarkStart w:id="114" w:name="_Toc19874"/>
      <w:r>
        <w:rPr>
          <w:rFonts w:hint="eastAsia" w:ascii="Times New Roman" w:hAnsi="Times New Roman" w:eastAsia="楷体" w:cs="Times New Roman"/>
          <w:b w:val="0"/>
          <w:kern w:val="0"/>
          <w:sz w:val="32"/>
          <w:szCs w:val="32"/>
          <w:lang w:val="en-US" w:eastAsia="zh-CN" w:bidi="ar-SA"/>
        </w:rPr>
        <w:t>（二）评价对象</w:t>
      </w:r>
      <w:bookmarkEnd w:id="110"/>
      <w:bookmarkEnd w:id="111"/>
      <w:bookmarkEnd w:id="112"/>
      <w:bookmarkEnd w:id="113"/>
      <w:r>
        <w:rPr>
          <w:rFonts w:hint="eastAsia" w:ascii="Times New Roman" w:hAnsi="Times New Roman" w:eastAsia="楷体" w:cs="Times New Roman"/>
          <w:b w:val="0"/>
          <w:kern w:val="0"/>
          <w:sz w:val="32"/>
          <w:szCs w:val="32"/>
          <w:lang w:val="en-US" w:eastAsia="zh-CN" w:bidi="ar-SA"/>
        </w:rPr>
        <w:t>与范围</w:t>
      </w:r>
      <w:bookmarkEnd w:id="114"/>
    </w:p>
    <w:p>
      <w:pPr>
        <w:spacing w:line="600" w:lineRule="exact"/>
        <w:ind w:firstLine="540"/>
        <w:rPr>
          <w:rFonts w:ascii="Times New Roman" w:hAnsi="Times New Roman" w:eastAsia="仿宋_GB2312" w:cs="Times New Roman"/>
          <w:kern w:val="0"/>
          <w:sz w:val="32"/>
          <w:szCs w:val="32"/>
          <w:lang w:val="en-US" w:eastAsia="zh-CN" w:bidi="ar-SA"/>
        </w:rPr>
      </w:pPr>
      <w:bookmarkStart w:id="115" w:name="_Toc9029_WPSOffice_Level2"/>
      <w:bookmarkStart w:id="116" w:name="_Toc24374851"/>
      <w:bookmarkStart w:id="117" w:name="_Toc25650497"/>
      <w:bookmarkStart w:id="118" w:name="_Toc24374210"/>
      <w:r>
        <w:rPr>
          <w:rFonts w:ascii="Times New Roman" w:hAnsi="Times New Roman" w:eastAsia="仿宋_GB2312" w:cs="Times New Roman"/>
          <w:kern w:val="0"/>
          <w:sz w:val="32"/>
          <w:szCs w:val="32"/>
          <w:lang w:val="en-US" w:eastAsia="zh-CN" w:bidi="ar-SA"/>
        </w:rPr>
        <w:t>1.评价对象：济宁市兖州国家基本气象站迁建工程项目资金的使用绩效。</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2.评价范围：本报告评价范围为济宁市兖州国家基本气象站迁建工程项目2019-2021年资金的执行情况。评价基准日为2021年12月31日。</w:t>
      </w:r>
    </w:p>
    <w:p>
      <w:pPr>
        <w:widowControl w:val="0"/>
        <w:overflowPunct w:val="0"/>
        <w:autoSpaceDE w:val="0"/>
        <w:autoSpaceDN w:val="0"/>
        <w:adjustRightInd w:val="0"/>
        <w:spacing w:line="600" w:lineRule="exact"/>
        <w:ind w:firstLine="640" w:firstLineChars="200"/>
        <w:textAlignment w:val="baseline"/>
        <w:outlineLvl w:val="0"/>
        <w:rPr>
          <w:rFonts w:hint="eastAsia" w:ascii="Times New Roman" w:hAnsi="Times New Roman" w:eastAsia="楷体" w:cs="Times New Roman"/>
          <w:b w:val="0"/>
          <w:kern w:val="0"/>
          <w:sz w:val="32"/>
          <w:szCs w:val="32"/>
          <w:lang w:val="en-US" w:eastAsia="zh-CN" w:bidi="ar-SA"/>
        </w:rPr>
      </w:pPr>
      <w:bookmarkStart w:id="119" w:name="_Toc1308"/>
      <w:r>
        <w:rPr>
          <w:rFonts w:hint="eastAsia" w:ascii="Times New Roman" w:hAnsi="Times New Roman" w:eastAsia="楷体" w:cs="Times New Roman"/>
          <w:b w:val="0"/>
          <w:kern w:val="0"/>
          <w:sz w:val="32"/>
          <w:szCs w:val="32"/>
          <w:lang w:val="en-US" w:eastAsia="zh-CN" w:bidi="ar-SA"/>
        </w:rPr>
        <w:t>（三）评价依据</w:t>
      </w:r>
      <w:bookmarkEnd w:id="115"/>
      <w:bookmarkEnd w:id="116"/>
      <w:bookmarkEnd w:id="117"/>
      <w:bookmarkEnd w:id="118"/>
      <w:bookmarkEnd w:id="119"/>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按照科学、规范、客观、公正的原则，全面分析和综合评价</w:t>
      </w:r>
      <w:r>
        <w:rPr>
          <w:rFonts w:hint="eastAsia" w:ascii="Times New Roman" w:hAnsi="Times New Roman" w:eastAsia="仿宋_GB2312" w:cs="Times New Roman"/>
          <w:kern w:val="0"/>
          <w:sz w:val="32"/>
          <w:szCs w:val="32"/>
          <w:lang w:val="en-US" w:eastAsia="zh-CN" w:bidi="ar-SA"/>
        </w:rPr>
        <w:t>兖州区气象局迁建（2019-2021年）项目</w:t>
      </w:r>
      <w:r>
        <w:rPr>
          <w:rFonts w:ascii="Times New Roman" w:hAnsi="Times New Roman" w:eastAsia="仿宋_GB2312" w:cs="Times New Roman"/>
          <w:kern w:val="0"/>
          <w:sz w:val="32"/>
          <w:szCs w:val="32"/>
          <w:lang w:val="en-US" w:eastAsia="zh-CN" w:bidi="ar-SA"/>
        </w:rPr>
        <w:t>的</w:t>
      </w:r>
      <w:r>
        <w:rPr>
          <w:rFonts w:hint="eastAsia" w:eastAsia="仿宋_GB2312" w:cs="Times New Roman"/>
          <w:kern w:val="0"/>
          <w:sz w:val="32"/>
          <w:szCs w:val="32"/>
          <w:lang w:val="en-US" w:eastAsia="zh-CN" w:bidi="ar-SA"/>
        </w:rPr>
        <w:t>实施</w:t>
      </w:r>
      <w:r>
        <w:rPr>
          <w:rFonts w:ascii="Times New Roman" w:hAnsi="Times New Roman" w:eastAsia="仿宋_GB2312" w:cs="Times New Roman"/>
          <w:kern w:val="0"/>
          <w:sz w:val="32"/>
          <w:szCs w:val="32"/>
          <w:lang w:val="en-US" w:eastAsia="zh-CN" w:bidi="ar-SA"/>
        </w:rPr>
        <w:t>情况，对照相关法律法规，评价财政资金支付的质量和成效，科学系统评估财政资金的社会效益和可持续影响，为后续财政资金的投入提供参考依据。本次绩效评价的主要依据包括：</w:t>
      </w:r>
      <w:bookmarkStart w:id="120" w:name="_Toc24374213"/>
      <w:bookmarkStart w:id="121" w:name="_Toc25885_WPSOffice_Level2"/>
      <w:bookmarkStart w:id="122" w:name="_Toc24374854"/>
      <w:bookmarkStart w:id="123" w:name="_Toc25650500"/>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1.《关于印发&lt;项目支出绩效评价管理办法&gt;的通知》（财预〔2020〕10号）；</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2.中共山东省委山东省人民政府关于全面推进预算绩效管理的实施意见（鲁发〔2019〕2号）；</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3.《关于印发&lt;预算绩效评价共性指标体系框架&gt;的通知》（财预〔2013〕53号）；</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4.山东省财政厅关于印发《山东省省级项目支出绩效单位自评工作规程》和《山东省省级项目支出绩效财政评价和部门评价工作规程》的通知（鲁财绩〔2020〕4 号）；</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5.《关于印发山东省省级预算支出项目第三方绩效评价工作规程（试行）的通知》（鲁财绩〔2018〕7号）；</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6.其他相关资料。</w:t>
      </w:r>
    </w:p>
    <w:p>
      <w:pPr>
        <w:widowControl w:val="0"/>
        <w:overflowPunct w:val="0"/>
        <w:autoSpaceDE w:val="0"/>
        <w:autoSpaceDN w:val="0"/>
        <w:adjustRightInd w:val="0"/>
        <w:spacing w:line="600" w:lineRule="exact"/>
        <w:ind w:firstLine="640" w:firstLineChars="200"/>
        <w:textAlignment w:val="baseline"/>
        <w:outlineLvl w:val="0"/>
        <w:rPr>
          <w:rFonts w:hint="eastAsia" w:ascii="Times New Roman" w:hAnsi="Times New Roman" w:eastAsia="楷体" w:cs="Times New Roman"/>
          <w:b w:val="0"/>
          <w:kern w:val="0"/>
          <w:sz w:val="32"/>
          <w:szCs w:val="32"/>
          <w:lang w:val="en-US" w:eastAsia="zh-CN" w:bidi="ar-SA"/>
        </w:rPr>
      </w:pPr>
      <w:bookmarkStart w:id="124" w:name="_Toc23159"/>
      <w:r>
        <w:rPr>
          <w:rFonts w:hint="eastAsia" w:ascii="Times New Roman" w:hAnsi="Times New Roman" w:eastAsia="楷体" w:cs="Times New Roman"/>
          <w:b w:val="0"/>
          <w:kern w:val="0"/>
          <w:sz w:val="32"/>
          <w:szCs w:val="32"/>
          <w:lang w:val="en-US" w:eastAsia="zh-CN" w:bidi="ar-SA"/>
        </w:rPr>
        <w:t>（四）</w:t>
      </w:r>
      <w:bookmarkEnd w:id="120"/>
      <w:bookmarkEnd w:id="121"/>
      <w:bookmarkEnd w:id="122"/>
      <w:bookmarkEnd w:id="123"/>
      <w:r>
        <w:rPr>
          <w:rFonts w:hint="eastAsia" w:ascii="Times New Roman" w:hAnsi="Times New Roman" w:eastAsia="楷体" w:cs="Times New Roman"/>
          <w:b w:val="0"/>
          <w:kern w:val="0"/>
          <w:sz w:val="32"/>
          <w:szCs w:val="32"/>
          <w:lang w:val="en-US" w:eastAsia="zh-CN" w:bidi="ar-SA"/>
        </w:rPr>
        <w:t>评价原则、评价方法</w:t>
      </w:r>
      <w:bookmarkEnd w:id="124"/>
    </w:p>
    <w:p>
      <w:pPr>
        <w:pStyle w:val="6"/>
        <w:spacing w:line="600" w:lineRule="exact"/>
        <w:ind w:firstLine="562"/>
        <w:rPr>
          <w:rFonts w:hint="eastAsia" w:ascii="Times New Roman" w:hAnsi="Times New Roman" w:eastAsia="仿宋_GB2312" w:cs="Times New Roman"/>
          <w:b w:val="0"/>
          <w:kern w:val="0"/>
          <w:sz w:val="32"/>
          <w:szCs w:val="32"/>
          <w:lang w:val="en-US" w:eastAsia="zh-CN" w:bidi="ar-SA"/>
        </w:rPr>
      </w:pPr>
      <w:bookmarkStart w:id="125" w:name="_Toc11694_WPSOffice_Level3"/>
      <w:bookmarkStart w:id="126" w:name="_Toc15868"/>
      <w:bookmarkStart w:id="127" w:name="_Toc21979"/>
      <w:bookmarkStart w:id="128" w:name="_Toc27571595"/>
      <w:bookmarkStart w:id="129" w:name="_Toc28005408"/>
      <w:bookmarkStart w:id="130" w:name="_Toc18840"/>
      <w:bookmarkStart w:id="131" w:name="_Toc28180160"/>
      <w:bookmarkStart w:id="132" w:name="_Toc5352"/>
      <w:bookmarkStart w:id="133" w:name="_Toc25650501"/>
      <w:bookmarkStart w:id="134" w:name="_Toc28279525"/>
      <w:r>
        <w:rPr>
          <w:rFonts w:hint="eastAsia" w:ascii="Times New Roman" w:hAnsi="Times New Roman" w:eastAsia="仿宋_GB2312" w:cs="Times New Roman"/>
          <w:b w:val="0"/>
          <w:kern w:val="0"/>
          <w:sz w:val="32"/>
          <w:szCs w:val="32"/>
          <w:lang w:val="en-US" w:eastAsia="zh-CN" w:bidi="ar-SA"/>
        </w:rPr>
        <w:t>1.指标设计总体思路</w:t>
      </w:r>
      <w:bookmarkEnd w:id="125"/>
      <w:bookmarkEnd w:id="126"/>
      <w:bookmarkEnd w:id="127"/>
      <w:bookmarkEnd w:id="128"/>
      <w:bookmarkEnd w:id="129"/>
      <w:bookmarkEnd w:id="130"/>
      <w:bookmarkEnd w:id="131"/>
      <w:bookmarkEnd w:id="132"/>
      <w:bookmarkEnd w:id="133"/>
      <w:bookmarkEnd w:id="134"/>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根据本次评价项目属性和特点等项目的实际情况，结合《关于印发&lt;预算绩效评价共性指标体系框架&gt;的通知》（财预〔2013〕53号）和《财政部关于印发&lt;财政支出绩效评价管理暂行办法&gt;的通知》（财预〔2011〕285号）等文件，参照省财政厅预算绩效管理处印发的《财政重点项目第三方绩效评价组织实施工作流程》等文件政策的要求，结合项目的具体情况，形成兖州区气象局迁建（2019-2021年）项目绩效评价指标体系。</w:t>
      </w:r>
    </w:p>
    <w:p>
      <w:pPr>
        <w:pStyle w:val="6"/>
        <w:spacing w:line="600" w:lineRule="exact"/>
        <w:ind w:firstLine="562"/>
        <w:rPr>
          <w:rFonts w:hint="eastAsia" w:ascii="Times New Roman" w:hAnsi="Times New Roman" w:eastAsia="仿宋_GB2312" w:cs="Times New Roman"/>
          <w:b w:val="0"/>
          <w:kern w:val="0"/>
          <w:sz w:val="32"/>
          <w:szCs w:val="32"/>
          <w:lang w:val="en-US" w:eastAsia="zh-CN" w:bidi="ar-SA"/>
        </w:rPr>
      </w:pPr>
      <w:bookmarkStart w:id="135" w:name="_Toc25650502"/>
      <w:bookmarkStart w:id="136" w:name="_Toc9184"/>
      <w:bookmarkStart w:id="137" w:name="_Toc28279526"/>
      <w:bookmarkStart w:id="138" w:name="_Toc21558"/>
      <w:bookmarkStart w:id="139" w:name="_Toc18244"/>
      <w:bookmarkStart w:id="140" w:name="_Toc5281"/>
      <w:bookmarkStart w:id="141" w:name="_Toc28005409"/>
      <w:bookmarkStart w:id="142" w:name="_Toc27571596"/>
      <w:bookmarkStart w:id="143" w:name="_Toc28180161"/>
      <w:bookmarkStart w:id="144" w:name="_Toc31775_WPSOffice_Level3"/>
      <w:r>
        <w:rPr>
          <w:rFonts w:hint="eastAsia" w:ascii="Times New Roman" w:hAnsi="Times New Roman" w:eastAsia="仿宋_GB2312" w:cs="Times New Roman"/>
          <w:b w:val="0"/>
          <w:kern w:val="0"/>
          <w:sz w:val="32"/>
          <w:szCs w:val="32"/>
          <w:lang w:val="en-US" w:eastAsia="zh-CN" w:bidi="ar-SA"/>
        </w:rPr>
        <w:t>2.绩效评价指标的确定原则</w:t>
      </w:r>
      <w:bookmarkEnd w:id="135"/>
      <w:bookmarkEnd w:id="136"/>
      <w:bookmarkEnd w:id="137"/>
      <w:bookmarkEnd w:id="138"/>
      <w:bookmarkEnd w:id="139"/>
      <w:bookmarkEnd w:id="140"/>
      <w:bookmarkEnd w:id="141"/>
      <w:bookmarkEnd w:id="142"/>
      <w:bookmarkEnd w:id="143"/>
      <w:bookmarkEnd w:id="144"/>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（1）相关性原则。应当与绩效目标有直接的联系，能够恰当反映目标的实现程度。</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（2）重要性原则。应当优先使用最具评价对象代表性、最能反映评价要求的核心指标。</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（3）可比性原则。对同类评价对象要设定共性的绩效评价指标，以便于评价结果可以相互比较。</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（4）系统性原则。应当将定量指标与定性指标相结合，系统反映财政支出所产生的社会效益、经济效益、环境效益和可持续影响等。</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（5）经济性原则。应当通俗易懂、简便易行，数据的获得应当考虑现实条件和可操作性，符合成本效益原则。</w:t>
      </w:r>
    </w:p>
    <w:p>
      <w:pPr>
        <w:widowControl w:val="0"/>
        <w:overflowPunct w:val="0"/>
        <w:autoSpaceDE w:val="0"/>
        <w:autoSpaceDN w:val="0"/>
        <w:adjustRightInd w:val="0"/>
        <w:spacing w:line="600" w:lineRule="exact"/>
        <w:ind w:firstLine="640" w:firstLineChars="200"/>
        <w:textAlignment w:val="baseline"/>
        <w:outlineLvl w:val="0"/>
        <w:rPr>
          <w:rFonts w:hint="default" w:ascii="Times New Roman" w:hAnsi="Times New Roman" w:eastAsia="楷体" w:cs="Times New Roman"/>
          <w:b w:val="0"/>
          <w:kern w:val="0"/>
          <w:sz w:val="32"/>
          <w:szCs w:val="32"/>
          <w:lang w:val="en-US" w:eastAsia="zh-CN" w:bidi="ar-SA"/>
        </w:rPr>
      </w:pPr>
      <w:bookmarkStart w:id="145" w:name="_Toc27571597"/>
      <w:bookmarkStart w:id="146" w:name="_Toc28180162"/>
      <w:bookmarkStart w:id="147" w:name="_Toc15188"/>
      <w:bookmarkStart w:id="148" w:name="_Toc28005410"/>
      <w:bookmarkStart w:id="149" w:name="_Toc28279527"/>
      <w:bookmarkStart w:id="150" w:name="_Toc9187"/>
      <w:bookmarkStart w:id="151" w:name="_Toc6924"/>
      <w:bookmarkStart w:id="152" w:name="_Toc20305"/>
      <w:r>
        <w:rPr>
          <w:rFonts w:hint="eastAsia" w:ascii="Times New Roman" w:hAnsi="Times New Roman" w:eastAsia="楷体" w:cs="Times New Roman"/>
          <w:b w:val="0"/>
          <w:kern w:val="0"/>
          <w:sz w:val="32"/>
          <w:szCs w:val="32"/>
          <w:lang w:val="en-US" w:eastAsia="zh-CN" w:bidi="ar-SA"/>
        </w:rPr>
        <w:t>（五）</w:t>
      </w:r>
      <w:bookmarkEnd w:id="145"/>
      <w:bookmarkEnd w:id="146"/>
      <w:bookmarkEnd w:id="147"/>
      <w:bookmarkEnd w:id="148"/>
      <w:bookmarkEnd w:id="149"/>
      <w:bookmarkEnd w:id="150"/>
      <w:r>
        <w:rPr>
          <w:rFonts w:hint="eastAsia" w:ascii="Times New Roman" w:hAnsi="Times New Roman" w:eastAsia="楷体" w:cs="Times New Roman"/>
          <w:b w:val="0"/>
          <w:kern w:val="0"/>
          <w:sz w:val="32"/>
          <w:szCs w:val="32"/>
          <w:lang w:val="en-US" w:eastAsia="zh-CN" w:bidi="ar-SA"/>
        </w:rPr>
        <w:t>绩效评价指标体系</w:t>
      </w:r>
      <w:bookmarkEnd w:id="151"/>
      <w:bookmarkEnd w:id="152"/>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本次绩效评价指标总标准分值为100分，根据项目特点，绩效评价指标体系共设立了三级指标。根据分值与指标的重要性要密切相关的原则，先分别对决策、过程、产出、效益设定分值，再在决策、过程、产出、效益设定分值内根据重要程度对三级指标确定分值。前述评价指标体系包括：指标内容、指标解释、指标说明及评价标准。</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详见本报告附录1：《兖州区气象局迁建（2019-2021年）项目绩效评价指标体系》。</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本次绩效评价综合绩效级别根据山东省财政厅印发的《山东省省级预算支出项目第三方绩效评价工作规程（试行）》相关规定确定，综合绩效级别分为4个等级：</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（1）综合得分90-100分（含90分）为优；</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（2）综合得分80—89分（含80分）为良；</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（3）综合得分60-79分（含60分）为中；</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（4）综合得分60分以下为差。</w:t>
      </w:r>
    </w:p>
    <w:p>
      <w:pPr>
        <w:widowControl w:val="0"/>
        <w:overflowPunct w:val="0"/>
        <w:autoSpaceDE w:val="0"/>
        <w:autoSpaceDN w:val="0"/>
        <w:adjustRightInd w:val="0"/>
        <w:spacing w:line="600" w:lineRule="exact"/>
        <w:ind w:firstLine="640" w:firstLineChars="200"/>
        <w:textAlignment w:val="baseline"/>
        <w:outlineLvl w:val="0"/>
        <w:rPr>
          <w:rFonts w:hint="eastAsia" w:ascii="Times New Roman" w:hAnsi="Times New Roman" w:eastAsia="楷体" w:cs="Times New Roman"/>
          <w:b w:val="0"/>
          <w:kern w:val="0"/>
          <w:sz w:val="32"/>
          <w:szCs w:val="32"/>
          <w:lang w:val="en-US" w:eastAsia="zh-CN" w:bidi="ar-SA"/>
        </w:rPr>
      </w:pPr>
      <w:bookmarkStart w:id="153" w:name="_Toc27018"/>
      <w:bookmarkStart w:id="154" w:name="_Toc5647"/>
      <w:bookmarkStart w:id="155" w:name="_Toc31117"/>
      <w:bookmarkStart w:id="156" w:name="_Toc4616"/>
      <w:bookmarkStart w:id="157" w:name="_Toc13428"/>
      <w:bookmarkStart w:id="158" w:name="_Toc11183"/>
      <w:bookmarkStart w:id="159" w:name="_Toc10480"/>
      <w:bookmarkStart w:id="160" w:name="_Toc19028"/>
      <w:bookmarkStart w:id="161" w:name="_Toc24279744"/>
      <w:bookmarkStart w:id="162" w:name="_Toc2971"/>
      <w:r>
        <w:rPr>
          <w:rFonts w:hint="eastAsia" w:ascii="Times New Roman" w:hAnsi="Times New Roman" w:eastAsia="楷体" w:cs="Times New Roman"/>
          <w:b w:val="0"/>
          <w:kern w:val="0"/>
          <w:sz w:val="32"/>
          <w:szCs w:val="32"/>
          <w:lang w:val="en-US" w:eastAsia="zh-CN" w:bidi="ar-SA"/>
        </w:rPr>
        <w:t>（六）评价人员组成</w:t>
      </w:r>
      <w:bookmarkEnd w:id="153"/>
      <w:bookmarkEnd w:id="154"/>
      <w:bookmarkEnd w:id="155"/>
      <w:bookmarkEnd w:id="156"/>
      <w:bookmarkEnd w:id="157"/>
      <w:bookmarkEnd w:id="158"/>
      <w:bookmarkEnd w:id="159"/>
      <w:bookmarkEnd w:id="160"/>
      <w:bookmarkEnd w:id="161"/>
      <w:bookmarkEnd w:id="162"/>
    </w:p>
    <w:p>
      <w:pPr>
        <w:spacing w:line="600" w:lineRule="exact"/>
        <w:ind w:firstLine="540"/>
        <w:rPr>
          <w:rFonts w:hint="eastAsia"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受济宁市兖州区财政局委托，山东德睿融投资咨询有限公司对2021年度济宁市兖州区</w:t>
      </w:r>
      <w:r>
        <w:rPr>
          <w:rFonts w:hint="eastAsia" w:ascii="Times New Roman" w:hAnsi="Times New Roman" w:eastAsia="仿宋_GB2312" w:cs="Times New Roman"/>
          <w:kern w:val="0"/>
          <w:sz w:val="32"/>
          <w:szCs w:val="32"/>
          <w:lang w:val="en-US" w:eastAsia="zh-CN" w:bidi="ar-SA"/>
        </w:rPr>
        <w:t>气象局迁建</w:t>
      </w:r>
      <w:r>
        <w:rPr>
          <w:rFonts w:ascii="Times New Roman" w:hAnsi="Times New Roman" w:eastAsia="仿宋_GB2312" w:cs="Times New Roman"/>
          <w:kern w:val="0"/>
          <w:sz w:val="32"/>
          <w:szCs w:val="32"/>
          <w:lang w:val="en-US" w:eastAsia="zh-CN" w:bidi="ar-SA"/>
        </w:rPr>
        <w:t>项目进行绩效评价。评价相关方涉及委托方、主管部门和评价机构三方的相关人员，评价机构人员构成及职责见下表</w:t>
      </w:r>
      <w:r>
        <w:rPr>
          <w:rFonts w:hint="eastAsia" w:eastAsia="仿宋_GB2312" w:cs="Times New Roman"/>
          <w:kern w:val="0"/>
          <w:sz w:val="32"/>
          <w:szCs w:val="32"/>
          <w:lang w:val="en-US" w:eastAsia="zh-CN" w:bidi="ar-SA"/>
        </w:rPr>
        <w:t>1：</w:t>
      </w:r>
    </w:p>
    <w:p>
      <w:pPr>
        <w:pStyle w:val="2"/>
        <w:rPr>
          <w:lang w:val="en-US" w:eastAsia="zh-CN"/>
        </w:rPr>
      </w:pPr>
    </w:p>
    <w:p>
      <w:pPr>
        <w:ind w:left="0" w:leftChars="0" w:firstLine="0" w:firstLineChars="0"/>
        <w:jc w:val="center"/>
        <w:rPr>
          <w:rFonts w:hint="eastAsia"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rPr>
        <w:t>表</w:t>
      </w:r>
      <w:r>
        <w:rPr>
          <w:rFonts w:hint="eastAsia" w:ascii="方正小标宋简体" w:hAnsi="方正小标宋简体" w:eastAsia="方正小标宋简体" w:cs="方正小标宋简体"/>
          <w:color w:val="000000"/>
          <w:sz w:val="32"/>
          <w:szCs w:val="32"/>
          <w:lang w:val="en-US" w:eastAsia="zh-CN"/>
        </w:rPr>
        <w:t>1.</w:t>
      </w:r>
      <w:r>
        <w:rPr>
          <w:rFonts w:hint="eastAsia" w:ascii="方正小标宋简体" w:hAnsi="方正小标宋简体" w:eastAsia="方正小标宋简体" w:cs="方正小标宋简体"/>
          <w:color w:val="000000"/>
          <w:sz w:val="32"/>
          <w:szCs w:val="32"/>
        </w:rPr>
        <w:t>评价小组成员构成与职责表</w:t>
      </w:r>
    </w:p>
    <w:tbl>
      <w:tblPr>
        <w:tblStyle w:val="22"/>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695"/>
        <w:gridCol w:w="5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4" w:type="dxa"/>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组内职务</w:t>
            </w:r>
          </w:p>
        </w:tc>
        <w:tc>
          <w:tcPr>
            <w:tcW w:w="1695" w:type="dxa"/>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人员</w:t>
            </w:r>
          </w:p>
        </w:tc>
        <w:tc>
          <w:tcPr>
            <w:tcW w:w="5972" w:type="dxa"/>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4"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项目总负责人</w:t>
            </w:r>
          </w:p>
        </w:tc>
        <w:tc>
          <w:tcPr>
            <w:tcW w:w="169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常昊然</w:t>
            </w:r>
          </w:p>
        </w:tc>
        <w:tc>
          <w:tcPr>
            <w:tcW w:w="5972" w:type="dxa"/>
            <w:vAlign w:val="center"/>
          </w:tcPr>
          <w:p>
            <w:pPr>
              <w:widowControl/>
              <w:overflowPunct w:val="0"/>
              <w:autoSpaceDE w:val="0"/>
              <w:autoSpaceDN w:val="0"/>
              <w:adjustRightInd w:val="0"/>
              <w:spacing w:line="300" w:lineRule="auto"/>
              <w:ind w:firstLine="0" w:firstLineChars="0"/>
              <w:jc w:val="left"/>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全程监督评价活动实施，为评价活动提供必要支持；与相关部门、绩效管理专家、项目管理者沟通；审核评价报告初稿是否符合文件要求，是否符合评价机构文本质量要求，审定评价报告。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4"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高级项目经理</w:t>
            </w:r>
          </w:p>
        </w:tc>
        <w:tc>
          <w:tcPr>
            <w:tcW w:w="169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张旭东</w:t>
            </w:r>
          </w:p>
        </w:tc>
        <w:tc>
          <w:tcPr>
            <w:tcW w:w="5972" w:type="dxa"/>
            <w:vAlign w:val="center"/>
          </w:tcPr>
          <w:p>
            <w:pPr>
              <w:widowControl/>
              <w:overflowPunct w:val="0"/>
              <w:autoSpaceDE w:val="0"/>
              <w:autoSpaceDN w:val="0"/>
              <w:adjustRightInd w:val="0"/>
              <w:spacing w:line="300" w:lineRule="auto"/>
              <w:ind w:firstLine="0" w:firstLineChars="0"/>
              <w:jc w:val="left"/>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编写评价方案、专家工作手册；协调评价小组工作，指导评价小组理解评价任务要求，组织实施评价活动；分析评价数据，撰写绩效评价报告初稿，修改形成绩效评价报告。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4"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项目经理</w:t>
            </w:r>
          </w:p>
        </w:tc>
        <w:tc>
          <w:tcPr>
            <w:tcW w:w="169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韩泽晖</w:t>
            </w:r>
          </w:p>
        </w:tc>
        <w:tc>
          <w:tcPr>
            <w:tcW w:w="5972" w:type="dxa"/>
            <w:vAlign w:val="center"/>
          </w:tcPr>
          <w:p>
            <w:pPr>
              <w:widowControl/>
              <w:overflowPunct w:val="0"/>
              <w:autoSpaceDE w:val="0"/>
              <w:autoSpaceDN w:val="0"/>
              <w:adjustRightInd w:val="0"/>
              <w:spacing w:line="300" w:lineRule="auto"/>
              <w:ind w:firstLine="0" w:firstLineChars="0"/>
              <w:jc w:val="left"/>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组织实施现场评价工作，协助高级项目经理分析评价数据、撰写评价报告。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4"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项目助理</w:t>
            </w:r>
          </w:p>
        </w:tc>
        <w:tc>
          <w:tcPr>
            <w:tcW w:w="169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肖绘丽</w:t>
            </w:r>
          </w:p>
        </w:tc>
        <w:tc>
          <w:tcPr>
            <w:tcW w:w="5972" w:type="dxa"/>
            <w:vAlign w:val="center"/>
          </w:tcPr>
          <w:p>
            <w:pPr>
              <w:widowControl/>
              <w:overflowPunct w:val="0"/>
              <w:autoSpaceDE w:val="0"/>
              <w:autoSpaceDN w:val="0"/>
              <w:adjustRightInd w:val="0"/>
              <w:spacing w:line="300" w:lineRule="auto"/>
              <w:ind w:firstLine="0" w:firstLineChars="0"/>
              <w:jc w:val="left"/>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搜集、整理相关资料，协助项目经理开展绩效评价活动，汇总评价数据。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4"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行业专家</w:t>
            </w:r>
          </w:p>
        </w:tc>
        <w:tc>
          <w:tcPr>
            <w:tcW w:w="169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谢金廷</w:t>
            </w:r>
          </w:p>
        </w:tc>
        <w:tc>
          <w:tcPr>
            <w:tcW w:w="5972" w:type="dxa"/>
            <w:vAlign w:val="center"/>
          </w:tcPr>
          <w:p>
            <w:pPr>
              <w:widowControl/>
              <w:overflowPunct w:val="0"/>
              <w:autoSpaceDE w:val="0"/>
              <w:autoSpaceDN w:val="0"/>
              <w:adjustRightInd w:val="0"/>
              <w:spacing w:line="300" w:lineRule="auto"/>
              <w:ind w:firstLine="0" w:firstLineChars="0"/>
              <w:jc w:val="left"/>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对照评价指标体系，对项目业务方面的内容进行评价，出具评价意见。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4"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财务专家</w:t>
            </w:r>
          </w:p>
        </w:tc>
        <w:tc>
          <w:tcPr>
            <w:tcW w:w="169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刘德胜</w:t>
            </w:r>
          </w:p>
        </w:tc>
        <w:tc>
          <w:tcPr>
            <w:tcW w:w="5972" w:type="dxa"/>
            <w:vAlign w:val="center"/>
          </w:tcPr>
          <w:p>
            <w:pPr>
              <w:widowControl/>
              <w:overflowPunct w:val="0"/>
              <w:autoSpaceDE w:val="0"/>
              <w:autoSpaceDN w:val="0"/>
              <w:adjustRightInd w:val="0"/>
              <w:spacing w:line="300" w:lineRule="auto"/>
              <w:ind w:firstLine="0" w:firstLineChars="0"/>
              <w:jc w:val="left"/>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对照评价指标体系，对项目财务方面的内容进行评价，出具评价意见。</w:t>
            </w:r>
          </w:p>
        </w:tc>
      </w:tr>
    </w:tbl>
    <w:p>
      <w:pPr>
        <w:spacing w:line="600" w:lineRule="exact"/>
        <w:ind w:firstLine="540"/>
        <w:rPr>
          <w:rFonts w:ascii="Times New Roman" w:hAnsi="Times New Roman" w:eastAsia="仿宋_GB2312" w:cs="Times New Roman"/>
          <w:kern w:val="0"/>
          <w:sz w:val="32"/>
          <w:szCs w:val="32"/>
          <w:lang w:val="en-US" w:eastAsia="zh-CN" w:bidi="ar-SA"/>
        </w:rPr>
      </w:pPr>
      <w:bookmarkStart w:id="163" w:name="_Toc19503"/>
      <w:bookmarkStart w:id="164" w:name="_Toc24279747"/>
      <w:bookmarkStart w:id="165" w:name="_Toc26324"/>
      <w:bookmarkStart w:id="166" w:name="_Toc1384"/>
      <w:bookmarkStart w:id="167" w:name="_Toc22474_WPSOffice_Level2"/>
      <w:bookmarkStart w:id="168" w:name="_Toc14532"/>
      <w:bookmarkStart w:id="169" w:name="_Toc8653"/>
      <w:bookmarkStart w:id="170" w:name="_Toc21666_WPSOffice_Level2"/>
      <w:bookmarkStart w:id="171" w:name="_Toc24968"/>
      <w:bookmarkStart w:id="172" w:name="_Toc9192"/>
      <w:r>
        <w:rPr>
          <w:rFonts w:ascii="Times New Roman" w:hAnsi="Times New Roman" w:eastAsia="仿宋_GB2312" w:cs="Times New Roman"/>
          <w:kern w:val="0"/>
          <w:sz w:val="32"/>
          <w:szCs w:val="32"/>
          <w:lang w:val="en-US" w:eastAsia="zh-CN" w:bidi="ar-SA"/>
        </w:rPr>
        <w:t>其中，评价机构相关人员包括评价专家组和工作人员。评价专家组由业务专家和财务专家组成：业务专家由具有副高级以上专业技术职称，具有多年被评价项目所属领域或行业的专业技术工作经验，熟悉被评价项目相关领域的政策法规，有良好的职业道德和敬业精神的专家组成；财务专家由具有丰富财会知识和管理经验的财会专业人员组成。工作人员由具备绩效评价知识和经验，熟悉评价项目、评价规范和技术规范的人员组成。</w:t>
      </w:r>
    </w:p>
    <w:bookmarkEnd w:id="163"/>
    <w:bookmarkEnd w:id="164"/>
    <w:bookmarkEnd w:id="165"/>
    <w:bookmarkEnd w:id="166"/>
    <w:bookmarkEnd w:id="167"/>
    <w:bookmarkEnd w:id="168"/>
    <w:bookmarkEnd w:id="169"/>
    <w:bookmarkEnd w:id="170"/>
    <w:bookmarkEnd w:id="171"/>
    <w:bookmarkEnd w:id="172"/>
    <w:p>
      <w:pPr>
        <w:widowControl w:val="0"/>
        <w:overflowPunct w:val="0"/>
        <w:autoSpaceDE w:val="0"/>
        <w:autoSpaceDN w:val="0"/>
        <w:adjustRightInd w:val="0"/>
        <w:spacing w:line="600" w:lineRule="exact"/>
        <w:ind w:firstLine="640" w:firstLineChars="200"/>
        <w:textAlignment w:val="baseline"/>
        <w:outlineLvl w:val="0"/>
        <w:rPr>
          <w:rFonts w:hint="default" w:ascii="Times New Roman" w:hAnsi="Times New Roman" w:eastAsia="楷体" w:cs="Times New Roman"/>
          <w:b w:val="0"/>
          <w:kern w:val="0"/>
          <w:sz w:val="32"/>
          <w:szCs w:val="32"/>
          <w:lang w:val="en-US" w:eastAsia="zh-CN" w:bidi="ar-SA"/>
        </w:rPr>
      </w:pPr>
      <w:bookmarkStart w:id="173" w:name="_Toc25396"/>
      <w:bookmarkStart w:id="174" w:name="_Toc20170"/>
      <w:r>
        <w:rPr>
          <w:rFonts w:hint="eastAsia" w:ascii="Times New Roman" w:hAnsi="Times New Roman" w:eastAsia="楷体" w:cs="Times New Roman"/>
          <w:b w:val="0"/>
          <w:kern w:val="0"/>
          <w:sz w:val="32"/>
          <w:szCs w:val="32"/>
          <w:lang w:val="en-US" w:eastAsia="zh-CN" w:bidi="ar-SA"/>
        </w:rPr>
        <w:t>（七）绩效评价工作过程</w:t>
      </w:r>
      <w:bookmarkEnd w:id="173"/>
      <w:bookmarkEnd w:id="174"/>
    </w:p>
    <w:p>
      <w:pPr>
        <w:spacing w:line="600" w:lineRule="exact"/>
        <w:ind w:firstLine="540"/>
        <w:rPr>
          <w:lang w:val="en-US" w:eastAsia="zh-CN"/>
        </w:rPr>
      </w:pPr>
      <w:r>
        <w:rPr>
          <w:rFonts w:ascii="Times New Roman" w:hAnsi="Times New Roman" w:eastAsia="仿宋_GB2312" w:cs="Times New Roman"/>
          <w:kern w:val="0"/>
          <w:sz w:val="32"/>
          <w:szCs w:val="32"/>
          <w:lang w:val="en-US" w:eastAsia="zh-CN" w:bidi="ar-SA"/>
        </w:rPr>
        <w:t>本次绩效评价是在项目执行单位提供评价所需材料的基础上，对所有项目资料进行书面（非现场）评审。本次绩效评价组织实施过程共分为四个阶段，包括前期准备、组织实施、分析评价、报告撰写（见图1）：</w:t>
      </w:r>
      <w:bookmarkStart w:id="175" w:name="_Toc25495_WPSOffice_Level3"/>
    </w:p>
    <w:p>
      <w:pPr>
        <w:ind w:left="0" w:leftChars="0" w:firstLine="0" w:firstLineChars="0"/>
        <w:jc w:val="center"/>
        <w:rPr>
          <w:rFonts w:hint="eastAsia" w:eastAsia="方正小标宋_GBK"/>
          <w:color w:val="000000"/>
          <w:sz w:val="21"/>
          <w:szCs w:val="21"/>
          <w:lang w:val="en-US" w:eastAsia="zh-CN"/>
        </w:rPr>
      </w:pPr>
      <w:r>
        <w:rPr>
          <w:rFonts w:hint="eastAsia" w:eastAsia="方正小标宋_GBK"/>
          <w:color w:val="000000"/>
          <w:sz w:val="21"/>
          <w:szCs w:val="21"/>
        </w:rPr>
        <w:t>图1 绩效评价工作流程</w:t>
      </w:r>
    </w:p>
    <w:p>
      <w:pPr>
        <w:ind w:firstLine="0" w:firstLineChars="0"/>
      </w:pPr>
      <w:r>
        <w:drawing>
          <wp:inline distT="0" distB="0" distL="114300" distR="114300">
            <wp:extent cx="5267960" cy="4994910"/>
            <wp:effectExtent l="0" t="0" r="508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67960" cy="4994910"/>
                    </a:xfrm>
                    <a:prstGeom prst="rect">
                      <a:avLst/>
                    </a:prstGeom>
                    <a:noFill/>
                    <a:ln>
                      <a:noFill/>
                    </a:ln>
                  </pic:spPr>
                </pic:pic>
              </a:graphicData>
            </a:graphic>
          </wp:inline>
        </w:drawing>
      </w:r>
    </w:p>
    <w:p>
      <w:pPr>
        <w:pStyle w:val="6"/>
        <w:spacing w:line="600" w:lineRule="exact"/>
        <w:ind w:firstLine="562"/>
        <w:rPr>
          <w:rFonts w:hint="eastAsia" w:ascii="Times New Roman" w:hAnsi="Times New Roman" w:eastAsia="仿宋_GB2312" w:cs="Times New Roman"/>
          <w:b w:val="0"/>
          <w:kern w:val="0"/>
          <w:sz w:val="32"/>
          <w:szCs w:val="32"/>
          <w:lang w:val="en-US" w:eastAsia="zh-CN" w:bidi="ar-SA"/>
        </w:rPr>
      </w:pPr>
      <w:bookmarkStart w:id="176" w:name="_Toc6970"/>
      <w:bookmarkStart w:id="177" w:name="_Toc7124"/>
      <w:bookmarkStart w:id="178" w:name="_Toc5398"/>
      <w:bookmarkStart w:id="179" w:name="_Toc13578"/>
      <w:bookmarkStart w:id="180" w:name="_Toc20298"/>
      <w:bookmarkStart w:id="181" w:name="_Toc2932"/>
      <w:bookmarkStart w:id="182" w:name="_Toc22852"/>
      <w:bookmarkStart w:id="183" w:name="_Toc24279748"/>
      <w:bookmarkStart w:id="184" w:name="_Toc6814"/>
      <w:r>
        <w:rPr>
          <w:rFonts w:hint="eastAsia" w:ascii="Times New Roman" w:hAnsi="Times New Roman" w:eastAsia="仿宋_GB2312" w:cs="Times New Roman"/>
          <w:b w:val="0"/>
          <w:kern w:val="0"/>
          <w:sz w:val="32"/>
          <w:szCs w:val="32"/>
          <w:lang w:val="en-US" w:eastAsia="zh-CN" w:bidi="ar-SA"/>
        </w:rPr>
        <w:t>1、前期准备</w:t>
      </w:r>
      <w:bookmarkEnd w:id="175"/>
      <w:bookmarkEnd w:id="176"/>
      <w:bookmarkEnd w:id="177"/>
      <w:bookmarkEnd w:id="178"/>
      <w:bookmarkEnd w:id="179"/>
      <w:bookmarkEnd w:id="180"/>
      <w:bookmarkEnd w:id="181"/>
      <w:bookmarkEnd w:id="182"/>
      <w:bookmarkEnd w:id="183"/>
      <w:bookmarkEnd w:id="184"/>
    </w:p>
    <w:p>
      <w:pPr>
        <w:spacing w:line="600" w:lineRule="exact"/>
        <w:ind w:firstLine="540"/>
        <w:rPr>
          <w:rFonts w:ascii="Times New Roman" w:hAnsi="Times New Roman" w:eastAsia="仿宋_GB2312" w:cs="Times New Roman"/>
          <w:kern w:val="0"/>
          <w:sz w:val="32"/>
          <w:szCs w:val="32"/>
          <w:lang w:val="en-US" w:eastAsia="zh-CN" w:bidi="ar-SA"/>
        </w:rPr>
      </w:pPr>
      <w:bookmarkStart w:id="185" w:name="_Toc980"/>
      <w:bookmarkStart w:id="186" w:name="_Toc13311"/>
      <w:bookmarkStart w:id="187" w:name="_Toc22472"/>
      <w:bookmarkStart w:id="188" w:name="_Toc9029_WPSOffice_Level3"/>
      <w:bookmarkStart w:id="189" w:name="_Toc9409"/>
      <w:bookmarkStart w:id="190" w:name="_Toc15847"/>
      <w:bookmarkStart w:id="191" w:name="_Toc24279749"/>
      <w:r>
        <w:rPr>
          <w:rFonts w:ascii="Times New Roman" w:hAnsi="Times New Roman" w:eastAsia="仿宋_GB2312" w:cs="Times New Roman"/>
          <w:kern w:val="0"/>
          <w:sz w:val="32"/>
          <w:szCs w:val="32"/>
          <w:lang w:val="en-US" w:eastAsia="zh-CN" w:bidi="ar-SA"/>
        </w:rPr>
        <w:t>本次绩效评价工作的前期准备工作从2022年8月份开始，前期准备工作主要包括以下内容：</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（1）进行专业理论知识学习。公司组织业务骨干人员参加绩效评价培训研讨会议，深入学习财政资金绩效评价的理论创新发展和实务前沿，为后期绩效评价工作有序开展提供了坚实的理论支持。</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2）成立绩效评价质量标准委员会。绩效评价质量标准委员会由具有良好理论素养和丰富实践经验的工作人员组成，包括注册会计师、税务师以及专家教授等组成。绩效评价质量标准委员会主要负责制定绩效评价指标体系、编写绩效评价实施方案、组织绩效评价人员培训、进行现场评价工作指导、撰写专项资金绩效评价总报告等工作。</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3）制定绩效评价指标体系。绩效评价质量标准委员会负责制定绩效评价指标体系。本次绩效评价指标体系制定以《关于印发〈预算绩效评价共性指标体系框架〉的通知》（财预〔2013〕53号）和《财政部关于印发〈财政支出绩效评价管理暂行办法〉的通知》（财预〔2011〕285号），参照省财政厅预算绩效管理处印发的《财政重点项目第三方绩效评价组织实施工作流程》，结合项目的特有属性及项目实际情况，设计指标体系，进行指标细化和分值设定。</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（4）初步制定绩效评价实施方案。本次绩效评价实施方案由质量标准委员会制定初稿，针对委托方与相关专家意见质量指标委员会进行再次讨论并定稿。</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5）进行绩效评价工作人员培训。评价工作开始前专门针对财政专项资金绩效评价工作进行了系统培训，培训工作由质量标准委员会组织，本次绩效评价员工培训内容包括绩效评价基础理论、绩效评价实务工作流程、绩效评价过程中容易出现的问题和应对措施、绩效评价指标体系说明，其中指标体系说明包括指标说明、评价标准说明。</w:t>
      </w:r>
    </w:p>
    <w:p>
      <w:pPr>
        <w:pStyle w:val="6"/>
        <w:spacing w:line="600" w:lineRule="exact"/>
        <w:ind w:firstLine="562"/>
        <w:rPr>
          <w:rFonts w:hint="eastAsia" w:ascii="Times New Roman" w:hAnsi="Times New Roman" w:eastAsia="仿宋_GB2312" w:cs="Times New Roman"/>
          <w:b w:val="0"/>
          <w:kern w:val="0"/>
          <w:sz w:val="32"/>
          <w:szCs w:val="32"/>
          <w:lang w:val="en-US" w:eastAsia="zh-CN" w:bidi="ar-SA"/>
        </w:rPr>
      </w:pPr>
      <w:bookmarkStart w:id="192" w:name="_Toc31640"/>
      <w:bookmarkStart w:id="193" w:name="_Toc27666"/>
      <w:bookmarkStart w:id="194" w:name="_Toc29181"/>
      <w:r>
        <w:rPr>
          <w:rFonts w:hint="eastAsia" w:ascii="Times New Roman" w:hAnsi="Times New Roman" w:eastAsia="仿宋_GB2312" w:cs="Times New Roman"/>
          <w:b w:val="0"/>
          <w:kern w:val="0"/>
          <w:sz w:val="32"/>
          <w:szCs w:val="32"/>
          <w:lang w:val="en-US" w:eastAsia="zh-CN" w:bidi="ar-SA"/>
        </w:rPr>
        <w:t>2、组织实施</w:t>
      </w:r>
      <w:bookmarkEnd w:id="185"/>
      <w:bookmarkEnd w:id="186"/>
      <w:bookmarkEnd w:id="187"/>
      <w:bookmarkEnd w:id="188"/>
      <w:bookmarkEnd w:id="189"/>
      <w:bookmarkEnd w:id="190"/>
      <w:bookmarkEnd w:id="191"/>
      <w:bookmarkEnd w:id="192"/>
      <w:bookmarkEnd w:id="193"/>
      <w:bookmarkEnd w:id="194"/>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本次绩效评价组织实施包括事前沟通、收集评价资料、针对项目单位提供的书面材料进行评价打分、现场评价四个部分。</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（1）事前沟通</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在进驻项目单位之前，与济宁市兖州区财政局相关负责人、项目单位进行联系，就评价流程、评价时间安排、评价资料收集进行沟通，要求主管部门以及项目单位针对本次绩效评价工作进行相关资料准备工作。同时，由济宁市兖州区财政局相关负责人把绩效评价项目第三方单位负责人的联系方式告知项目单位，以便于及时沟通解决项目单位在资料准备过程中疑问。</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（2）书面评价</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项目评价小组依据主管部门和项目单位提供的材料，按照评价指标体系对项目单位绩效情况进行打分。</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①资料收集并审核。评价准备阶段要求各项目单位把相关评价材料准备齐全后统一归集到绩效评价的评价工作点。评价小组到达工作地点后，对项目单位提交的材料进行审核，针对每一个项目列出缺失资料清单，要求项目单位进行资料补充。</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②书面资料评价打分。评价小组根据所收集资料，按照评级指标和评价标准，对全部项目进行打分。这一工作大幅度增加了绩效评价工作复杂性，但同时增加了绩效评价结果反映的全面性和评价结果精准性。</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（3）现场评价</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现场评价的基本流程包括以下三个步骤：</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①资料审核并进行二次收集。针对现场评价项目所提供的材料，进行资料清单的查阅，包括未提供原始资料的文件要求进行二次补充。</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②书面评价。评价小组根据所收集资料，按照评级指标和评价标准，对需要现场评价的项目进行打分。</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③现场评价。项目评价小组在书面评价结果基础上进行现场评价。现场评价主要包括实地考评和材料核实两方面。</w:t>
      </w:r>
    </w:p>
    <w:p>
      <w:pPr>
        <w:pStyle w:val="6"/>
        <w:spacing w:line="600" w:lineRule="exact"/>
        <w:ind w:firstLine="562"/>
        <w:rPr>
          <w:rFonts w:hint="eastAsia" w:ascii="Times New Roman" w:hAnsi="Times New Roman" w:eastAsia="仿宋_GB2312" w:cs="Times New Roman"/>
          <w:b w:val="0"/>
          <w:kern w:val="0"/>
          <w:sz w:val="32"/>
          <w:szCs w:val="32"/>
          <w:lang w:val="en-US" w:eastAsia="zh-CN" w:bidi="ar-SA"/>
        </w:rPr>
      </w:pPr>
      <w:bookmarkStart w:id="195" w:name="_Toc17731"/>
      <w:bookmarkStart w:id="196" w:name="_Toc32623"/>
      <w:bookmarkStart w:id="197" w:name="_Toc5490"/>
      <w:bookmarkStart w:id="198" w:name="_Toc29414"/>
      <w:bookmarkStart w:id="199" w:name="_Toc22657"/>
      <w:bookmarkStart w:id="200" w:name="_Toc20449"/>
      <w:bookmarkStart w:id="201" w:name="_Toc20505"/>
      <w:bookmarkStart w:id="202" w:name="_Toc24279750"/>
      <w:bookmarkStart w:id="203" w:name="_Toc11083"/>
      <w:bookmarkStart w:id="204" w:name="_Toc1277_WPSOffice_Level3"/>
      <w:r>
        <w:rPr>
          <w:rFonts w:hint="eastAsia" w:ascii="Times New Roman" w:hAnsi="Times New Roman" w:eastAsia="仿宋_GB2312" w:cs="Times New Roman"/>
          <w:b w:val="0"/>
          <w:kern w:val="0"/>
          <w:sz w:val="32"/>
          <w:szCs w:val="32"/>
          <w:lang w:val="en-US" w:eastAsia="zh-CN" w:bidi="ar-SA"/>
        </w:rPr>
        <w:t>3、评价分析</w:t>
      </w:r>
      <w:bookmarkEnd w:id="195"/>
      <w:bookmarkEnd w:id="196"/>
      <w:bookmarkEnd w:id="197"/>
      <w:bookmarkEnd w:id="198"/>
      <w:bookmarkEnd w:id="199"/>
      <w:bookmarkEnd w:id="200"/>
      <w:bookmarkEnd w:id="201"/>
      <w:bookmarkEnd w:id="202"/>
      <w:bookmarkEnd w:id="203"/>
      <w:bookmarkEnd w:id="204"/>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评价分析是本次绩效评价的主要过程，包括：</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（1）各项目小组针对绩效评价打分情况，完成绩效评价汇总表；</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（2）分指标对项目的业务和财务情况进行分析评价。</w:t>
      </w:r>
    </w:p>
    <w:p>
      <w:pPr>
        <w:pStyle w:val="6"/>
        <w:spacing w:line="600" w:lineRule="exact"/>
        <w:ind w:firstLine="562"/>
        <w:rPr>
          <w:rFonts w:hint="eastAsia" w:ascii="Times New Roman" w:hAnsi="Times New Roman" w:eastAsia="仿宋_GB2312" w:cs="Times New Roman"/>
          <w:b w:val="0"/>
          <w:kern w:val="0"/>
          <w:sz w:val="32"/>
          <w:szCs w:val="32"/>
          <w:lang w:val="en-US" w:eastAsia="zh-CN" w:bidi="ar-SA"/>
        </w:rPr>
      </w:pPr>
      <w:bookmarkStart w:id="205" w:name="_Toc8248"/>
      <w:bookmarkStart w:id="206" w:name="_Toc30982"/>
      <w:bookmarkStart w:id="207" w:name="_Toc23737"/>
      <w:bookmarkStart w:id="208" w:name="_Toc65_WPSOffice_Level3"/>
      <w:bookmarkStart w:id="209" w:name="_Toc23489"/>
      <w:bookmarkStart w:id="210" w:name="_Toc18932"/>
      <w:bookmarkStart w:id="211" w:name="_Toc13256"/>
      <w:bookmarkStart w:id="212" w:name="_Toc13550"/>
      <w:bookmarkStart w:id="213" w:name="_Toc2644"/>
      <w:bookmarkStart w:id="214" w:name="_Toc24279751"/>
      <w:r>
        <w:rPr>
          <w:rFonts w:hint="eastAsia" w:ascii="Times New Roman" w:hAnsi="Times New Roman" w:eastAsia="仿宋_GB2312" w:cs="Times New Roman"/>
          <w:b w:val="0"/>
          <w:kern w:val="0"/>
          <w:sz w:val="32"/>
          <w:szCs w:val="32"/>
          <w:lang w:val="en-US" w:eastAsia="zh-CN" w:bidi="ar-SA"/>
        </w:rPr>
        <w:t>4、报告撰写</w:t>
      </w:r>
      <w:bookmarkEnd w:id="205"/>
      <w:bookmarkEnd w:id="206"/>
      <w:bookmarkEnd w:id="207"/>
      <w:bookmarkEnd w:id="208"/>
      <w:bookmarkEnd w:id="209"/>
      <w:bookmarkEnd w:id="210"/>
      <w:bookmarkEnd w:id="211"/>
      <w:bookmarkEnd w:id="212"/>
      <w:bookmarkEnd w:id="213"/>
      <w:bookmarkEnd w:id="214"/>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报告的撰写包括三个步骤。首先，质量标准委员会负责编制初稿并进行讨论修改；第二，与相关部门负责人就初稿进行讨论；第三，针对初稿的修改意见，质量标准委员会进行初稿的修改，并经过济宁市兖州区财政局沟通汇报并审核后出具正式评价报告。</w:t>
      </w:r>
      <w:bookmarkStart w:id="215" w:name="_Toc22301"/>
      <w:bookmarkStart w:id="216" w:name="_Toc24374216"/>
      <w:bookmarkStart w:id="217" w:name="_Toc25650511"/>
      <w:bookmarkStart w:id="218" w:name="_Toc24311769"/>
      <w:bookmarkStart w:id="219" w:name="_Toc24374857"/>
    </w:p>
    <w:p>
      <w:pPr>
        <w:widowControl w:val="0"/>
        <w:overflowPunct w:val="0"/>
        <w:autoSpaceDE w:val="0"/>
        <w:autoSpaceDN w:val="0"/>
        <w:adjustRightInd w:val="0"/>
        <w:spacing w:line="600" w:lineRule="exact"/>
        <w:ind w:firstLine="640" w:firstLineChars="200"/>
        <w:textAlignment w:val="baseline"/>
        <w:outlineLvl w:val="0"/>
        <w:rPr>
          <w:rFonts w:hint="default" w:eastAsia="黑体"/>
          <w:kern w:val="0"/>
          <w:sz w:val="32"/>
          <w:szCs w:val="32"/>
          <w:lang w:val="en-US" w:eastAsia="zh-CN"/>
        </w:rPr>
      </w:pPr>
      <w:bookmarkStart w:id="220" w:name="_Toc3995"/>
      <w:r>
        <w:rPr>
          <w:rFonts w:hint="eastAsia" w:eastAsia="黑体"/>
          <w:kern w:val="0"/>
          <w:sz w:val="32"/>
          <w:szCs w:val="32"/>
          <w:lang w:val="en-US" w:eastAsia="zh-CN"/>
        </w:rPr>
        <w:t>四、评价结论及分析</w:t>
      </w:r>
      <w:bookmarkEnd w:id="215"/>
      <w:bookmarkEnd w:id="220"/>
    </w:p>
    <w:p>
      <w:pPr>
        <w:widowControl w:val="0"/>
        <w:overflowPunct w:val="0"/>
        <w:autoSpaceDE w:val="0"/>
        <w:autoSpaceDN w:val="0"/>
        <w:adjustRightInd w:val="0"/>
        <w:spacing w:line="600" w:lineRule="exact"/>
        <w:ind w:firstLine="640" w:firstLineChars="200"/>
        <w:jc w:val="left"/>
        <w:textAlignment w:val="baseline"/>
        <w:outlineLvl w:val="1"/>
        <w:rPr>
          <w:rFonts w:hint="eastAsia" w:eastAsia="楷体"/>
          <w:kern w:val="0"/>
          <w:sz w:val="32"/>
          <w:szCs w:val="32"/>
          <w:lang w:val="en-US" w:eastAsia="zh-CN"/>
        </w:rPr>
      </w:pPr>
      <w:bookmarkStart w:id="221" w:name="_Toc24374217"/>
      <w:bookmarkStart w:id="222" w:name="_Toc25650512"/>
      <w:bookmarkStart w:id="223" w:name="_Toc24374858"/>
      <w:bookmarkStart w:id="224" w:name="_Toc14526"/>
      <w:bookmarkStart w:id="225" w:name="_Toc4690"/>
      <w:bookmarkStart w:id="226" w:name="_Toc1989"/>
      <w:bookmarkStart w:id="227" w:name="_Toc20"/>
      <w:r>
        <w:rPr>
          <w:rFonts w:hint="eastAsia" w:eastAsia="楷体"/>
          <w:kern w:val="0"/>
          <w:sz w:val="32"/>
          <w:szCs w:val="32"/>
          <w:lang w:val="en-US" w:eastAsia="zh-CN"/>
        </w:rPr>
        <w:t>（一）</w:t>
      </w:r>
      <w:bookmarkEnd w:id="221"/>
      <w:bookmarkEnd w:id="222"/>
      <w:bookmarkEnd w:id="223"/>
      <w:r>
        <w:rPr>
          <w:rFonts w:hint="eastAsia" w:eastAsia="楷体"/>
          <w:kern w:val="0"/>
          <w:sz w:val="32"/>
          <w:szCs w:val="32"/>
          <w:lang w:val="en-US" w:eastAsia="zh-CN"/>
        </w:rPr>
        <w:t>综合评价情况及结论</w:t>
      </w:r>
      <w:bookmarkEnd w:id="224"/>
      <w:bookmarkEnd w:id="225"/>
      <w:bookmarkEnd w:id="226"/>
    </w:p>
    <w:p>
      <w:pPr>
        <w:pStyle w:val="2"/>
        <w:pageBreakBefore w:val="0"/>
        <w:kinsoku/>
        <w:wordWrap/>
        <w:overflowPunct/>
        <w:topLinePunct w:val="0"/>
        <w:autoSpaceDE/>
        <w:autoSpaceDN/>
        <w:bidi w:val="0"/>
        <w:adjustRightInd/>
        <w:snapToGrid/>
        <w:spacing w:line="600" w:lineRule="exact"/>
        <w:ind w:firstLine="540"/>
        <w:textAlignment w:val="auto"/>
        <w:rPr>
          <w:rFonts w:hint="eastAsia" w:ascii="Times New Roman" w:hAnsi="Times New Roman" w:eastAsia="仿宋_GB2312" w:cs="Times New Roman"/>
          <w:kern w:val="0"/>
          <w:sz w:val="32"/>
          <w:szCs w:val="32"/>
          <w:lang w:val="en-US" w:eastAsia="zh-CN" w:bidi="ar-SA"/>
        </w:rPr>
      </w:pPr>
      <w:bookmarkStart w:id="228" w:name="_Toc15016"/>
      <w:r>
        <w:rPr>
          <w:rFonts w:hint="eastAsia" w:ascii="Times New Roman" w:hAnsi="Times New Roman" w:eastAsia="仿宋_GB2312" w:cs="Times New Roman"/>
          <w:kern w:val="0"/>
          <w:sz w:val="32"/>
          <w:szCs w:val="32"/>
          <w:lang w:val="en-US" w:eastAsia="zh-CN" w:bidi="ar-SA"/>
        </w:rPr>
        <w:t>本次兖州区气象局迁建（2019-2021年）项目绩效评价得分87分，评价等级为“良”。该项目立项依据充分，程序规范，执行到位，项目基本实现了预期目标，取得了较好的社会效益。但存在的问题也较为突出，比如，部分绩效指标设置不符合要求；施工许可证等审批滞后；合同工期不合理，实际工期超出计划工期等等。</w:t>
      </w:r>
      <w:bookmarkEnd w:id="228"/>
    </w:p>
    <w:p>
      <w:pPr>
        <w:widowControl w:val="0"/>
        <w:overflowPunct w:val="0"/>
        <w:autoSpaceDE w:val="0"/>
        <w:autoSpaceDN w:val="0"/>
        <w:adjustRightInd w:val="0"/>
        <w:spacing w:line="600" w:lineRule="exact"/>
        <w:ind w:firstLine="640" w:firstLineChars="200"/>
        <w:jc w:val="left"/>
        <w:textAlignment w:val="baseline"/>
        <w:outlineLvl w:val="1"/>
        <w:rPr>
          <w:rFonts w:hint="default" w:eastAsia="楷体"/>
          <w:kern w:val="0"/>
          <w:sz w:val="32"/>
          <w:szCs w:val="32"/>
          <w:lang w:val="en-US" w:eastAsia="zh-CN"/>
        </w:rPr>
      </w:pPr>
      <w:bookmarkStart w:id="229" w:name="_Toc32749"/>
      <w:bookmarkStart w:id="230" w:name="_Toc1336"/>
      <w:bookmarkStart w:id="231" w:name="_Toc1952"/>
      <w:r>
        <w:rPr>
          <w:rFonts w:hint="eastAsia" w:eastAsia="楷体"/>
          <w:kern w:val="0"/>
          <w:sz w:val="32"/>
          <w:szCs w:val="32"/>
          <w:lang w:val="en-US" w:eastAsia="zh-CN"/>
        </w:rPr>
        <w:t>（二）绩效评价结果分析</w:t>
      </w:r>
      <w:bookmarkEnd w:id="229"/>
      <w:bookmarkEnd w:id="230"/>
      <w:bookmarkEnd w:id="231"/>
    </w:p>
    <w:p>
      <w:pPr>
        <w:pStyle w:val="6"/>
        <w:pageBreakBefore w:val="0"/>
        <w:kinsoku/>
        <w:wordWrap/>
        <w:overflowPunct/>
        <w:topLinePunct w:val="0"/>
        <w:autoSpaceDE/>
        <w:autoSpaceDN/>
        <w:bidi w:val="0"/>
        <w:adjustRightInd/>
        <w:snapToGrid/>
        <w:spacing w:line="600" w:lineRule="exact"/>
        <w:ind w:firstLine="562"/>
        <w:textAlignment w:val="auto"/>
        <w:rPr>
          <w:rFonts w:hint="eastAsia" w:ascii="Times New Roman" w:hAnsi="Times New Roman" w:eastAsia="仿宋_GB2312" w:cs="Times New Roman"/>
          <w:b w:val="0"/>
          <w:kern w:val="0"/>
          <w:sz w:val="32"/>
          <w:szCs w:val="32"/>
          <w:lang w:val="en-US" w:eastAsia="zh-CN" w:bidi="ar-SA"/>
        </w:rPr>
      </w:pPr>
      <w:bookmarkStart w:id="232" w:name="_Toc25650513"/>
      <w:bookmarkStart w:id="233" w:name="_Toc24642"/>
      <w:bookmarkStart w:id="234" w:name="_Toc25434"/>
      <w:r>
        <w:rPr>
          <w:rFonts w:hint="eastAsia" w:ascii="Times New Roman" w:hAnsi="Times New Roman" w:eastAsia="仿宋_GB2312" w:cs="Times New Roman"/>
          <w:b w:val="0"/>
          <w:kern w:val="0"/>
          <w:sz w:val="32"/>
          <w:szCs w:val="32"/>
          <w:lang w:val="en-US" w:eastAsia="zh-CN" w:bidi="ar-SA"/>
        </w:rPr>
        <w:t>1.</w:t>
      </w:r>
      <w:bookmarkEnd w:id="232"/>
      <w:r>
        <w:rPr>
          <w:rFonts w:hint="eastAsia" w:ascii="Times New Roman" w:hAnsi="Times New Roman" w:eastAsia="仿宋_GB2312" w:cs="Times New Roman"/>
          <w:b w:val="0"/>
          <w:kern w:val="0"/>
          <w:sz w:val="32"/>
          <w:szCs w:val="32"/>
          <w:lang w:val="en-US" w:eastAsia="zh-CN" w:bidi="ar-SA"/>
        </w:rPr>
        <w:t>决策情况</w:t>
      </w:r>
      <w:bookmarkEnd w:id="233"/>
      <w:bookmarkEnd w:id="234"/>
    </w:p>
    <w:p>
      <w:pPr>
        <w:pStyle w:val="2"/>
        <w:pageBreakBefore w:val="0"/>
        <w:kinsoku/>
        <w:wordWrap/>
        <w:overflowPunct/>
        <w:topLinePunct w:val="0"/>
        <w:autoSpaceDE/>
        <w:autoSpaceDN/>
        <w:bidi w:val="0"/>
        <w:adjustRightInd/>
        <w:snapToGrid/>
        <w:spacing w:line="600" w:lineRule="exact"/>
        <w:ind w:firstLine="540"/>
        <w:textAlignment w:val="auto"/>
        <w:rPr>
          <w:rFonts w:hint="eastAsia" w:eastAsia="仿宋_GB2312" w:cs="Times New Roman"/>
          <w:kern w:val="0"/>
          <w:sz w:val="32"/>
          <w:szCs w:val="32"/>
          <w:lang w:val="en-US" w:eastAsia="zh-CN" w:bidi="ar-SA"/>
        </w:rPr>
      </w:pPr>
      <w:bookmarkStart w:id="235" w:name="_Hlk27574350"/>
      <w:r>
        <w:rPr>
          <w:rFonts w:hint="eastAsia" w:ascii="Times New Roman" w:hAnsi="Times New Roman" w:eastAsia="仿宋_GB2312" w:cs="Times New Roman"/>
          <w:kern w:val="0"/>
          <w:sz w:val="32"/>
          <w:szCs w:val="32"/>
          <w:lang w:val="en-US" w:eastAsia="zh-CN" w:bidi="ar-SA"/>
        </w:rPr>
        <w:t>决策指标满分为20分，分为三个二级指标：项目立项、绩效目标和资金投入，该项评价得分为</w:t>
      </w:r>
      <w:r>
        <w:rPr>
          <w:rFonts w:hint="eastAsia" w:eastAsia="仿宋_GB2312" w:cs="Times New Roman"/>
          <w:kern w:val="0"/>
          <w:sz w:val="32"/>
          <w:szCs w:val="32"/>
          <w:lang w:val="en-US" w:eastAsia="zh-CN" w:bidi="ar-SA"/>
        </w:rPr>
        <w:t>17</w:t>
      </w:r>
      <w:r>
        <w:rPr>
          <w:rFonts w:hint="eastAsia" w:ascii="Times New Roman" w:hAnsi="Times New Roman" w:eastAsia="仿宋_GB2312" w:cs="Times New Roman"/>
          <w:kern w:val="0"/>
          <w:sz w:val="32"/>
          <w:szCs w:val="32"/>
          <w:lang w:val="en-US" w:eastAsia="zh-CN" w:bidi="ar-SA"/>
        </w:rPr>
        <w:t>分</w:t>
      </w:r>
      <w:bookmarkEnd w:id="235"/>
      <w:r>
        <w:rPr>
          <w:rFonts w:hint="eastAsia" w:eastAsia="仿宋_GB2312" w:cs="Times New Roman"/>
          <w:kern w:val="0"/>
          <w:sz w:val="32"/>
          <w:szCs w:val="32"/>
          <w:lang w:val="en-US" w:eastAsia="zh-CN" w:bidi="ar-SA"/>
        </w:rPr>
        <w:t>。</w:t>
      </w:r>
    </w:p>
    <w:p>
      <w:pPr>
        <w:pStyle w:val="6"/>
        <w:pageBreakBefore w:val="0"/>
        <w:kinsoku/>
        <w:wordWrap/>
        <w:overflowPunct/>
        <w:topLinePunct w:val="0"/>
        <w:autoSpaceDE/>
        <w:autoSpaceDN/>
        <w:bidi w:val="0"/>
        <w:adjustRightInd/>
        <w:snapToGrid/>
        <w:spacing w:line="600" w:lineRule="exact"/>
        <w:ind w:firstLine="562"/>
        <w:textAlignment w:val="auto"/>
        <w:rPr>
          <w:rFonts w:hint="eastAsia" w:ascii="Times New Roman" w:hAnsi="Times New Roman" w:eastAsia="仿宋_GB2312" w:cs="Times New Roman"/>
          <w:b w:val="0"/>
          <w:kern w:val="0"/>
          <w:sz w:val="32"/>
          <w:szCs w:val="32"/>
          <w:lang w:val="en-US" w:eastAsia="zh-CN" w:bidi="ar-SA"/>
        </w:rPr>
      </w:pPr>
      <w:bookmarkStart w:id="236" w:name="_Toc27815"/>
      <w:bookmarkStart w:id="237" w:name="_Toc1641"/>
      <w:r>
        <w:rPr>
          <w:rFonts w:hint="eastAsia" w:ascii="Times New Roman" w:hAnsi="Times New Roman" w:eastAsia="仿宋_GB2312" w:cs="Times New Roman"/>
          <w:b w:val="0"/>
          <w:kern w:val="0"/>
          <w:sz w:val="32"/>
          <w:szCs w:val="32"/>
          <w:lang w:val="en-US" w:eastAsia="zh-CN" w:bidi="ar-SA"/>
        </w:rPr>
        <w:t>2.过程情况</w:t>
      </w:r>
      <w:bookmarkEnd w:id="236"/>
      <w:bookmarkEnd w:id="237"/>
    </w:p>
    <w:p>
      <w:pPr>
        <w:pStyle w:val="2"/>
        <w:pageBreakBefore w:val="0"/>
        <w:kinsoku/>
        <w:wordWrap/>
        <w:overflowPunct/>
        <w:topLinePunct w:val="0"/>
        <w:autoSpaceDE/>
        <w:autoSpaceDN/>
        <w:bidi w:val="0"/>
        <w:adjustRightInd/>
        <w:snapToGrid/>
        <w:spacing w:line="600" w:lineRule="exact"/>
        <w:ind w:firstLine="540"/>
        <w:textAlignment w:val="auto"/>
        <w:rPr>
          <w:sz w:val="32"/>
          <w:szCs w:val="32"/>
        </w:rPr>
      </w:pPr>
      <w:r>
        <w:rPr>
          <w:rFonts w:hint="eastAsia" w:ascii="Times New Roman" w:hAnsi="Times New Roman" w:eastAsia="仿宋_GB2312" w:cs="Times New Roman"/>
          <w:kern w:val="0"/>
          <w:sz w:val="32"/>
          <w:szCs w:val="32"/>
          <w:lang w:val="en-US" w:eastAsia="zh-CN" w:bidi="ar-SA"/>
        </w:rPr>
        <w:t>过程指标满分为20分，分为两个二级指标：资金管理和组织实施，该项评价得分为1</w:t>
      </w:r>
      <w:r>
        <w:rPr>
          <w:rFonts w:hint="eastAsia" w:eastAsia="仿宋_GB2312" w:cs="Times New Roman"/>
          <w:kern w:val="0"/>
          <w:sz w:val="32"/>
          <w:szCs w:val="32"/>
          <w:lang w:val="en-US" w:eastAsia="zh-CN" w:bidi="ar-SA"/>
        </w:rPr>
        <w:t>7</w:t>
      </w:r>
      <w:r>
        <w:rPr>
          <w:rFonts w:hint="eastAsia" w:ascii="Times New Roman" w:hAnsi="Times New Roman" w:eastAsia="仿宋_GB2312" w:cs="Times New Roman"/>
          <w:kern w:val="0"/>
          <w:sz w:val="32"/>
          <w:szCs w:val="32"/>
          <w:lang w:val="en-US" w:eastAsia="zh-CN" w:bidi="ar-SA"/>
        </w:rPr>
        <w:t>分</w:t>
      </w:r>
      <w:r>
        <w:rPr>
          <w:rFonts w:hint="eastAsia" w:eastAsia="仿宋_GB2312" w:cs="Times New Roman"/>
          <w:kern w:val="0"/>
          <w:sz w:val="32"/>
          <w:szCs w:val="32"/>
          <w:lang w:val="en-US" w:eastAsia="zh-CN" w:bidi="ar-SA"/>
        </w:rPr>
        <w:t>。</w:t>
      </w:r>
    </w:p>
    <w:p>
      <w:pPr>
        <w:pStyle w:val="6"/>
        <w:pageBreakBefore w:val="0"/>
        <w:kinsoku/>
        <w:wordWrap/>
        <w:overflowPunct/>
        <w:topLinePunct w:val="0"/>
        <w:autoSpaceDE/>
        <w:autoSpaceDN/>
        <w:bidi w:val="0"/>
        <w:adjustRightInd/>
        <w:snapToGrid/>
        <w:spacing w:line="600" w:lineRule="exact"/>
        <w:ind w:firstLine="562"/>
        <w:textAlignment w:val="auto"/>
        <w:rPr>
          <w:rFonts w:hint="eastAsia" w:ascii="Times New Roman" w:hAnsi="Times New Roman" w:eastAsia="仿宋_GB2312" w:cs="Times New Roman"/>
          <w:b w:val="0"/>
          <w:kern w:val="0"/>
          <w:sz w:val="32"/>
          <w:szCs w:val="32"/>
          <w:lang w:val="en-US" w:eastAsia="zh-CN" w:bidi="ar-SA"/>
        </w:rPr>
      </w:pPr>
      <w:bookmarkStart w:id="238" w:name="_Toc30655"/>
      <w:bookmarkStart w:id="239" w:name="_Toc19732"/>
      <w:r>
        <w:rPr>
          <w:rFonts w:hint="eastAsia" w:ascii="Times New Roman" w:hAnsi="Times New Roman" w:eastAsia="仿宋_GB2312" w:cs="Times New Roman"/>
          <w:b w:val="0"/>
          <w:kern w:val="0"/>
          <w:sz w:val="32"/>
          <w:szCs w:val="32"/>
          <w:lang w:val="en-US" w:eastAsia="zh-CN" w:bidi="ar-SA"/>
        </w:rPr>
        <w:t>3.产出情况</w:t>
      </w:r>
      <w:bookmarkEnd w:id="238"/>
      <w:bookmarkEnd w:id="239"/>
    </w:p>
    <w:p>
      <w:pPr>
        <w:pStyle w:val="2"/>
        <w:pageBreakBefore w:val="0"/>
        <w:kinsoku/>
        <w:wordWrap/>
        <w:overflowPunct/>
        <w:topLinePunct w:val="0"/>
        <w:autoSpaceDE/>
        <w:autoSpaceDN/>
        <w:bidi w:val="0"/>
        <w:adjustRightInd/>
        <w:snapToGrid/>
        <w:spacing w:line="600" w:lineRule="exact"/>
        <w:ind w:firstLine="540"/>
        <w:textAlignment w:val="auto"/>
        <w:rPr>
          <w:sz w:val="32"/>
          <w:szCs w:val="32"/>
        </w:rPr>
      </w:pPr>
      <w:r>
        <w:rPr>
          <w:rFonts w:hint="eastAsia" w:ascii="Times New Roman" w:hAnsi="Times New Roman" w:eastAsia="仿宋_GB2312" w:cs="Times New Roman"/>
          <w:kern w:val="0"/>
          <w:sz w:val="32"/>
          <w:szCs w:val="32"/>
          <w:lang w:val="en-US" w:eastAsia="zh-CN" w:bidi="ar-SA"/>
        </w:rPr>
        <w:t>产出指标满分为30分，分为四个二级指标：产出数量、产出质量、产出时效和产出成本，该项评价得分为2</w:t>
      </w:r>
      <w:r>
        <w:rPr>
          <w:rFonts w:hint="eastAsia" w:eastAsia="仿宋_GB2312" w:cs="Times New Roman"/>
          <w:kern w:val="0"/>
          <w:sz w:val="32"/>
          <w:szCs w:val="32"/>
          <w:lang w:val="en-US" w:eastAsia="zh-CN" w:bidi="ar-SA"/>
        </w:rPr>
        <w:t>3</w:t>
      </w:r>
      <w:r>
        <w:rPr>
          <w:rFonts w:hint="eastAsia" w:ascii="Times New Roman" w:hAnsi="Times New Roman" w:eastAsia="仿宋_GB2312" w:cs="Times New Roman"/>
          <w:kern w:val="0"/>
          <w:sz w:val="32"/>
          <w:szCs w:val="32"/>
          <w:lang w:val="en-US" w:eastAsia="zh-CN" w:bidi="ar-SA"/>
        </w:rPr>
        <w:t>分</w:t>
      </w:r>
      <w:r>
        <w:rPr>
          <w:rFonts w:hint="eastAsia" w:eastAsia="仿宋_GB2312" w:cs="Times New Roman"/>
          <w:kern w:val="0"/>
          <w:sz w:val="32"/>
          <w:szCs w:val="32"/>
          <w:lang w:val="en-US" w:eastAsia="zh-CN" w:bidi="ar-SA"/>
        </w:rPr>
        <w:t>。</w:t>
      </w:r>
    </w:p>
    <w:p>
      <w:pPr>
        <w:pStyle w:val="6"/>
        <w:pageBreakBefore w:val="0"/>
        <w:kinsoku/>
        <w:wordWrap/>
        <w:overflowPunct/>
        <w:topLinePunct w:val="0"/>
        <w:autoSpaceDE/>
        <w:autoSpaceDN/>
        <w:bidi w:val="0"/>
        <w:adjustRightInd/>
        <w:snapToGrid/>
        <w:spacing w:line="600" w:lineRule="exact"/>
        <w:ind w:firstLine="562"/>
        <w:textAlignment w:val="auto"/>
        <w:rPr>
          <w:rFonts w:hint="eastAsia" w:ascii="Times New Roman" w:hAnsi="Times New Roman" w:eastAsia="仿宋_GB2312" w:cs="Times New Roman"/>
          <w:b w:val="0"/>
          <w:kern w:val="0"/>
          <w:sz w:val="32"/>
          <w:szCs w:val="32"/>
          <w:lang w:val="en-US" w:eastAsia="zh-CN" w:bidi="ar-SA"/>
        </w:rPr>
      </w:pPr>
      <w:bookmarkStart w:id="240" w:name="_Toc25650515"/>
      <w:bookmarkStart w:id="241" w:name="_Toc23691"/>
      <w:bookmarkStart w:id="242" w:name="_Toc16506"/>
      <w:r>
        <w:rPr>
          <w:rFonts w:hint="eastAsia" w:ascii="Times New Roman" w:hAnsi="Times New Roman" w:eastAsia="仿宋_GB2312" w:cs="Times New Roman"/>
          <w:b w:val="0"/>
          <w:kern w:val="0"/>
          <w:sz w:val="32"/>
          <w:szCs w:val="32"/>
          <w:lang w:val="en-US" w:eastAsia="zh-CN" w:bidi="ar-SA"/>
        </w:rPr>
        <w:t>4.</w:t>
      </w:r>
      <w:bookmarkEnd w:id="240"/>
      <w:r>
        <w:rPr>
          <w:rFonts w:hint="eastAsia" w:ascii="Times New Roman" w:hAnsi="Times New Roman" w:eastAsia="仿宋_GB2312" w:cs="Times New Roman"/>
          <w:b w:val="0"/>
          <w:kern w:val="0"/>
          <w:sz w:val="32"/>
          <w:szCs w:val="32"/>
          <w:lang w:val="en-US" w:eastAsia="zh-CN" w:bidi="ar-SA"/>
        </w:rPr>
        <w:t>效益情况</w:t>
      </w:r>
      <w:bookmarkEnd w:id="241"/>
      <w:bookmarkEnd w:id="242"/>
    </w:p>
    <w:p>
      <w:pPr>
        <w:pageBreakBefore w:val="0"/>
        <w:kinsoku/>
        <w:wordWrap/>
        <w:overflowPunct/>
        <w:topLinePunct w:val="0"/>
        <w:autoSpaceDE/>
        <w:autoSpaceDN/>
        <w:bidi w:val="0"/>
        <w:adjustRightInd/>
        <w:snapToGrid/>
        <w:spacing w:line="600" w:lineRule="exact"/>
        <w:ind w:firstLine="540"/>
        <w:textAlignment w:val="auto"/>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项目绩效指标满分为30分，包含项目效益一个二级指标，三个三级指标：社会效益、可持续影响和服务对象满意度，该项评价得分为</w:t>
      </w:r>
      <w:r>
        <w:rPr>
          <w:rFonts w:hint="eastAsia" w:eastAsia="仿宋_GB2312" w:cs="Times New Roman"/>
          <w:kern w:val="0"/>
          <w:sz w:val="32"/>
          <w:szCs w:val="32"/>
          <w:lang w:val="en-US" w:eastAsia="zh-CN" w:bidi="ar-SA"/>
        </w:rPr>
        <w:t>30</w:t>
      </w:r>
      <w:r>
        <w:rPr>
          <w:rFonts w:hint="eastAsia" w:ascii="Times New Roman" w:hAnsi="Times New Roman" w:eastAsia="仿宋_GB2312" w:cs="Times New Roman"/>
          <w:kern w:val="0"/>
          <w:sz w:val="32"/>
          <w:szCs w:val="32"/>
          <w:lang w:val="en-US" w:eastAsia="zh-CN" w:bidi="ar-SA"/>
        </w:rPr>
        <w:t>分</w:t>
      </w:r>
      <w:r>
        <w:rPr>
          <w:rFonts w:hint="eastAsia" w:eastAsia="仿宋_GB2312" w:cs="Times New Roman"/>
          <w:kern w:val="0"/>
          <w:sz w:val="32"/>
          <w:szCs w:val="32"/>
          <w:lang w:val="en-US" w:eastAsia="zh-CN" w:bidi="ar-SA"/>
        </w:rPr>
        <w:t>。</w:t>
      </w:r>
    </w:p>
    <w:bookmarkEnd w:id="227"/>
    <w:p>
      <w:pPr>
        <w:widowControl w:val="0"/>
        <w:overflowPunct w:val="0"/>
        <w:autoSpaceDE w:val="0"/>
        <w:autoSpaceDN w:val="0"/>
        <w:adjustRightInd w:val="0"/>
        <w:spacing w:line="600" w:lineRule="exact"/>
        <w:ind w:firstLine="640" w:firstLineChars="200"/>
        <w:jc w:val="left"/>
        <w:textAlignment w:val="baseline"/>
        <w:outlineLvl w:val="1"/>
        <w:rPr>
          <w:rFonts w:hint="default" w:eastAsia="楷体"/>
          <w:kern w:val="0"/>
          <w:sz w:val="32"/>
          <w:szCs w:val="32"/>
          <w:lang w:val="en-US" w:eastAsia="zh-CN"/>
        </w:rPr>
      </w:pPr>
      <w:bookmarkStart w:id="243" w:name="_Toc5934"/>
      <w:bookmarkStart w:id="244" w:name="_Toc19254"/>
      <w:bookmarkStart w:id="245" w:name="_Toc25650520"/>
      <w:bookmarkStart w:id="246" w:name="_Toc22624"/>
      <w:bookmarkStart w:id="247" w:name="_Toc28005420"/>
      <w:bookmarkStart w:id="248" w:name="_Toc28180172"/>
      <w:bookmarkStart w:id="249" w:name="_Toc27571607"/>
      <w:bookmarkStart w:id="250" w:name="_Toc28279537"/>
      <w:r>
        <w:rPr>
          <w:rFonts w:hint="eastAsia" w:eastAsia="楷体"/>
          <w:kern w:val="0"/>
          <w:sz w:val="32"/>
          <w:szCs w:val="32"/>
          <w:lang w:val="en-US" w:eastAsia="zh-CN"/>
        </w:rPr>
        <w:t>（三）</w:t>
      </w:r>
      <w:bookmarkEnd w:id="243"/>
      <w:bookmarkEnd w:id="244"/>
      <w:r>
        <w:rPr>
          <w:rFonts w:hint="eastAsia" w:ascii="楷体" w:hAnsi="楷体" w:eastAsia="楷体" w:cs="楷体"/>
          <w:kern w:val="0"/>
          <w:sz w:val="32"/>
          <w:szCs w:val="32"/>
        </w:rPr>
        <w:t>评价</w:t>
      </w:r>
      <w:r>
        <w:rPr>
          <w:rFonts w:hint="eastAsia" w:ascii="楷体" w:hAnsi="楷体" w:eastAsia="楷体" w:cs="楷体"/>
          <w:kern w:val="0"/>
          <w:sz w:val="32"/>
          <w:szCs w:val="32"/>
          <w:lang w:val="en-US" w:eastAsia="zh-CN"/>
        </w:rPr>
        <w:t>得分及</w:t>
      </w:r>
      <w:r>
        <w:rPr>
          <w:rFonts w:hint="eastAsia" w:ascii="楷体" w:hAnsi="楷体" w:eastAsia="楷体" w:cs="楷体"/>
          <w:kern w:val="0"/>
          <w:sz w:val="32"/>
          <w:szCs w:val="32"/>
        </w:rPr>
        <w:t>结论</w:t>
      </w:r>
    </w:p>
    <w:p>
      <w:pPr>
        <w:pStyle w:val="6"/>
        <w:pageBreakBefore w:val="0"/>
        <w:kinsoku/>
        <w:wordWrap/>
        <w:overflowPunct/>
        <w:topLinePunct w:val="0"/>
        <w:autoSpaceDE/>
        <w:autoSpaceDN/>
        <w:bidi w:val="0"/>
        <w:adjustRightInd/>
        <w:snapToGrid/>
        <w:spacing w:line="600" w:lineRule="exact"/>
        <w:ind w:firstLine="562"/>
        <w:textAlignment w:val="auto"/>
        <w:rPr>
          <w:rFonts w:hint="default" w:ascii="Times New Roman" w:hAnsi="Times New Roman" w:eastAsia="仿宋_GB2312" w:cs="Times New Roman"/>
          <w:b w:val="0"/>
          <w:kern w:val="0"/>
          <w:sz w:val="32"/>
          <w:szCs w:val="32"/>
          <w:lang w:val="en-US" w:eastAsia="zh-CN" w:bidi="ar-SA"/>
        </w:rPr>
      </w:pPr>
      <w:bookmarkStart w:id="251" w:name="_Toc25650519"/>
      <w:bookmarkStart w:id="252" w:name="_Toc28279535"/>
      <w:bookmarkStart w:id="253" w:name="_Toc28180170"/>
      <w:bookmarkStart w:id="254" w:name="_Toc27571605"/>
      <w:bookmarkStart w:id="255" w:name="_Toc9185"/>
      <w:bookmarkStart w:id="256" w:name="_Toc11970"/>
      <w:bookmarkStart w:id="257" w:name="_Toc28005418"/>
      <w:bookmarkStart w:id="258" w:name="_Toc12770"/>
      <w:bookmarkStart w:id="259" w:name="_Toc21357"/>
      <w:r>
        <w:rPr>
          <w:rFonts w:hint="eastAsia" w:ascii="Times New Roman" w:hAnsi="Times New Roman" w:eastAsia="仿宋_GB2312" w:cs="Times New Roman"/>
          <w:b w:val="0"/>
          <w:kern w:val="0"/>
          <w:sz w:val="32"/>
          <w:szCs w:val="32"/>
          <w:lang w:val="en-US" w:eastAsia="zh-CN" w:bidi="ar-SA"/>
        </w:rPr>
        <w:t>1.</w:t>
      </w:r>
      <w:bookmarkEnd w:id="251"/>
      <w:r>
        <w:rPr>
          <w:rFonts w:hint="eastAsia" w:ascii="Times New Roman" w:hAnsi="Times New Roman" w:eastAsia="仿宋_GB2312" w:cs="Times New Roman"/>
          <w:b w:val="0"/>
          <w:kern w:val="0"/>
          <w:sz w:val="32"/>
          <w:szCs w:val="32"/>
          <w:lang w:val="en-US" w:eastAsia="zh-CN" w:bidi="ar-SA"/>
        </w:rPr>
        <w:t>评分</w:t>
      </w:r>
      <w:bookmarkEnd w:id="252"/>
      <w:bookmarkEnd w:id="253"/>
      <w:bookmarkEnd w:id="254"/>
      <w:bookmarkEnd w:id="255"/>
      <w:bookmarkEnd w:id="256"/>
      <w:bookmarkEnd w:id="257"/>
      <w:r>
        <w:rPr>
          <w:rFonts w:hint="eastAsia" w:eastAsia="仿宋_GB2312" w:cs="Times New Roman"/>
          <w:b w:val="0"/>
          <w:kern w:val="0"/>
          <w:sz w:val="32"/>
          <w:szCs w:val="32"/>
          <w:lang w:val="en-US" w:eastAsia="zh-CN" w:bidi="ar-SA"/>
        </w:rPr>
        <w:t>得分</w:t>
      </w:r>
      <w:bookmarkEnd w:id="258"/>
      <w:bookmarkEnd w:id="259"/>
    </w:p>
    <w:p>
      <w:pPr>
        <w:ind w:firstLine="540"/>
        <w:rPr>
          <w:rFonts w:hint="eastAsia"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按照项目决策、项目过程、项目产出和项目效益的分析内容和思路，对济宁市兖州国家基本气象站迁建工程项目进行详细分析，总得分为87分。</w:t>
      </w:r>
      <w:bookmarkEnd w:id="245"/>
      <w:bookmarkEnd w:id="246"/>
      <w:bookmarkEnd w:id="247"/>
      <w:bookmarkEnd w:id="248"/>
      <w:bookmarkEnd w:id="249"/>
      <w:bookmarkEnd w:id="250"/>
      <w:r>
        <w:rPr>
          <w:rFonts w:ascii="Times New Roman" w:hAnsi="Times New Roman" w:eastAsia="仿宋_GB2312" w:cs="Times New Roman"/>
          <w:kern w:val="0"/>
          <w:sz w:val="32"/>
          <w:szCs w:val="32"/>
          <w:lang w:val="en-US" w:eastAsia="zh-CN" w:bidi="ar-SA"/>
        </w:rPr>
        <w:t>根据绩效评价综合结果，依据省财政厅相关规定确定该项目的等级为良。具体项目决策、过程、产出和效益的得分汇总表见下表</w:t>
      </w:r>
      <w:r>
        <w:rPr>
          <w:rFonts w:hint="eastAsia" w:eastAsia="仿宋_GB2312" w:cs="Times New Roman"/>
          <w:kern w:val="0"/>
          <w:sz w:val="32"/>
          <w:szCs w:val="32"/>
          <w:lang w:val="en-US" w:eastAsia="zh-CN" w:bidi="ar-SA"/>
        </w:rPr>
        <w:t>2：</w:t>
      </w:r>
    </w:p>
    <w:tbl>
      <w:tblPr>
        <w:tblStyle w:val="21"/>
        <w:tblpPr w:leftFromText="180" w:rightFromText="180" w:vertAnchor="text" w:horzAnchor="page" w:tblpX="1455" w:tblpY="1035"/>
        <w:tblOverlap w:val="never"/>
        <w:tblW w:w="9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15"/>
        <w:gridCol w:w="2755"/>
        <w:gridCol w:w="1567"/>
        <w:gridCol w:w="1567"/>
        <w:gridCol w:w="1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615" w:type="dxa"/>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一级指标</w:t>
            </w:r>
          </w:p>
        </w:tc>
        <w:tc>
          <w:tcPr>
            <w:tcW w:w="2755" w:type="dxa"/>
            <w:noWrap/>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二级指标</w:t>
            </w:r>
          </w:p>
        </w:tc>
        <w:tc>
          <w:tcPr>
            <w:tcW w:w="1567" w:type="dxa"/>
            <w:noWrap/>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满分</w:t>
            </w:r>
          </w:p>
        </w:tc>
        <w:tc>
          <w:tcPr>
            <w:tcW w:w="1567" w:type="dxa"/>
            <w:noWrap/>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得分</w:t>
            </w:r>
          </w:p>
        </w:tc>
        <w:tc>
          <w:tcPr>
            <w:tcW w:w="1567" w:type="dxa"/>
            <w:noWrap/>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615" w:type="dxa"/>
            <w:vMerge w:val="restar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A决策</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（20分）</w:t>
            </w:r>
          </w:p>
        </w:tc>
        <w:tc>
          <w:tcPr>
            <w:tcW w:w="2755"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A1项目立项</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6</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6</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615"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2755"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A2绩效目标</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6</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5</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615"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2755"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A3资金投入</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8</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6</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75.00%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615" w:type="dxa"/>
            <w:vMerge w:val="restar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B过程</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（20分）</w:t>
            </w:r>
          </w:p>
        </w:tc>
        <w:tc>
          <w:tcPr>
            <w:tcW w:w="2755"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B1资金管理</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8</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8</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615"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2755"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B2组织实施</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12</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9</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75.00%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615" w:type="dxa"/>
            <w:vMerge w:val="restar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C产出</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（30分）</w:t>
            </w:r>
          </w:p>
        </w:tc>
        <w:tc>
          <w:tcPr>
            <w:tcW w:w="2755"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C1产出数量</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615"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2755"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C2产出质量</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12</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12</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615"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2755"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C3产出时效</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10</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5</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615"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2755"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C4产出成本</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615" w:type="dxa"/>
            <w:vMerge w:val="restar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D效益</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（30分）</w:t>
            </w:r>
          </w:p>
        </w:tc>
        <w:tc>
          <w:tcPr>
            <w:tcW w:w="2755"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D1项目效益</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24</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24</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1615"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2755"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D2受益群众满意度</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6</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6</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rPr>
        <w:tc>
          <w:tcPr>
            <w:tcW w:w="4370" w:type="dxa"/>
            <w:gridSpan w:val="2"/>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合计</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100</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87</w:t>
            </w:r>
          </w:p>
        </w:tc>
        <w:tc>
          <w:tcPr>
            <w:tcW w:w="1567" w:type="dxa"/>
            <w:noWrap/>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87.00%</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firstLine="0" w:firstLineChars="0"/>
        <w:jc w:val="center"/>
        <w:textAlignment w:val="auto"/>
        <w:rPr>
          <w:rFonts w:hint="eastAsia" w:ascii="方正小标宋_GBK" w:hAnsi="方正小标宋_GBK" w:eastAsia="方正小标宋_GBK" w:cs="方正小标宋_GBK"/>
          <w:color w:val="000000"/>
          <w:sz w:val="32"/>
          <w:szCs w:val="32"/>
        </w:rPr>
      </w:pPr>
      <w:r>
        <w:rPr>
          <w:rFonts w:hint="eastAsia" w:ascii="方正小标宋_GBK" w:hAnsi="方正小标宋_GBK" w:eastAsia="方正小标宋_GBK" w:cs="方正小标宋_GBK"/>
          <w:color w:val="000000"/>
          <w:sz w:val="32"/>
          <w:szCs w:val="32"/>
        </w:rPr>
        <w:t>表</w:t>
      </w:r>
      <w:r>
        <w:rPr>
          <w:rFonts w:hint="eastAsia" w:ascii="方正小标宋_GBK" w:hAnsi="方正小标宋_GBK" w:eastAsia="方正小标宋_GBK" w:cs="方正小标宋_GBK"/>
          <w:color w:val="000000"/>
          <w:sz w:val="32"/>
          <w:szCs w:val="32"/>
          <w:lang w:val="en-US" w:eastAsia="zh-CN"/>
        </w:rPr>
        <w:t>2.</w:t>
      </w:r>
      <w:r>
        <w:rPr>
          <w:rFonts w:hint="eastAsia" w:ascii="方正小标宋_GBK" w:hAnsi="方正小标宋_GBK" w:eastAsia="方正小标宋_GBK" w:cs="方正小标宋_GBK"/>
          <w:color w:val="000000"/>
          <w:sz w:val="32"/>
          <w:szCs w:val="32"/>
        </w:rPr>
        <w:t>指标评价得分汇总表</w:t>
      </w:r>
    </w:p>
    <w:p>
      <w:pPr>
        <w:pStyle w:val="6"/>
        <w:pageBreakBefore w:val="0"/>
        <w:kinsoku/>
        <w:wordWrap/>
        <w:overflowPunct/>
        <w:topLinePunct w:val="0"/>
        <w:autoSpaceDE/>
        <w:autoSpaceDN/>
        <w:bidi w:val="0"/>
        <w:adjustRightInd/>
        <w:snapToGrid/>
        <w:spacing w:line="600" w:lineRule="exact"/>
        <w:ind w:firstLine="562"/>
        <w:textAlignment w:val="auto"/>
        <w:rPr>
          <w:rFonts w:hint="eastAsia" w:ascii="Times New Roman" w:hAnsi="Times New Roman" w:eastAsia="仿宋_GB2312" w:cs="Times New Roman"/>
          <w:kern w:val="0"/>
          <w:sz w:val="32"/>
          <w:szCs w:val="32"/>
          <w:lang w:val="en-US" w:eastAsia="zh-CN" w:bidi="ar-SA"/>
        </w:rPr>
      </w:pPr>
      <w:bookmarkStart w:id="260" w:name="_Toc31731"/>
      <w:bookmarkStart w:id="261" w:name="_Toc12506"/>
      <w:bookmarkStart w:id="262" w:name="_Toc10692"/>
      <w:r>
        <w:rPr>
          <w:rFonts w:hint="eastAsia" w:ascii="Times New Roman" w:hAnsi="Times New Roman" w:eastAsia="仿宋_GB2312" w:cs="Times New Roman"/>
          <w:b w:val="0"/>
          <w:kern w:val="0"/>
          <w:sz w:val="32"/>
          <w:szCs w:val="32"/>
          <w:lang w:val="en-US" w:eastAsia="zh-CN" w:bidi="ar-SA"/>
        </w:rPr>
        <w:t>2.</w:t>
      </w:r>
      <w:r>
        <w:rPr>
          <w:rFonts w:hint="eastAsia" w:eastAsia="仿宋_GB2312" w:cs="Times New Roman"/>
          <w:b w:val="0"/>
          <w:kern w:val="0"/>
          <w:sz w:val="32"/>
          <w:szCs w:val="32"/>
          <w:lang w:val="en-US" w:eastAsia="zh-CN" w:bidi="ar-SA"/>
        </w:rPr>
        <w:t>评价</w:t>
      </w:r>
      <w:r>
        <w:rPr>
          <w:rFonts w:hint="eastAsia" w:ascii="Times New Roman" w:hAnsi="Times New Roman" w:eastAsia="仿宋_GB2312" w:cs="Times New Roman"/>
          <w:b w:val="0"/>
          <w:kern w:val="0"/>
          <w:sz w:val="32"/>
          <w:szCs w:val="32"/>
          <w:lang w:val="en-US" w:eastAsia="zh-CN" w:bidi="ar-SA"/>
        </w:rPr>
        <w:t>结论</w:t>
      </w:r>
      <w:bookmarkEnd w:id="260"/>
      <w:bookmarkEnd w:id="261"/>
      <w:bookmarkEnd w:id="262"/>
    </w:p>
    <w:p>
      <w:pPr>
        <w:spacing w:line="600" w:lineRule="exact"/>
        <w:ind w:firstLine="540"/>
        <w:rPr>
          <w:rFonts w:hint="eastAsia" w:eastAsia="黑体"/>
          <w:kern w:val="0"/>
          <w:sz w:val="32"/>
          <w:szCs w:val="32"/>
        </w:rPr>
      </w:pPr>
      <w:r>
        <w:rPr>
          <w:rFonts w:hint="eastAsia" w:ascii="Times New Roman" w:hAnsi="Times New Roman" w:eastAsia="仿宋_GB2312" w:cs="Times New Roman"/>
          <w:kern w:val="0"/>
          <w:sz w:val="32"/>
          <w:szCs w:val="32"/>
          <w:lang w:val="en-US" w:eastAsia="zh-CN" w:bidi="ar-SA"/>
        </w:rPr>
        <w:t>该项目立项依据比较充分，绩效目标合理，业务管理比较规范，资金到位及时，支出合规合理，但存在部分指标设置不符合要求，施工许可证等审批滞后，合同工期不合理，实际工期超出计划工期。项目实现了预期目标，相关工程设备按照相关实施方案的要求时间投入使用，取得了较好的社会效益。</w:t>
      </w:r>
    </w:p>
    <w:p>
      <w:pPr>
        <w:widowControl w:val="0"/>
        <w:overflowPunct w:val="0"/>
        <w:autoSpaceDE w:val="0"/>
        <w:autoSpaceDN w:val="0"/>
        <w:adjustRightInd w:val="0"/>
        <w:spacing w:line="600" w:lineRule="exact"/>
        <w:ind w:firstLine="640" w:firstLineChars="200"/>
        <w:textAlignment w:val="baseline"/>
        <w:outlineLvl w:val="0"/>
        <w:rPr>
          <w:rFonts w:hint="eastAsia" w:eastAsia="黑体"/>
          <w:kern w:val="0"/>
          <w:sz w:val="32"/>
          <w:szCs w:val="32"/>
          <w:lang w:val="zh-CN" w:eastAsia="zh-CN"/>
        </w:rPr>
      </w:pPr>
      <w:bookmarkStart w:id="263" w:name="_Toc20365"/>
      <w:r>
        <w:rPr>
          <w:rFonts w:hint="eastAsia" w:eastAsia="黑体"/>
          <w:kern w:val="0"/>
          <w:sz w:val="32"/>
          <w:szCs w:val="32"/>
          <w:lang w:val="en-US" w:eastAsia="zh-CN"/>
        </w:rPr>
        <w:t>五</w:t>
      </w:r>
      <w:r>
        <w:rPr>
          <w:rFonts w:hint="eastAsia" w:eastAsia="黑体"/>
          <w:kern w:val="0"/>
          <w:sz w:val="32"/>
          <w:szCs w:val="32"/>
          <w:lang w:val="zh-CN" w:eastAsia="zh-CN"/>
        </w:rPr>
        <w:t>、</w:t>
      </w:r>
      <w:bookmarkEnd w:id="216"/>
      <w:bookmarkEnd w:id="217"/>
      <w:bookmarkEnd w:id="218"/>
      <w:bookmarkEnd w:id="219"/>
      <w:r>
        <w:rPr>
          <w:rFonts w:hint="eastAsia" w:eastAsia="黑体"/>
          <w:kern w:val="0"/>
          <w:sz w:val="32"/>
          <w:szCs w:val="32"/>
          <w:lang w:val="en-US" w:eastAsia="zh-CN"/>
        </w:rPr>
        <w:t>绩效评价指标分析</w:t>
      </w:r>
      <w:bookmarkEnd w:id="263"/>
    </w:p>
    <w:p>
      <w:pPr>
        <w:widowControl w:val="0"/>
        <w:overflowPunct w:val="0"/>
        <w:autoSpaceDE w:val="0"/>
        <w:autoSpaceDN w:val="0"/>
        <w:adjustRightInd w:val="0"/>
        <w:spacing w:line="600" w:lineRule="exact"/>
        <w:ind w:firstLine="640" w:firstLineChars="200"/>
        <w:jc w:val="left"/>
        <w:textAlignment w:val="baseline"/>
        <w:outlineLvl w:val="1"/>
        <w:rPr>
          <w:rFonts w:hint="eastAsia" w:eastAsia="楷体"/>
          <w:kern w:val="0"/>
          <w:sz w:val="32"/>
          <w:szCs w:val="32"/>
          <w:lang w:val="en-US" w:eastAsia="zh-CN"/>
        </w:rPr>
      </w:pPr>
      <w:bookmarkStart w:id="264" w:name="_Toc31534"/>
      <w:bookmarkStart w:id="265" w:name="_Toc28279531"/>
      <w:bookmarkStart w:id="266" w:name="_Toc27571601"/>
      <w:bookmarkStart w:id="267" w:name="_Toc18219"/>
      <w:bookmarkStart w:id="268" w:name="_Toc28180166"/>
      <w:bookmarkStart w:id="269" w:name="_Toc28005414"/>
      <w:bookmarkStart w:id="270" w:name="_Toc3925"/>
      <w:r>
        <w:rPr>
          <w:rFonts w:hint="eastAsia" w:eastAsia="楷体"/>
          <w:kern w:val="0"/>
          <w:sz w:val="32"/>
          <w:szCs w:val="32"/>
          <w:lang w:val="en-US" w:eastAsia="zh-CN"/>
        </w:rPr>
        <w:t>（一）项目决策情况</w:t>
      </w:r>
      <w:bookmarkEnd w:id="264"/>
      <w:bookmarkEnd w:id="265"/>
      <w:bookmarkEnd w:id="266"/>
      <w:bookmarkEnd w:id="267"/>
      <w:bookmarkEnd w:id="268"/>
      <w:bookmarkEnd w:id="269"/>
      <w:bookmarkEnd w:id="270"/>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项目决策分析主要从项目立项、项目绩效目标设定、资金投入安排等三个方面分析，满分20分，得分17分，得分率85%。其中项目立项，得分为6分，得分率100%；绩效目标设定得分为5分，得分率为83.33%；资金投入安排得分6分，得分率75%。各项得分情况如表</w:t>
      </w:r>
      <w:r>
        <w:rPr>
          <w:rFonts w:hint="eastAsia" w:eastAsia="仿宋_GB2312" w:cs="Times New Roman"/>
          <w:kern w:val="0"/>
          <w:sz w:val="32"/>
          <w:szCs w:val="32"/>
          <w:lang w:val="en-US" w:eastAsia="zh-CN" w:bidi="ar-SA"/>
        </w:rPr>
        <w:t>3</w:t>
      </w:r>
      <w:r>
        <w:rPr>
          <w:rFonts w:ascii="Times New Roman" w:hAnsi="Times New Roman" w:eastAsia="仿宋_GB2312" w:cs="Times New Roman"/>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firstLine="0" w:firstLineChars="0"/>
        <w:jc w:val="center"/>
        <w:textAlignment w:val="auto"/>
        <w:rPr>
          <w:rFonts w:hint="eastAsia" w:ascii="方正小标宋_GBK" w:hAnsi="方正小标宋_GBK" w:eastAsia="方正小标宋_GBK" w:cs="方正小标宋_GBK"/>
          <w:color w:val="000000"/>
          <w:sz w:val="32"/>
          <w:szCs w:val="32"/>
        </w:rPr>
      </w:pPr>
      <w:r>
        <w:rPr>
          <w:rFonts w:hint="eastAsia" w:ascii="方正小标宋_GBK" w:hAnsi="方正小标宋_GBK" w:eastAsia="方正小标宋_GBK" w:cs="方正小标宋_GBK"/>
          <w:color w:val="000000"/>
          <w:sz w:val="32"/>
          <w:szCs w:val="32"/>
        </w:rPr>
        <w:t>表</w:t>
      </w:r>
      <w:r>
        <w:rPr>
          <w:rFonts w:hint="eastAsia" w:ascii="方正小标宋_GBK" w:hAnsi="方正小标宋_GBK" w:eastAsia="方正小标宋_GBK" w:cs="方正小标宋_GBK"/>
          <w:color w:val="000000"/>
          <w:sz w:val="32"/>
          <w:szCs w:val="32"/>
          <w:lang w:val="en-US" w:eastAsia="zh-CN"/>
        </w:rPr>
        <w:t>3.</w:t>
      </w:r>
      <w:r>
        <w:rPr>
          <w:rFonts w:hint="eastAsia" w:ascii="方正小标宋_GBK" w:hAnsi="方正小标宋_GBK" w:eastAsia="方正小标宋_GBK" w:cs="方正小标宋_GBK"/>
          <w:color w:val="000000"/>
          <w:sz w:val="32"/>
          <w:szCs w:val="32"/>
        </w:rPr>
        <w:t>项目决策得分情况统计</w:t>
      </w:r>
    </w:p>
    <w:tbl>
      <w:tblPr>
        <w:tblStyle w:val="21"/>
        <w:tblW w:w="9071" w:type="dxa"/>
        <w:jc w:val="center"/>
        <w:tblLayout w:type="fixed"/>
        <w:tblCellMar>
          <w:top w:w="0" w:type="dxa"/>
          <w:left w:w="0" w:type="dxa"/>
          <w:bottom w:w="0" w:type="dxa"/>
          <w:right w:w="0" w:type="dxa"/>
        </w:tblCellMar>
      </w:tblPr>
      <w:tblGrid>
        <w:gridCol w:w="2309"/>
        <w:gridCol w:w="3990"/>
        <w:gridCol w:w="1110"/>
        <w:gridCol w:w="1662"/>
      </w:tblGrid>
      <w:tr>
        <w:tblPrEx>
          <w:tblCellMar>
            <w:top w:w="0" w:type="dxa"/>
            <w:left w:w="0" w:type="dxa"/>
            <w:bottom w:w="0" w:type="dxa"/>
            <w:right w:w="0" w:type="dxa"/>
          </w:tblCellMar>
        </w:tblPrEx>
        <w:trPr>
          <w:trHeight w:val="454" w:hRule="atLeast"/>
          <w:jc w:val="center"/>
        </w:trPr>
        <w:tc>
          <w:tcPr>
            <w:tcW w:w="2309" w:type="dxa"/>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二级指标</w:t>
            </w:r>
          </w:p>
        </w:tc>
        <w:tc>
          <w:tcPr>
            <w:tcW w:w="3990" w:type="dxa"/>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三级指标</w:t>
            </w:r>
          </w:p>
        </w:tc>
        <w:tc>
          <w:tcPr>
            <w:tcW w:w="1110" w:type="dxa"/>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分值</w:t>
            </w:r>
          </w:p>
        </w:tc>
        <w:tc>
          <w:tcPr>
            <w:tcW w:w="16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评价得分</w:t>
            </w:r>
          </w:p>
        </w:tc>
      </w:tr>
      <w:tr>
        <w:tblPrEx>
          <w:tblCellMar>
            <w:top w:w="0" w:type="dxa"/>
            <w:left w:w="0" w:type="dxa"/>
            <w:bottom w:w="0" w:type="dxa"/>
            <w:right w:w="0" w:type="dxa"/>
          </w:tblCellMar>
        </w:tblPrEx>
        <w:trPr>
          <w:trHeight w:val="454" w:hRule="atLeast"/>
          <w:jc w:val="center"/>
        </w:trPr>
        <w:tc>
          <w:tcPr>
            <w:tcW w:w="230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A1项目立项</w:t>
            </w:r>
          </w:p>
        </w:tc>
        <w:tc>
          <w:tcPr>
            <w:tcW w:w="3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A11立项依据充分性</w:t>
            </w:r>
          </w:p>
        </w:tc>
        <w:tc>
          <w:tcPr>
            <w:tcW w:w="11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w:t>
            </w:r>
          </w:p>
        </w:tc>
        <w:tc>
          <w:tcPr>
            <w:tcW w:w="1662"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w:t>
            </w:r>
          </w:p>
        </w:tc>
      </w:tr>
      <w:tr>
        <w:tblPrEx>
          <w:tblCellMar>
            <w:top w:w="0" w:type="dxa"/>
            <w:left w:w="0" w:type="dxa"/>
            <w:bottom w:w="0" w:type="dxa"/>
            <w:right w:w="0" w:type="dxa"/>
          </w:tblCellMar>
        </w:tblPrEx>
        <w:trPr>
          <w:trHeight w:val="454" w:hRule="atLeast"/>
          <w:jc w:val="center"/>
        </w:trPr>
        <w:tc>
          <w:tcPr>
            <w:tcW w:w="230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3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A12立项程序规范性</w:t>
            </w:r>
          </w:p>
        </w:tc>
        <w:tc>
          <w:tcPr>
            <w:tcW w:w="11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w:t>
            </w:r>
          </w:p>
        </w:tc>
        <w:tc>
          <w:tcPr>
            <w:tcW w:w="1662"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w:t>
            </w:r>
          </w:p>
        </w:tc>
      </w:tr>
      <w:tr>
        <w:tblPrEx>
          <w:tblCellMar>
            <w:top w:w="0" w:type="dxa"/>
            <w:left w:w="0" w:type="dxa"/>
            <w:bottom w:w="0" w:type="dxa"/>
            <w:right w:w="0" w:type="dxa"/>
          </w:tblCellMar>
        </w:tblPrEx>
        <w:trPr>
          <w:trHeight w:val="454" w:hRule="atLeast"/>
          <w:jc w:val="center"/>
        </w:trPr>
        <w:tc>
          <w:tcPr>
            <w:tcW w:w="230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A2绩效目标</w:t>
            </w:r>
          </w:p>
        </w:tc>
        <w:tc>
          <w:tcPr>
            <w:tcW w:w="3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A21绩效目标合理性</w:t>
            </w:r>
          </w:p>
        </w:tc>
        <w:tc>
          <w:tcPr>
            <w:tcW w:w="11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w:t>
            </w:r>
          </w:p>
        </w:tc>
        <w:tc>
          <w:tcPr>
            <w:tcW w:w="1662"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w:t>
            </w:r>
          </w:p>
        </w:tc>
      </w:tr>
      <w:tr>
        <w:tblPrEx>
          <w:tblCellMar>
            <w:top w:w="0" w:type="dxa"/>
            <w:left w:w="0" w:type="dxa"/>
            <w:bottom w:w="0" w:type="dxa"/>
            <w:right w:w="0" w:type="dxa"/>
          </w:tblCellMar>
        </w:tblPrEx>
        <w:trPr>
          <w:trHeight w:val="454" w:hRule="atLeast"/>
          <w:jc w:val="center"/>
        </w:trPr>
        <w:tc>
          <w:tcPr>
            <w:tcW w:w="230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3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A22绩效指标明确性</w:t>
            </w:r>
          </w:p>
        </w:tc>
        <w:tc>
          <w:tcPr>
            <w:tcW w:w="11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w:t>
            </w:r>
          </w:p>
        </w:tc>
        <w:tc>
          <w:tcPr>
            <w:tcW w:w="1662"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w:t>
            </w:r>
          </w:p>
        </w:tc>
      </w:tr>
      <w:tr>
        <w:tblPrEx>
          <w:tblCellMar>
            <w:top w:w="0" w:type="dxa"/>
            <w:left w:w="0" w:type="dxa"/>
            <w:bottom w:w="0" w:type="dxa"/>
            <w:right w:w="0" w:type="dxa"/>
          </w:tblCellMar>
        </w:tblPrEx>
        <w:trPr>
          <w:trHeight w:val="454" w:hRule="atLeast"/>
          <w:jc w:val="center"/>
        </w:trPr>
        <w:tc>
          <w:tcPr>
            <w:tcW w:w="230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A3资金投入</w:t>
            </w:r>
          </w:p>
        </w:tc>
        <w:tc>
          <w:tcPr>
            <w:tcW w:w="3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A31预算编制科学性</w:t>
            </w:r>
          </w:p>
        </w:tc>
        <w:tc>
          <w:tcPr>
            <w:tcW w:w="11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c>
          <w:tcPr>
            <w:tcW w:w="1662"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w:t>
            </w:r>
          </w:p>
        </w:tc>
      </w:tr>
      <w:tr>
        <w:tblPrEx>
          <w:tblCellMar>
            <w:top w:w="0" w:type="dxa"/>
            <w:left w:w="0" w:type="dxa"/>
            <w:bottom w:w="0" w:type="dxa"/>
            <w:right w:w="0" w:type="dxa"/>
          </w:tblCellMar>
        </w:tblPrEx>
        <w:trPr>
          <w:trHeight w:val="454" w:hRule="atLeast"/>
          <w:jc w:val="center"/>
        </w:trPr>
        <w:tc>
          <w:tcPr>
            <w:tcW w:w="230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3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A32资金分配合理性</w:t>
            </w:r>
          </w:p>
        </w:tc>
        <w:tc>
          <w:tcPr>
            <w:tcW w:w="11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c>
          <w:tcPr>
            <w:tcW w:w="1662"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r>
      <w:tr>
        <w:tblPrEx>
          <w:tblCellMar>
            <w:top w:w="0" w:type="dxa"/>
            <w:left w:w="0" w:type="dxa"/>
            <w:bottom w:w="0" w:type="dxa"/>
            <w:right w:w="0" w:type="dxa"/>
          </w:tblCellMar>
        </w:tblPrEx>
        <w:trPr>
          <w:trHeight w:val="454" w:hRule="atLeast"/>
          <w:jc w:val="center"/>
        </w:trPr>
        <w:tc>
          <w:tcPr>
            <w:tcW w:w="6299"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合计</w:t>
            </w:r>
          </w:p>
        </w:tc>
        <w:tc>
          <w:tcPr>
            <w:tcW w:w="11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w:t>
            </w:r>
          </w:p>
        </w:tc>
        <w:tc>
          <w:tcPr>
            <w:tcW w:w="1662"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17</w:t>
            </w:r>
          </w:p>
        </w:tc>
      </w:tr>
    </w:tbl>
    <w:p>
      <w:pPr>
        <w:pStyle w:val="2"/>
        <w:spacing w:line="600" w:lineRule="exact"/>
        <w:ind w:firstLine="540"/>
      </w:pPr>
      <w:r>
        <w:rPr>
          <w:rFonts w:hint="eastAsia"/>
          <w:lang w:val="en-US" w:eastAsia="zh-CN"/>
        </w:rPr>
        <w:t>1.</w:t>
      </w:r>
      <w:r>
        <w:t>项目立项情况</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①立项依据充分性</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根据兖州区政府2016年第50次常务会议纪要，为促进我区城市规划实施和老城区开发建设，区政府确定兖州国家基本气象站实施整体搬迁。区发展和改革局《关于济宁市兖州国家基本气象站迁建工程项目可行性研究报告的批复》（兖发改〔2018〕08号）同意建设兖州国家基本气象站迁建项目。批复内容：项目建设地点位于兖州区兴隆庄街道办事处中心路以东、大桥社区西南，项目拟新征用地面积58.8亩，建筑面积为2508平方米，其中：业务用房1560平方米、附属用房816平方米、传达室等132平方米。配套建设气象观测站、道路、供配电、绿化及给排水、大门等公用工程和设施。项目总投资1,905.00万元，资金来源全部为区级财政资金。</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项目立项符合国家法律法规、国民经济发展规划和相关政策；符合行业发展规划和政策要求；项目立项与执行部门的职责范围相符，是其履职所需；属于公共财政支持范围。该指标得分3分。</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②立项程序规范性</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根据兖州区政府2016年第50次常务会议纪要，为促进我区城市规划实施和老城区开发建设，区政府确定兖州国家基本气象站实施整体搬迁。委托山东中明工程咨询有限公司于2018年1月编制济宁市兖州国家基本气象站迁建工程项目可行性研究报告（修正）（鲁中明可研编字（2018）第2001号）。</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项目资金严格按照程序报批。审批文件、材料符合相关要求；事前已经过必要的可行性研究、专家论证、风险评估、绩效评估、集体决策。该指标得分3分。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eastAsia="仿宋_GB2312" w:cs="Times New Roman"/>
          <w:kern w:val="0"/>
          <w:sz w:val="32"/>
          <w:szCs w:val="32"/>
          <w:lang w:val="en-US" w:eastAsia="zh-CN" w:bidi="ar-SA"/>
        </w:rPr>
        <w:t>2.</w:t>
      </w:r>
      <w:r>
        <w:rPr>
          <w:rFonts w:ascii="Times New Roman" w:hAnsi="Times New Roman" w:eastAsia="仿宋_GB2312" w:cs="Times New Roman"/>
          <w:kern w:val="0"/>
          <w:sz w:val="32"/>
          <w:szCs w:val="32"/>
          <w:lang w:val="en-US" w:eastAsia="zh-CN" w:bidi="ar-SA"/>
        </w:rPr>
        <w:t>绩效目标情况</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①绩效目标合理性</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根据绩效目标申报表，年度目标：保证各类地面气象观测系统地、连续地进行，满足规范规定的准确度要求，提供及时有效的观测数据，为天气预报、气象信息、气候分析、科学研究和气象服务提供重要的依据。考察项目的绩效目标，绩效目标与实际工作内容具有相关性、预期产出效益和效果符合正常的业绩水平，绩效目标设置合理。</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该指标得分3分。</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②绩效指标明确性</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根据绩效目标申报表，该项目绩效目标设置了具体的产出指标和效益指标，产出数量、质量、成本和时效等指标值清晰、可衡量，经济效益、社会效益、生态效益指标比较具体，指标值清晰、可衡量。但是数量指标设置为“气象站供电安装、线路改造和建设”，指标值为650万元，指标分类错误，该指标为成本指标，产出数量指标应反映预算部门计划完成的产品或服务数量，效益指标“提升生产生活空气质量”不能反映项目相关产出对社会发展带来的影响和效果，酌情扣分1分，该指标得分2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eastAsia="仿宋_GB2312" w:cs="Times New Roman"/>
          <w:kern w:val="0"/>
          <w:sz w:val="32"/>
          <w:szCs w:val="32"/>
          <w:lang w:val="en-US" w:eastAsia="zh-CN" w:bidi="ar-SA"/>
        </w:rPr>
        <w:t>3.</w:t>
      </w:r>
      <w:r>
        <w:rPr>
          <w:rFonts w:ascii="Times New Roman" w:hAnsi="Times New Roman" w:eastAsia="仿宋_GB2312" w:cs="Times New Roman"/>
          <w:kern w:val="0"/>
          <w:sz w:val="32"/>
          <w:szCs w:val="32"/>
          <w:lang w:val="en-US" w:eastAsia="zh-CN" w:bidi="ar-SA"/>
        </w:rPr>
        <w:t>资金投入情况</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①预算编制科学性</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2018年1月12日获得济宁市兖州区发展和改革局“关于济宁市兖州国家基本气象站迁建工程建设项目可行性研究报告的批复”（兖发改【2018】08号），项目总投资1,905.00万元，资金来源全部为区级财政资金。2020年8月17日济宁市兖州区财政投资评审服务中心对兖州气象局报送的“兖州国际基本气象站项目追加工程预算”进行了评审，并出具了“关于兖州国家基本气象站项目追加工程预算的评审报告”（兖财审预报字【2020】第80号），项目追加工程预算评审额为1,743，861.94元。兖州国家基本气象站项目追加工程预算后，项目投资由原批复金额1,905.00万元变为2,079.39万元。根据工程进度，2019申请拨付650万元，2020年申请拨付630万元，2021年申请拨付531.34万元。</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济宁市兖州国家基本气象站迁建工程项目预算编制经过科学论证；预算内容与项目内容匹配；预算确定的项目投资额或资金量与工作任务相匹配，项目进行科学预算编制和可行性分析，每一笔预算均有相关工作任务与之相对应。由于期初项目预算投资金额与实际项目投资金额估算存在较大差额，进行了一次追加工程预算，酌情扣分2分，该指标得分2分。</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②资金分配合理性</w:t>
      </w:r>
    </w:p>
    <w:p>
      <w:pPr>
        <w:spacing w:line="600" w:lineRule="exact"/>
        <w:ind w:firstLine="540"/>
        <w:rPr>
          <w:rFonts w:ascii="Times New Roman" w:hAnsi="Times New Roman" w:eastAsia="仿宋_GB2312" w:cs="Times New Roman"/>
          <w:kern w:val="0"/>
          <w:sz w:val="32"/>
          <w:szCs w:val="32"/>
          <w:lang w:val="en-US" w:eastAsia="zh-CN" w:bidi="ar-SA"/>
        </w:rPr>
      </w:pPr>
      <w:bookmarkStart w:id="271" w:name="_Toc27571602"/>
      <w:bookmarkStart w:id="272" w:name="_Toc25650514"/>
      <w:bookmarkStart w:id="273" w:name="_Toc28279532"/>
      <w:bookmarkStart w:id="274" w:name="_Toc28005415"/>
      <w:bookmarkStart w:id="275" w:name="_Toc28180167"/>
      <w:bookmarkStart w:id="276" w:name="_Toc21887"/>
      <w:r>
        <w:rPr>
          <w:rFonts w:ascii="Times New Roman" w:hAnsi="Times New Roman" w:eastAsia="仿宋_GB2312" w:cs="Times New Roman"/>
          <w:kern w:val="0"/>
          <w:sz w:val="32"/>
          <w:szCs w:val="32"/>
          <w:lang w:val="en-US" w:eastAsia="zh-CN" w:bidi="ar-SA"/>
        </w:rPr>
        <w:t>该指标反映和考核项目预算资金分配的科学性、合理性。①预算资金分配依据批复的可行性研究报告、签订的施工合同和采购合同、实际执行情况；②资金分配额度合理，与项目单位或地方实际相适应，资金实际分配情况详见附件2：兖州国家基本气象站迁建项目经费落实情况。该指标得分4分。</w:t>
      </w:r>
    </w:p>
    <w:bookmarkEnd w:id="271"/>
    <w:bookmarkEnd w:id="272"/>
    <w:bookmarkEnd w:id="273"/>
    <w:bookmarkEnd w:id="274"/>
    <w:bookmarkEnd w:id="275"/>
    <w:bookmarkEnd w:id="276"/>
    <w:p>
      <w:pPr>
        <w:widowControl w:val="0"/>
        <w:overflowPunct w:val="0"/>
        <w:autoSpaceDE w:val="0"/>
        <w:autoSpaceDN w:val="0"/>
        <w:adjustRightInd w:val="0"/>
        <w:spacing w:line="600" w:lineRule="exact"/>
        <w:ind w:firstLine="640" w:firstLineChars="200"/>
        <w:jc w:val="left"/>
        <w:textAlignment w:val="baseline"/>
        <w:outlineLvl w:val="1"/>
        <w:rPr>
          <w:rFonts w:hint="default" w:eastAsia="楷体"/>
          <w:kern w:val="0"/>
          <w:sz w:val="32"/>
          <w:szCs w:val="32"/>
          <w:lang w:val="en-US" w:eastAsia="zh-CN"/>
        </w:rPr>
      </w:pPr>
      <w:bookmarkStart w:id="277" w:name="_Toc675"/>
      <w:bookmarkStart w:id="278" w:name="_Toc6957"/>
      <w:r>
        <w:rPr>
          <w:rFonts w:hint="eastAsia" w:eastAsia="楷体"/>
          <w:kern w:val="0"/>
          <w:sz w:val="32"/>
          <w:szCs w:val="32"/>
          <w:lang w:val="en-US" w:eastAsia="zh-CN"/>
        </w:rPr>
        <w:t>（二）项目过程情况</w:t>
      </w:r>
      <w:bookmarkEnd w:id="277"/>
      <w:bookmarkEnd w:id="278"/>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项目过程分析主要从资金管理和组织实施等两个方面分析，满分20分，得分17分，得分率85%。其中在资金管理得分为8分，得分率100%；在组织实施得分为9分，得分率75%。各项得分情况如表</w:t>
      </w:r>
      <w:r>
        <w:rPr>
          <w:rFonts w:hint="eastAsia" w:eastAsia="仿宋_GB2312" w:cs="Times New Roman"/>
          <w:kern w:val="0"/>
          <w:sz w:val="32"/>
          <w:szCs w:val="32"/>
          <w:lang w:val="en-US" w:eastAsia="zh-CN" w:bidi="ar-SA"/>
        </w:rPr>
        <w:t>4</w:t>
      </w:r>
      <w:r>
        <w:rPr>
          <w:rFonts w:ascii="Times New Roman" w:hAnsi="Times New Roman" w:eastAsia="仿宋_GB2312" w:cs="Times New Roman"/>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firstLine="0" w:firstLineChars="0"/>
        <w:jc w:val="center"/>
        <w:textAlignment w:val="auto"/>
        <w:rPr>
          <w:rFonts w:hint="eastAsia" w:ascii="方正小标宋_GBK" w:hAnsi="方正小标宋_GBK" w:eastAsia="方正小标宋_GBK" w:cs="方正小标宋_GBK"/>
          <w:color w:val="000000"/>
          <w:sz w:val="32"/>
          <w:szCs w:val="32"/>
        </w:rPr>
      </w:pPr>
      <w:r>
        <w:rPr>
          <w:rFonts w:hint="eastAsia" w:ascii="方正小标宋_GBK" w:hAnsi="方正小标宋_GBK" w:eastAsia="方正小标宋_GBK" w:cs="方正小标宋_GBK"/>
          <w:color w:val="000000"/>
          <w:sz w:val="32"/>
          <w:szCs w:val="32"/>
        </w:rPr>
        <w:t>表</w:t>
      </w:r>
      <w:r>
        <w:rPr>
          <w:rFonts w:hint="eastAsia" w:ascii="方正小标宋_GBK" w:hAnsi="方正小标宋_GBK" w:eastAsia="方正小标宋_GBK" w:cs="方正小标宋_GBK"/>
          <w:color w:val="000000"/>
          <w:sz w:val="32"/>
          <w:szCs w:val="32"/>
          <w:lang w:val="en-US" w:eastAsia="zh-CN"/>
        </w:rPr>
        <w:t>4.</w:t>
      </w:r>
      <w:r>
        <w:rPr>
          <w:rFonts w:hint="eastAsia" w:ascii="方正小标宋_GBK" w:hAnsi="方正小标宋_GBK" w:eastAsia="方正小标宋_GBK" w:cs="方正小标宋_GBK"/>
          <w:color w:val="000000"/>
          <w:sz w:val="32"/>
          <w:szCs w:val="32"/>
        </w:rPr>
        <w:t>项目过程得分情况统计</w:t>
      </w:r>
    </w:p>
    <w:tbl>
      <w:tblPr>
        <w:tblStyle w:val="21"/>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64"/>
        <w:gridCol w:w="4095"/>
        <w:gridCol w:w="1350"/>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964" w:type="dxa"/>
            <w:shd w:val="clear" w:color="auto" w:fill="FFFFFF"/>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二级指标</w:t>
            </w:r>
          </w:p>
        </w:tc>
        <w:tc>
          <w:tcPr>
            <w:tcW w:w="4095" w:type="dxa"/>
            <w:shd w:val="clear" w:color="auto" w:fill="FFFFFF"/>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三级指标</w:t>
            </w:r>
          </w:p>
        </w:tc>
        <w:tc>
          <w:tcPr>
            <w:tcW w:w="1350" w:type="dxa"/>
            <w:shd w:val="clear" w:color="auto" w:fill="FFFFFF"/>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分值</w:t>
            </w:r>
          </w:p>
        </w:tc>
        <w:tc>
          <w:tcPr>
            <w:tcW w:w="1662" w:type="dxa"/>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964" w:type="dxa"/>
            <w:vMerge w:val="restar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B1资金管理</w:t>
            </w:r>
          </w:p>
        </w:tc>
        <w:tc>
          <w:tcPr>
            <w:tcW w:w="4095"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B11资金到位率</w:t>
            </w:r>
          </w:p>
        </w:tc>
        <w:tc>
          <w:tcPr>
            <w:tcW w:w="135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w:t>
            </w:r>
          </w:p>
        </w:tc>
        <w:tc>
          <w:tcPr>
            <w:tcW w:w="1662"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964"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4095"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B12预算执行率</w:t>
            </w:r>
          </w:p>
        </w:tc>
        <w:tc>
          <w:tcPr>
            <w:tcW w:w="135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w:t>
            </w:r>
          </w:p>
        </w:tc>
        <w:tc>
          <w:tcPr>
            <w:tcW w:w="1662"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964"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4095"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B13资金使用合理合规性</w:t>
            </w:r>
          </w:p>
        </w:tc>
        <w:tc>
          <w:tcPr>
            <w:tcW w:w="135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c>
          <w:tcPr>
            <w:tcW w:w="1662"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964" w:type="dxa"/>
            <w:vMerge w:val="restar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B2组织实施</w:t>
            </w:r>
          </w:p>
        </w:tc>
        <w:tc>
          <w:tcPr>
            <w:tcW w:w="4095"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B21管理制度健全性</w:t>
            </w:r>
          </w:p>
        </w:tc>
        <w:tc>
          <w:tcPr>
            <w:tcW w:w="135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c>
          <w:tcPr>
            <w:tcW w:w="1662"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964"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4095"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B22制度执行有效性</w:t>
            </w:r>
          </w:p>
        </w:tc>
        <w:tc>
          <w:tcPr>
            <w:tcW w:w="135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c>
          <w:tcPr>
            <w:tcW w:w="1662"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964"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4095"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B23建设程序合规性</w:t>
            </w:r>
          </w:p>
        </w:tc>
        <w:tc>
          <w:tcPr>
            <w:tcW w:w="135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c>
          <w:tcPr>
            <w:tcW w:w="1662"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059" w:type="dxa"/>
            <w:gridSpan w:val="2"/>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合计</w:t>
            </w:r>
          </w:p>
        </w:tc>
        <w:tc>
          <w:tcPr>
            <w:tcW w:w="135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w:t>
            </w:r>
          </w:p>
        </w:tc>
        <w:tc>
          <w:tcPr>
            <w:tcW w:w="1662"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17</w:t>
            </w:r>
          </w:p>
        </w:tc>
      </w:tr>
    </w:tbl>
    <w:p>
      <w:pPr>
        <w:spacing w:line="600" w:lineRule="exact"/>
        <w:ind w:firstLine="540"/>
        <w:rPr>
          <w:rFonts w:ascii="Times New Roman" w:hAnsi="Times New Roman" w:eastAsia="仿宋_GB2312" w:cs="Times New Roman"/>
          <w:kern w:val="0"/>
          <w:sz w:val="32"/>
          <w:szCs w:val="32"/>
          <w:lang w:val="en-US" w:eastAsia="zh-CN" w:bidi="ar-SA"/>
        </w:rPr>
      </w:pPr>
      <w:r>
        <w:rPr>
          <w:rFonts w:hint="eastAsia" w:eastAsia="仿宋_GB2312" w:cs="Times New Roman"/>
          <w:kern w:val="0"/>
          <w:sz w:val="32"/>
          <w:szCs w:val="32"/>
          <w:lang w:val="en-US" w:eastAsia="zh-CN" w:bidi="ar-SA"/>
        </w:rPr>
        <w:t>1.</w:t>
      </w:r>
      <w:r>
        <w:rPr>
          <w:rFonts w:ascii="Times New Roman" w:hAnsi="Times New Roman" w:eastAsia="仿宋_GB2312" w:cs="Times New Roman"/>
          <w:kern w:val="0"/>
          <w:sz w:val="32"/>
          <w:szCs w:val="32"/>
          <w:lang w:val="en-US" w:eastAsia="zh-CN" w:bidi="ar-SA"/>
        </w:rPr>
        <w:t>资金管理情况</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①</w:t>
      </w:r>
      <w:r>
        <w:rPr>
          <w:rFonts w:ascii="Times New Roman" w:hAnsi="Times New Roman" w:eastAsia="仿宋_GB2312" w:cs="Times New Roman"/>
          <w:kern w:val="0"/>
          <w:sz w:val="32"/>
          <w:szCs w:val="32"/>
          <w:lang w:val="en-US" w:eastAsia="zh-CN" w:bidi="ar-SA"/>
        </w:rPr>
        <w:t>资金到位率</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资金到位率反映实际到位资金与预算资金的比率，反映和考核资金落实情况对项目实施的总体保障程度。根据兖州区气象局提供的济宁市兖州国家基本气象站迁建工程项目资金申请文件和兖州国家基本气象站建设经费支出情况，2019年申请资金650万元，建设经费累计支付6491356.6元，剩余额度：8643.4元，已全部收回，2020年申请资金630万元，建设经费累计支付6299497.44元，剩余额度：502.56元，2021年申请资金531.34万元，建设经费累计支付5313301.52元，剩余额度：98.48元，已全部收回。资金到位率基本能够达到100%。该指标得分2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②</w:t>
      </w:r>
      <w:r>
        <w:rPr>
          <w:rFonts w:ascii="Times New Roman" w:hAnsi="Times New Roman" w:eastAsia="仿宋_GB2312" w:cs="Times New Roman"/>
          <w:kern w:val="0"/>
          <w:sz w:val="32"/>
          <w:szCs w:val="32"/>
          <w:lang w:val="en-US" w:eastAsia="zh-CN" w:bidi="ar-SA"/>
        </w:rPr>
        <w:t>预算执行率</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预算执行率反映项目预算资金是否按照计划执行，反映或考核项目预算执行情况。根据兖州区气象局提供的兖州国家基本气象站建设经费支出情况、兖州国家基本气象站迁建项目经费落实情况表、项目资金支付凭证，预算资金全部按照计划执行，预算执行率为100%。该指标得分2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③</w:t>
      </w:r>
      <w:r>
        <w:rPr>
          <w:rFonts w:ascii="Times New Roman" w:hAnsi="Times New Roman" w:eastAsia="仿宋_GB2312" w:cs="Times New Roman"/>
          <w:kern w:val="0"/>
          <w:sz w:val="32"/>
          <w:szCs w:val="32"/>
          <w:lang w:val="en-US" w:eastAsia="zh-CN" w:bidi="ar-SA"/>
        </w:rPr>
        <w:t>资金使用合规性</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根据现场调研和资料审核结果，资金使用合理、合规，①符合国家财经法规和财务管理制度以及有关专项资金管理办法的规定；②资金的拨付有完整的审批程序和手续；③符合项目预算批复或合同规定的用途；④不存在截留、挤占、挪用、虚列支出等情况；⑤按规定实施政府釆购和政府购买服务。该指标得分4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eastAsia="仿宋_GB2312" w:cs="Times New Roman"/>
          <w:kern w:val="0"/>
          <w:sz w:val="32"/>
          <w:szCs w:val="32"/>
          <w:lang w:val="en-US" w:eastAsia="zh-CN" w:bidi="ar-SA"/>
        </w:rPr>
        <w:t>2.</w:t>
      </w:r>
      <w:r>
        <w:rPr>
          <w:rFonts w:ascii="Times New Roman" w:hAnsi="Times New Roman" w:eastAsia="仿宋_GB2312" w:cs="Times New Roman"/>
          <w:kern w:val="0"/>
          <w:sz w:val="32"/>
          <w:szCs w:val="32"/>
          <w:lang w:val="en-US" w:eastAsia="zh-CN" w:bidi="ar-SA"/>
        </w:rPr>
        <w:t>组织实施情况</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①</w:t>
      </w:r>
      <w:r>
        <w:rPr>
          <w:rFonts w:ascii="Times New Roman" w:hAnsi="Times New Roman" w:eastAsia="仿宋_GB2312" w:cs="Times New Roman"/>
          <w:kern w:val="0"/>
          <w:sz w:val="32"/>
          <w:szCs w:val="32"/>
          <w:lang w:val="en-US" w:eastAsia="zh-CN" w:bidi="ar-SA"/>
        </w:rPr>
        <w:t>管理制度健全性</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项目实施单位的各项管理制度体系健全，反映与考核财务和业务等各项管理制度对项目顺利实施的保障情况。项目执行单位制定了项目具体实施、业务的具体开展以及项目过程管理、项目的竣工与验收等相关的工作制度，并对相关制度进行汇总汇编，形成《济宁市兖州区气象局管理制度汇编》。该指标得分4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②</w:t>
      </w:r>
      <w:r>
        <w:rPr>
          <w:rFonts w:ascii="Times New Roman" w:hAnsi="Times New Roman" w:eastAsia="仿宋_GB2312" w:cs="Times New Roman"/>
          <w:kern w:val="0"/>
          <w:sz w:val="32"/>
          <w:szCs w:val="32"/>
          <w:lang w:val="en-US" w:eastAsia="zh-CN" w:bidi="ar-SA"/>
        </w:rPr>
        <w:t>制度执行有效性</w:t>
      </w:r>
    </w:p>
    <w:p>
      <w:pPr>
        <w:spacing w:line="600" w:lineRule="exact"/>
        <w:ind w:firstLine="540"/>
        <w:rPr>
          <w:rFonts w:ascii="Times New Roman" w:hAnsi="Times New Roman" w:eastAsia="仿宋_GB2312" w:cs="Times New Roman"/>
          <w:kern w:val="0"/>
          <w:sz w:val="32"/>
          <w:szCs w:val="32"/>
          <w:lang w:val="en-US" w:eastAsia="zh-CN" w:bidi="ar-SA"/>
        </w:rPr>
      </w:pPr>
      <w:bookmarkStart w:id="279" w:name="_Toc5679"/>
      <w:r>
        <w:rPr>
          <w:rFonts w:ascii="Times New Roman" w:hAnsi="Times New Roman" w:eastAsia="仿宋_GB2312" w:cs="Times New Roman"/>
          <w:kern w:val="0"/>
          <w:sz w:val="32"/>
          <w:szCs w:val="32"/>
          <w:lang w:val="en-US" w:eastAsia="zh-CN" w:bidi="ar-SA"/>
        </w:rPr>
        <w:t>在具体项目的执行和实施中遵守相关法律法规和相关管理规定，项目实施的人员条件、场地设备、信息支撑等均能落实到位；项目合同书、设计资料和图纸、验收报告、监理报告、工程审计报告、技术鉴定等资料较为齐全并能够及时归档。制度执行基本有效，该指标得4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③建设程序合规性</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1、项目委托山东中明工程咨询有限公司于2018年1月编制该项目可行性研究报告，区发展和改革局《关于济宁市兖州国家基本气象站迁建工程项目可行性研究报告的批复》（兖发改〔2018〕08号）同意建设兖州国家基本气象站迁建项目；根据开工报告，办公用房、附属用房于2019年5月10日开工。2020年8月5日，区行政审批服务局核发用地预审与选址意见书（用字第370822[2020]003号）。2020年10月12日，区自然资源局核发国有建设用地划拨决定书（兖州-02-2020-0006号）。2020年11月2日，区自然资源局核发国有建设用地使用权证书（鲁（2020）兖州区不动产权第0010286号）。2020年12月4日，区行政审批服务局核发建设工程规划许可证（建字第0822[2020]042号）。2020年12月14日，区行政审批服务局核发建筑工程施工许可证（编号370882202012140101）。施工许可审批滞后，获得许可证之前即开工，未提供其他准予容缺开工的批复文件，扣2分。</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2、项目实施前执行招投标程序确定实施企业，签订合同。安装建设类项目执行监理制。施工合同约定工期为2019年5月10日至2019年9月7日，工期为120天。可行性研究报告中计划项目建设期为12个月，其中前期准备、施工设计、项目招投标分别用时1个月。施工合同约定工期远低于可研计划建设工期，缺乏合理性，扣1分。</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3、项目竣工后，由勘察单位、建设单位、监理单位、设计单位、施工单位等组成验收小组联合验收，查看项目资料、现场查验项目质量、工程量，经过开会充分讨论，拿出验收意见，形成验收报告。</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4、根据施工及付款进度，施工企业将报账需要的用款申请审批表、项目建设合同、项目工程、财务验收报告或验收表、专业发票等资料提交给气象局，经审核签字后的将项目资金直接拨付到项目施工方账户。</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5、完工的项目资料需要归档，资料内容包括：项目实施方案、上级批复项目的文件、项目合同、监理资料、项目初验报告、申请验收报告、竣工验收表、工程竣工结算审计报告、资金用款申请审批表、报账发票、财务决算报告等。档案在气象局存档，并安排专人管理。该项目得分1分。</w:t>
      </w:r>
    </w:p>
    <w:bookmarkEnd w:id="279"/>
    <w:p>
      <w:pPr>
        <w:widowControl w:val="0"/>
        <w:overflowPunct w:val="0"/>
        <w:autoSpaceDE w:val="0"/>
        <w:autoSpaceDN w:val="0"/>
        <w:adjustRightInd w:val="0"/>
        <w:spacing w:line="600" w:lineRule="exact"/>
        <w:ind w:firstLine="640" w:firstLineChars="200"/>
        <w:jc w:val="left"/>
        <w:textAlignment w:val="baseline"/>
        <w:outlineLvl w:val="1"/>
        <w:rPr>
          <w:rFonts w:hint="eastAsia" w:eastAsia="楷体"/>
          <w:kern w:val="0"/>
          <w:sz w:val="32"/>
          <w:szCs w:val="32"/>
          <w:lang w:val="en-US" w:eastAsia="zh-CN"/>
        </w:rPr>
      </w:pPr>
      <w:bookmarkStart w:id="280" w:name="_Toc20479"/>
      <w:bookmarkStart w:id="281" w:name="_Toc13120"/>
      <w:r>
        <w:rPr>
          <w:rFonts w:hint="eastAsia" w:eastAsia="楷体"/>
          <w:kern w:val="0"/>
          <w:sz w:val="32"/>
          <w:szCs w:val="32"/>
          <w:lang w:val="en-US" w:eastAsia="zh-CN"/>
        </w:rPr>
        <w:t>（三）项目产出情况</w:t>
      </w:r>
      <w:bookmarkEnd w:id="280"/>
      <w:bookmarkEnd w:id="281"/>
    </w:p>
    <w:p>
      <w:pPr>
        <w:spacing w:line="600" w:lineRule="exact"/>
        <w:ind w:firstLine="540"/>
        <w:rPr>
          <w:lang w:val="en-US" w:eastAsia="zh-CN"/>
        </w:rPr>
      </w:pPr>
      <w:r>
        <w:rPr>
          <w:rFonts w:ascii="Times New Roman" w:hAnsi="Times New Roman" w:eastAsia="仿宋_GB2312" w:cs="Times New Roman"/>
          <w:kern w:val="0"/>
          <w:sz w:val="32"/>
          <w:szCs w:val="32"/>
          <w:lang w:val="en-US" w:eastAsia="zh-CN" w:bidi="ar-SA"/>
        </w:rPr>
        <w:t>项目产出分析主要从产出数量、产出质量、产出时效和产出成本四个方面分析，满分30分，得分23分，得分率76.67%。其中产出数量得分为4分，得分率100%；产出质量得分为12分，得分率为100%；产出时效得分5分，得分率50%；产出成本得分为2分，得分率为50%</w:t>
      </w:r>
      <w:r>
        <w:rPr>
          <w:rFonts w:hint="eastAsia" w:ascii="Times New Roman" w:hAnsi="Times New Roman" w:eastAsia="仿宋_GB2312" w:cs="Times New Roman"/>
          <w:kern w:val="0"/>
          <w:sz w:val="32"/>
          <w:szCs w:val="32"/>
          <w:lang w:val="en-US" w:eastAsia="zh-CN" w:bidi="ar-SA"/>
        </w:rPr>
        <w:t>。</w:t>
      </w:r>
      <w:r>
        <w:rPr>
          <w:rFonts w:ascii="Times New Roman" w:hAnsi="Times New Roman" w:eastAsia="仿宋_GB2312" w:cs="Times New Roman"/>
          <w:kern w:val="0"/>
          <w:sz w:val="32"/>
          <w:szCs w:val="32"/>
          <w:lang w:val="en-US" w:eastAsia="zh-CN" w:bidi="ar-SA"/>
        </w:rPr>
        <w:t>各项得分情况情况如表</w:t>
      </w:r>
      <w:r>
        <w:rPr>
          <w:rFonts w:hint="eastAsia" w:eastAsia="仿宋_GB2312" w:cs="Times New Roman"/>
          <w:kern w:val="0"/>
          <w:sz w:val="32"/>
          <w:szCs w:val="32"/>
          <w:lang w:val="en-US" w:eastAsia="zh-CN" w:bidi="ar-SA"/>
        </w:rPr>
        <w:t>5</w:t>
      </w:r>
      <w:r>
        <w:rPr>
          <w:rFonts w:ascii="Times New Roman" w:hAnsi="Times New Roman" w:eastAsia="仿宋_GB2312" w:cs="Times New Roman"/>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firstLine="0" w:firstLineChars="0"/>
        <w:jc w:val="center"/>
        <w:textAlignment w:val="auto"/>
        <w:rPr>
          <w:rFonts w:hint="eastAsia" w:ascii="方正小标宋_GBK" w:hAnsi="方正小标宋_GBK" w:eastAsia="方正小标宋_GBK" w:cs="方正小标宋_GBK"/>
          <w:color w:val="000000"/>
          <w:sz w:val="32"/>
          <w:szCs w:val="32"/>
        </w:rPr>
      </w:pPr>
      <w:r>
        <w:rPr>
          <w:rFonts w:hint="eastAsia" w:ascii="方正小标宋_GBK" w:hAnsi="方正小标宋_GBK" w:eastAsia="方正小标宋_GBK" w:cs="方正小标宋_GBK"/>
          <w:color w:val="000000"/>
          <w:sz w:val="32"/>
          <w:szCs w:val="32"/>
        </w:rPr>
        <w:t>表</w:t>
      </w:r>
      <w:r>
        <w:rPr>
          <w:rFonts w:hint="eastAsia" w:ascii="方正小标宋_GBK" w:hAnsi="方正小标宋_GBK" w:eastAsia="方正小标宋_GBK" w:cs="方正小标宋_GBK"/>
          <w:color w:val="000000"/>
          <w:sz w:val="32"/>
          <w:szCs w:val="32"/>
          <w:lang w:val="en-US" w:eastAsia="zh-CN"/>
        </w:rPr>
        <w:t>5.</w:t>
      </w:r>
      <w:r>
        <w:rPr>
          <w:rFonts w:hint="eastAsia" w:ascii="方正小标宋_GBK" w:hAnsi="方正小标宋_GBK" w:eastAsia="方正小标宋_GBK" w:cs="方正小标宋_GBK"/>
          <w:color w:val="000000"/>
          <w:sz w:val="32"/>
          <w:szCs w:val="32"/>
        </w:rPr>
        <w:t>项目产出得分情况统计</w:t>
      </w:r>
    </w:p>
    <w:tbl>
      <w:tblPr>
        <w:tblStyle w:val="21"/>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01"/>
        <w:gridCol w:w="3960"/>
        <w:gridCol w:w="1470"/>
        <w:gridCol w:w="1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001" w:type="dxa"/>
            <w:shd w:val="clear" w:color="auto" w:fill="FFFFFF"/>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二级指标</w:t>
            </w:r>
          </w:p>
        </w:tc>
        <w:tc>
          <w:tcPr>
            <w:tcW w:w="3960" w:type="dxa"/>
            <w:shd w:val="clear" w:color="auto" w:fill="FFFFFF"/>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三级指标</w:t>
            </w:r>
          </w:p>
        </w:tc>
        <w:tc>
          <w:tcPr>
            <w:tcW w:w="1470" w:type="dxa"/>
            <w:shd w:val="clear" w:color="auto" w:fill="FFFFFF"/>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分值</w:t>
            </w:r>
          </w:p>
        </w:tc>
        <w:tc>
          <w:tcPr>
            <w:tcW w:w="1640" w:type="dxa"/>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001"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C1产出数量</w:t>
            </w:r>
          </w:p>
        </w:tc>
        <w:tc>
          <w:tcPr>
            <w:tcW w:w="396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C11实际完成率</w:t>
            </w:r>
          </w:p>
        </w:tc>
        <w:tc>
          <w:tcPr>
            <w:tcW w:w="147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c>
          <w:tcPr>
            <w:tcW w:w="164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001" w:type="dxa"/>
            <w:vMerge w:val="restar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C2产出质量</w:t>
            </w:r>
          </w:p>
        </w:tc>
        <w:tc>
          <w:tcPr>
            <w:tcW w:w="396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C21工程验收合格率</w:t>
            </w:r>
          </w:p>
        </w:tc>
        <w:tc>
          <w:tcPr>
            <w:tcW w:w="147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c>
          <w:tcPr>
            <w:tcW w:w="164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001"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396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C22设备投入使用率</w:t>
            </w:r>
          </w:p>
        </w:tc>
        <w:tc>
          <w:tcPr>
            <w:tcW w:w="147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c>
          <w:tcPr>
            <w:tcW w:w="164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001"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396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C23配套设施完好和使用率</w:t>
            </w:r>
          </w:p>
        </w:tc>
        <w:tc>
          <w:tcPr>
            <w:tcW w:w="147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c>
          <w:tcPr>
            <w:tcW w:w="164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001" w:type="dxa"/>
            <w:vMerge w:val="restar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C3产出时效</w:t>
            </w:r>
          </w:p>
        </w:tc>
        <w:tc>
          <w:tcPr>
            <w:tcW w:w="396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C31工程完成及时率</w:t>
            </w:r>
          </w:p>
        </w:tc>
        <w:tc>
          <w:tcPr>
            <w:tcW w:w="147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c>
          <w:tcPr>
            <w:tcW w:w="164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001"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396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C32设备采购及时率</w:t>
            </w:r>
          </w:p>
        </w:tc>
        <w:tc>
          <w:tcPr>
            <w:tcW w:w="147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w:t>
            </w:r>
          </w:p>
        </w:tc>
        <w:tc>
          <w:tcPr>
            <w:tcW w:w="164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001"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396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C33投入使用及时率</w:t>
            </w:r>
          </w:p>
        </w:tc>
        <w:tc>
          <w:tcPr>
            <w:tcW w:w="147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w:t>
            </w:r>
          </w:p>
        </w:tc>
        <w:tc>
          <w:tcPr>
            <w:tcW w:w="164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001"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C4产出成本</w:t>
            </w:r>
          </w:p>
        </w:tc>
        <w:tc>
          <w:tcPr>
            <w:tcW w:w="396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C41预算控制率</w:t>
            </w:r>
          </w:p>
        </w:tc>
        <w:tc>
          <w:tcPr>
            <w:tcW w:w="147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4</w:t>
            </w:r>
          </w:p>
        </w:tc>
        <w:tc>
          <w:tcPr>
            <w:tcW w:w="164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5961" w:type="dxa"/>
            <w:gridSpan w:val="2"/>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合计</w:t>
            </w:r>
          </w:p>
        </w:tc>
        <w:tc>
          <w:tcPr>
            <w:tcW w:w="147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30</w:t>
            </w:r>
          </w:p>
        </w:tc>
        <w:tc>
          <w:tcPr>
            <w:tcW w:w="1640"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23</w:t>
            </w:r>
          </w:p>
        </w:tc>
      </w:tr>
    </w:tbl>
    <w:p>
      <w:pPr>
        <w:spacing w:line="600" w:lineRule="exact"/>
        <w:ind w:firstLine="540"/>
        <w:rPr>
          <w:rFonts w:ascii="Times New Roman" w:hAnsi="Times New Roman" w:eastAsia="仿宋_GB2312" w:cs="Times New Roman"/>
          <w:kern w:val="0"/>
          <w:sz w:val="32"/>
          <w:szCs w:val="32"/>
          <w:lang w:val="en-US" w:eastAsia="zh-CN" w:bidi="ar-SA"/>
        </w:rPr>
      </w:pPr>
      <w:r>
        <w:rPr>
          <w:rFonts w:hint="eastAsia" w:eastAsia="仿宋_GB2312" w:cs="Times New Roman"/>
          <w:kern w:val="0"/>
          <w:sz w:val="32"/>
          <w:szCs w:val="32"/>
          <w:lang w:val="en-US" w:eastAsia="zh-CN" w:bidi="ar-SA"/>
        </w:rPr>
        <w:t>1.</w:t>
      </w:r>
      <w:r>
        <w:rPr>
          <w:rFonts w:ascii="Times New Roman" w:hAnsi="Times New Roman" w:eastAsia="仿宋_GB2312" w:cs="Times New Roman"/>
          <w:kern w:val="0"/>
          <w:sz w:val="32"/>
          <w:szCs w:val="32"/>
          <w:lang w:val="en-US" w:eastAsia="zh-CN" w:bidi="ar-SA"/>
        </w:rPr>
        <w:t>产出数量</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①实际完成率</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2019年5月，施工队伍开始进场施工。2020年下半年，工程竣工并被国家、省、市气象局实地验收通过，2020年12月31日20时顺利完成业务切换。兖州国家基本气象站新址占地面积58.8亩，总建筑面积1801平方米，包括业务用房、附属用房和气象观测站等，其中业务用房包含气象业务大平面，用于开展天气会商、气象预报预测、防灾减灾和气象服务等业务。气象观测站配套建设称重降水观测仪、激光雨滴谱仪、闪电定位仪、气溶胶质量浓度观测仪、天气现象智能观测系统等多种气象仪器，进一步提高了监测预报能力和气象服务水平。施工完成率达到100%，该指标得分4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eastAsia="仿宋_GB2312" w:cs="Times New Roman"/>
          <w:kern w:val="0"/>
          <w:sz w:val="32"/>
          <w:szCs w:val="32"/>
          <w:lang w:val="en-US" w:eastAsia="zh-CN" w:bidi="ar-SA"/>
        </w:rPr>
        <w:t>2.</w:t>
      </w:r>
      <w:r>
        <w:rPr>
          <w:rFonts w:ascii="Times New Roman" w:hAnsi="Times New Roman" w:eastAsia="仿宋_GB2312" w:cs="Times New Roman"/>
          <w:kern w:val="0"/>
          <w:sz w:val="32"/>
          <w:szCs w:val="32"/>
          <w:lang w:val="en-US" w:eastAsia="zh-CN" w:bidi="ar-SA"/>
        </w:rPr>
        <w:t>产出质量</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①</w:t>
      </w:r>
      <w:r>
        <w:rPr>
          <w:rFonts w:ascii="Times New Roman" w:hAnsi="Times New Roman" w:eastAsia="仿宋_GB2312" w:cs="Times New Roman"/>
          <w:kern w:val="0"/>
          <w:sz w:val="32"/>
          <w:szCs w:val="32"/>
          <w:lang w:val="en-US" w:eastAsia="zh-CN" w:bidi="ar-SA"/>
        </w:rPr>
        <w:t>工程验收合格率</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根据气象站业务办公用房建设工程、气象站附属用房建设工程质量验收报告，气象站业务办公用房、气象站附属用房质量验收合格。该指标得分4分。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②</w:t>
      </w:r>
      <w:r>
        <w:rPr>
          <w:rFonts w:ascii="Times New Roman" w:hAnsi="Times New Roman" w:eastAsia="仿宋_GB2312" w:cs="Times New Roman"/>
          <w:kern w:val="0"/>
          <w:sz w:val="32"/>
          <w:szCs w:val="32"/>
          <w:lang w:val="en-US" w:eastAsia="zh-CN" w:bidi="ar-SA"/>
        </w:rPr>
        <w:t>设备投入使用率</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项目设备投入使用过程中实际使用率，用以反映项目产出质量的实现程度。2020年下半年，工程竣工并被国家、省、市气象局实地验收通过，2020年12月31日20时顺利完成业务切换。该指标得分4分。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③</w:t>
      </w:r>
      <w:r>
        <w:rPr>
          <w:rFonts w:ascii="Times New Roman" w:hAnsi="Times New Roman" w:eastAsia="仿宋_GB2312" w:cs="Times New Roman"/>
          <w:kern w:val="0"/>
          <w:sz w:val="32"/>
          <w:szCs w:val="32"/>
          <w:lang w:val="en-US" w:eastAsia="zh-CN" w:bidi="ar-SA"/>
        </w:rPr>
        <w:t>配套设施完好和使用率</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目前项目配套设施完好，处于可正常使用状态。该指标得分4分。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eastAsia="仿宋_GB2312" w:cs="Times New Roman"/>
          <w:kern w:val="0"/>
          <w:sz w:val="32"/>
          <w:szCs w:val="32"/>
          <w:lang w:val="en-US" w:eastAsia="zh-CN" w:bidi="ar-SA"/>
        </w:rPr>
        <w:t>3.</w:t>
      </w:r>
      <w:r>
        <w:rPr>
          <w:rFonts w:ascii="Times New Roman" w:hAnsi="Times New Roman" w:eastAsia="仿宋_GB2312" w:cs="Times New Roman"/>
          <w:kern w:val="0"/>
          <w:sz w:val="32"/>
          <w:szCs w:val="32"/>
          <w:lang w:val="en-US" w:eastAsia="zh-CN" w:bidi="ar-SA"/>
        </w:rPr>
        <w:t>产出时效</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①</w:t>
      </w:r>
      <w:r>
        <w:rPr>
          <w:rFonts w:ascii="Times New Roman" w:hAnsi="Times New Roman" w:eastAsia="仿宋_GB2312" w:cs="Times New Roman"/>
          <w:kern w:val="0"/>
          <w:sz w:val="32"/>
          <w:szCs w:val="32"/>
          <w:lang w:val="en-US" w:eastAsia="zh-CN" w:bidi="ar-SA"/>
        </w:rPr>
        <w:t>工程完工及时率</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该指标反映相关工程的建设是否按照相关文件要求规定的时间内完成，用来反映项目产出时效的完成效果。济宁市兖州国家基本气象站迁建工程建设项目于2019年5月开工建设，主体工程于2020年8月13日竣工。2020年8月27日，项目建设单位会同设计单位、勘察、监理单位及项目施工单位等有关人员对业务办公用房及附属用房工程组织验收（合格证书编号.核字第370812202102091号），项目质量合格、同意验收交付使用。详见表</w:t>
      </w:r>
      <w:r>
        <w:rPr>
          <w:rFonts w:hint="eastAsia" w:eastAsia="仿宋_GB2312" w:cs="Times New Roman"/>
          <w:kern w:val="0"/>
          <w:sz w:val="32"/>
          <w:szCs w:val="32"/>
          <w:lang w:val="en-US" w:eastAsia="zh-CN" w:bidi="ar-SA"/>
        </w:rPr>
        <w:t>6</w:t>
      </w:r>
      <w:r>
        <w:rPr>
          <w:rFonts w:ascii="Times New Roman" w:hAnsi="Times New Roman" w:eastAsia="仿宋_GB2312" w:cs="Times New Roman"/>
          <w:kern w:val="0"/>
          <w:sz w:val="32"/>
          <w:szCs w:val="32"/>
          <w:lang w:val="en-US" w:eastAsia="zh-CN" w:bidi="ar-SA"/>
        </w:rPr>
        <w:t>完工及验收情况表：</w:t>
      </w:r>
    </w:p>
    <w:p>
      <w:pPr>
        <w:ind w:left="0" w:leftChars="0" w:firstLine="0" w:firstLineChars="0"/>
        <w:jc w:val="center"/>
        <w:rPr>
          <w:rFonts w:hint="eastAsia" w:ascii="方正小标宋_GBK" w:hAnsi="方正小标宋_GBK" w:eastAsia="方正小标宋_GBK" w:cs="方正小标宋_GBK"/>
          <w:color w:val="000000"/>
          <w:sz w:val="32"/>
          <w:szCs w:val="32"/>
        </w:rPr>
      </w:pPr>
      <w:r>
        <w:rPr>
          <w:rFonts w:hint="eastAsia" w:ascii="方正小标宋_GBK" w:hAnsi="方正小标宋_GBK" w:eastAsia="方正小标宋_GBK" w:cs="方正小标宋_GBK"/>
          <w:color w:val="000000"/>
          <w:sz w:val="32"/>
          <w:szCs w:val="32"/>
        </w:rPr>
        <w:t>表</w:t>
      </w:r>
      <w:r>
        <w:rPr>
          <w:rFonts w:hint="eastAsia" w:ascii="方正小标宋_GBK" w:hAnsi="方正小标宋_GBK" w:eastAsia="方正小标宋_GBK" w:cs="方正小标宋_GBK"/>
          <w:color w:val="000000"/>
          <w:sz w:val="32"/>
          <w:szCs w:val="32"/>
          <w:lang w:val="en-US" w:eastAsia="zh-CN"/>
        </w:rPr>
        <w:t>6.</w:t>
      </w:r>
      <w:r>
        <w:rPr>
          <w:rFonts w:hint="eastAsia" w:ascii="方正小标宋_GBK" w:hAnsi="方正小标宋_GBK" w:eastAsia="方正小标宋_GBK" w:cs="方正小标宋_GBK"/>
          <w:color w:val="000000"/>
          <w:sz w:val="32"/>
          <w:szCs w:val="32"/>
        </w:rPr>
        <w:t>完工及验收情况表</w:t>
      </w:r>
    </w:p>
    <w:tbl>
      <w:tblPr>
        <w:tblStyle w:val="22"/>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4"/>
        <w:gridCol w:w="3225"/>
        <w:gridCol w:w="1695"/>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4" w:type="dxa"/>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分项工程名称</w:t>
            </w:r>
          </w:p>
        </w:tc>
        <w:tc>
          <w:tcPr>
            <w:tcW w:w="3225" w:type="dxa"/>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施工期间</w:t>
            </w:r>
          </w:p>
        </w:tc>
        <w:tc>
          <w:tcPr>
            <w:tcW w:w="1695" w:type="dxa"/>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验收时间</w:t>
            </w:r>
          </w:p>
        </w:tc>
        <w:tc>
          <w:tcPr>
            <w:tcW w:w="1437" w:type="dxa"/>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验收结果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4"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业务办公用房及附属用房</w:t>
            </w:r>
          </w:p>
        </w:tc>
        <w:tc>
          <w:tcPr>
            <w:tcW w:w="322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2019/5/10-2020/8/13</w:t>
            </w:r>
          </w:p>
        </w:tc>
        <w:tc>
          <w:tcPr>
            <w:tcW w:w="169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2020/8/27</w:t>
            </w:r>
          </w:p>
        </w:tc>
        <w:tc>
          <w:tcPr>
            <w:tcW w:w="1437"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4"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室外主道路、铺装、给排水、电气等工程</w:t>
            </w:r>
          </w:p>
        </w:tc>
        <w:tc>
          <w:tcPr>
            <w:tcW w:w="322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2019/10/26-2020/4/23</w:t>
            </w:r>
          </w:p>
        </w:tc>
        <w:tc>
          <w:tcPr>
            <w:tcW w:w="169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2020/11/9</w:t>
            </w:r>
          </w:p>
        </w:tc>
        <w:tc>
          <w:tcPr>
            <w:tcW w:w="1437"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4"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室外绿化工程</w:t>
            </w:r>
          </w:p>
        </w:tc>
        <w:tc>
          <w:tcPr>
            <w:tcW w:w="322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2019/10/26-2020/4/23</w:t>
            </w:r>
          </w:p>
        </w:tc>
        <w:tc>
          <w:tcPr>
            <w:tcW w:w="169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2021/1/20</w:t>
            </w:r>
          </w:p>
        </w:tc>
        <w:tc>
          <w:tcPr>
            <w:tcW w:w="1437"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4"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线路迁改及箱变配电工程（土建）</w:t>
            </w:r>
          </w:p>
        </w:tc>
        <w:tc>
          <w:tcPr>
            <w:tcW w:w="322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2020/4/20-2020/6/9</w:t>
            </w:r>
          </w:p>
        </w:tc>
        <w:tc>
          <w:tcPr>
            <w:tcW w:w="169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2020</w:t>
            </w:r>
          </w:p>
        </w:tc>
        <w:tc>
          <w:tcPr>
            <w:tcW w:w="1437"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4"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室外附属项目</w:t>
            </w:r>
          </w:p>
        </w:tc>
        <w:tc>
          <w:tcPr>
            <w:tcW w:w="322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2019/9/8-2019/9/30</w:t>
            </w:r>
          </w:p>
        </w:tc>
        <w:tc>
          <w:tcPr>
            <w:tcW w:w="169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2020/12/03</w:t>
            </w:r>
          </w:p>
        </w:tc>
        <w:tc>
          <w:tcPr>
            <w:tcW w:w="1437"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合格</w:t>
            </w:r>
          </w:p>
        </w:tc>
      </w:tr>
    </w:tbl>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可行性研究报告中计划项目建设期为12个月，实际工期超出约定工期，扣3分，该指标得分1分。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②</w:t>
      </w:r>
      <w:r>
        <w:rPr>
          <w:rFonts w:ascii="Times New Roman" w:hAnsi="Times New Roman" w:eastAsia="仿宋_GB2312" w:cs="Times New Roman"/>
          <w:kern w:val="0"/>
          <w:sz w:val="32"/>
          <w:szCs w:val="32"/>
          <w:lang w:val="en-US" w:eastAsia="zh-CN" w:bidi="ar-SA"/>
        </w:rPr>
        <w:t>设备采购及时性</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该指标用以反映设备的采购是否按照相关文件要求规定时间完成。根据《基本建设项目竣工财务决算审核报告》等相关材料，询问相关负责人，办公及运营设备的采购于2021年7月完成，可行性研究报告中计划设备安装调试于土建工程完工后不超过2个月完成，实际工期超出计划工期，扣2分，该指标得分1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③</w:t>
      </w:r>
      <w:r>
        <w:rPr>
          <w:rFonts w:ascii="Times New Roman" w:hAnsi="Times New Roman" w:eastAsia="仿宋_GB2312" w:cs="Times New Roman"/>
          <w:kern w:val="0"/>
          <w:sz w:val="32"/>
          <w:szCs w:val="32"/>
          <w:lang w:val="en-US" w:eastAsia="zh-CN" w:bidi="ar-SA"/>
        </w:rPr>
        <w:t>投入使用及时率</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该指标用以反映相关工程设备是否按照相关实施方案的要求时间内投入使用，可以衡量项目产出时效的效果。查阅相关材料，询问相关负责人，2020年12月31日20时顺利完成业务切换。该指标得分3分。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eastAsia="仿宋_GB2312" w:cs="Times New Roman"/>
          <w:kern w:val="0"/>
          <w:sz w:val="32"/>
          <w:szCs w:val="32"/>
          <w:lang w:val="en-US" w:eastAsia="zh-CN" w:bidi="ar-SA"/>
        </w:rPr>
        <w:t>4.</w:t>
      </w:r>
      <w:r>
        <w:rPr>
          <w:rFonts w:ascii="Times New Roman" w:hAnsi="Times New Roman" w:eastAsia="仿宋_GB2312" w:cs="Times New Roman"/>
          <w:kern w:val="0"/>
          <w:sz w:val="32"/>
          <w:szCs w:val="32"/>
          <w:lang w:val="en-US" w:eastAsia="zh-CN" w:bidi="ar-SA"/>
        </w:rPr>
        <w:t>产出成本</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①</w:t>
      </w:r>
      <w:r>
        <w:rPr>
          <w:rFonts w:ascii="Times New Roman" w:hAnsi="Times New Roman" w:eastAsia="仿宋_GB2312" w:cs="Times New Roman"/>
          <w:kern w:val="0"/>
          <w:sz w:val="32"/>
          <w:szCs w:val="32"/>
          <w:lang w:val="en-US" w:eastAsia="zh-CN" w:bidi="ar-SA"/>
        </w:rPr>
        <w:t>预算控制率</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济宁市兖州国家基本气象站迁建工程项目总体决算值为21,705,865.35元，较总体预算值20,793,861.94元超支工程建设资金912,003.41元，超支幅度为4.38%。超支主要原因系工程项目设计变更，兖州区气象局对工程变更程序严格管理，不存在施工方独自实施的工程变更。为严格控制工程投资，济宁市兖州区气象局在保证工程进度和质量的前提下，对发生的费用严格控制，对工程变更、签证严格按相关程序进行，对费用的变更均经过有关单位确认，工程量由济宁市兖州区气象局严格审核。工程建设是一个动态的过程，建筑材料可能出现价格上涨，施工单位及时掌握可能上涨的材料信息，提前备料，节约工程成本。本项酌情扣2分，得2分。</w:t>
      </w:r>
    </w:p>
    <w:p>
      <w:pPr>
        <w:widowControl w:val="0"/>
        <w:overflowPunct w:val="0"/>
        <w:autoSpaceDE w:val="0"/>
        <w:autoSpaceDN w:val="0"/>
        <w:adjustRightInd w:val="0"/>
        <w:spacing w:line="600" w:lineRule="exact"/>
        <w:ind w:firstLine="640" w:firstLineChars="200"/>
        <w:jc w:val="left"/>
        <w:textAlignment w:val="baseline"/>
        <w:outlineLvl w:val="1"/>
        <w:rPr>
          <w:rFonts w:hint="eastAsia" w:eastAsia="楷体"/>
          <w:kern w:val="0"/>
          <w:sz w:val="32"/>
          <w:szCs w:val="32"/>
          <w:lang w:val="en-US" w:eastAsia="zh-CN"/>
        </w:rPr>
      </w:pPr>
      <w:bookmarkStart w:id="282" w:name="_Toc28180168"/>
      <w:bookmarkStart w:id="283" w:name="_Toc27571603"/>
      <w:bookmarkStart w:id="284" w:name="_Toc31818"/>
      <w:bookmarkStart w:id="285" w:name="_Toc4170"/>
      <w:bookmarkStart w:id="286" w:name="_Toc15054"/>
      <w:bookmarkStart w:id="287" w:name="_Toc28279533"/>
      <w:bookmarkStart w:id="288" w:name="_Toc28005416"/>
      <w:r>
        <w:rPr>
          <w:rFonts w:hint="eastAsia" w:eastAsia="楷体"/>
          <w:kern w:val="0"/>
          <w:sz w:val="32"/>
          <w:szCs w:val="32"/>
          <w:lang w:val="en-US" w:eastAsia="zh-CN"/>
        </w:rPr>
        <w:t>（四）项目效益情况</w:t>
      </w:r>
      <w:bookmarkEnd w:id="282"/>
      <w:bookmarkEnd w:id="283"/>
      <w:bookmarkEnd w:id="284"/>
      <w:bookmarkEnd w:id="285"/>
      <w:bookmarkEnd w:id="286"/>
      <w:bookmarkEnd w:id="287"/>
      <w:bookmarkEnd w:id="288"/>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项目效益从经济效益、社会效益、生态效益和可持续性发展等四个方面分析，得分30分，得分率为100%。各项得分情况如表</w:t>
      </w:r>
      <w:r>
        <w:rPr>
          <w:rFonts w:hint="eastAsia" w:eastAsia="仿宋_GB2312" w:cs="Times New Roman"/>
          <w:kern w:val="0"/>
          <w:sz w:val="32"/>
          <w:szCs w:val="32"/>
          <w:lang w:val="en-US" w:eastAsia="zh-CN" w:bidi="ar-SA"/>
        </w:rPr>
        <w:t>7</w:t>
      </w:r>
      <w:r>
        <w:rPr>
          <w:rFonts w:ascii="Times New Roman" w:hAnsi="Times New Roman" w:eastAsia="仿宋_GB2312" w:cs="Times New Roman"/>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firstLine="0" w:firstLineChars="0"/>
        <w:jc w:val="center"/>
        <w:textAlignment w:val="auto"/>
        <w:rPr>
          <w:rFonts w:hint="eastAsia" w:ascii="方正小标宋_GBK" w:hAnsi="方正小标宋_GBK" w:eastAsia="方正小标宋_GBK" w:cs="方正小标宋_GBK"/>
          <w:color w:val="000000"/>
          <w:sz w:val="32"/>
          <w:szCs w:val="32"/>
        </w:rPr>
      </w:pPr>
      <w:r>
        <w:rPr>
          <w:rFonts w:hint="eastAsia" w:ascii="方正小标宋_GBK" w:hAnsi="方正小标宋_GBK" w:eastAsia="方正小标宋_GBK" w:cs="方正小标宋_GBK"/>
          <w:color w:val="000000"/>
          <w:sz w:val="32"/>
          <w:szCs w:val="32"/>
        </w:rPr>
        <w:t>表</w:t>
      </w:r>
      <w:r>
        <w:rPr>
          <w:rFonts w:hint="eastAsia" w:ascii="方正小标宋_GBK" w:hAnsi="方正小标宋_GBK" w:eastAsia="方正小标宋_GBK" w:cs="方正小标宋_GBK"/>
          <w:color w:val="000000"/>
          <w:sz w:val="32"/>
          <w:szCs w:val="32"/>
          <w:lang w:val="en-US" w:eastAsia="zh-CN"/>
        </w:rPr>
        <w:t>7.</w:t>
      </w:r>
      <w:r>
        <w:rPr>
          <w:rFonts w:hint="eastAsia" w:ascii="方正小标宋_GBK" w:hAnsi="方正小标宋_GBK" w:eastAsia="方正小标宋_GBK" w:cs="方正小标宋_GBK"/>
          <w:color w:val="000000"/>
          <w:sz w:val="32"/>
          <w:szCs w:val="32"/>
        </w:rPr>
        <w:t>项目效益得分情况统计</w:t>
      </w:r>
    </w:p>
    <w:tbl>
      <w:tblPr>
        <w:tblStyle w:val="21"/>
        <w:tblW w:w="82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42"/>
        <w:gridCol w:w="3497"/>
        <w:gridCol w:w="1139"/>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42" w:type="dxa"/>
            <w:shd w:val="clear" w:color="auto" w:fill="FFFFFF"/>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二级指标</w:t>
            </w:r>
          </w:p>
        </w:tc>
        <w:tc>
          <w:tcPr>
            <w:tcW w:w="3497" w:type="dxa"/>
            <w:shd w:val="clear" w:color="auto" w:fill="FFFFFF"/>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三级指标</w:t>
            </w:r>
          </w:p>
        </w:tc>
        <w:tc>
          <w:tcPr>
            <w:tcW w:w="1139" w:type="dxa"/>
            <w:shd w:val="clear" w:color="auto" w:fill="FFFFFF"/>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分值</w:t>
            </w:r>
          </w:p>
        </w:tc>
        <w:tc>
          <w:tcPr>
            <w:tcW w:w="1899" w:type="dxa"/>
            <w:tcMar>
              <w:top w:w="15" w:type="dxa"/>
              <w:left w:w="15" w:type="dxa"/>
              <w:right w:w="15" w:type="dxa"/>
            </w:tcMar>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742" w:type="dxa"/>
            <w:vMerge w:val="restart"/>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D1项目效益</w:t>
            </w:r>
          </w:p>
        </w:tc>
        <w:tc>
          <w:tcPr>
            <w:tcW w:w="3497"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D11经济效益</w:t>
            </w:r>
          </w:p>
        </w:tc>
        <w:tc>
          <w:tcPr>
            <w:tcW w:w="1139"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6</w:t>
            </w:r>
          </w:p>
        </w:tc>
        <w:tc>
          <w:tcPr>
            <w:tcW w:w="1899"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42"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3497"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D12社会效益</w:t>
            </w:r>
          </w:p>
        </w:tc>
        <w:tc>
          <w:tcPr>
            <w:tcW w:w="1139"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6</w:t>
            </w:r>
          </w:p>
        </w:tc>
        <w:tc>
          <w:tcPr>
            <w:tcW w:w="1899"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42"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3497"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D13生态效益</w:t>
            </w:r>
          </w:p>
        </w:tc>
        <w:tc>
          <w:tcPr>
            <w:tcW w:w="1139"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6</w:t>
            </w:r>
          </w:p>
        </w:tc>
        <w:tc>
          <w:tcPr>
            <w:tcW w:w="1899"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742" w:type="dxa"/>
            <w:vMerge w:val="continue"/>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3497"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D14可持续发展影响</w:t>
            </w:r>
          </w:p>
        </w:tc>
        <w:tc>
          <w:tcPr>
            <w:tcW w:w="1139"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6</w:t>
            </w:r>
          </w:p>
        </w:tc>
        <w:tc>
          <w:tcPr>
            <w:tcW w:w="1899"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239" w:type="dxa"/>
            <w:gridSpan w:val="2"/>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D2受益群众满意度</w:t>
            </w:r>
          </w:p>
        </w:tc>
        <w:tc>
          <w:tcPr>
            <w:tcW w:w="1139"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6</w:t>
            </w:r>
          </w:p>
        </w:tc>
        <w:tc>
          <w:tcPr>
            <w:tcW w:w="1899"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239" w:type="dxa"/>
            <w:gridSpan w:val="2"/>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合计</w:t>
            </w:r>
          </w:p>
        </w:tc>
        <w:tc>
          <w:tcPr>
            <w:tcW w:w="1139"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30</w:t>
            </w:r>
          </w:p>
        </w:tc>
        <w:tc>
          <w:tcPr>
            <w:tcW w:w="1899" w:type="dxa"/>
            <w:tcMar>
              <w:top w:w="15" w:type="dxa"/>
              <w:left w:w="15" w:type="dxa"/>
              <w:right w:w="15" w:type="dxa"/>
            </w:tcMar>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30</w:t>
            </w:r>
          </w:p>
        </w:tc>
      </w:tr>
    </w:tbl>
    <w:p>
      <w:pPr>
        <w:spacing w:line="600" w:lineRule="exact"/>
        <w:ind w:firstLine="540"/>
        <w:rPr>
          <w:rFonts w:ascii="Times New Roman" w:hAnsi="Times New Roman" w:eastAsia="仿宋_GB2312" w:cs="Times New Roman"/>
          <w:kern w:val="0"/>
          <w:sz w:val="32"/>
          <w:szCs w:val="32"/>
          <w:lang w:val="en-US" w:eastAsia="zh-CN" w:bidi="ar-SA"/>
        </w:rPr>
      </w:pPr>
      <w:bookmarkStart w:id="289" w:name="_Toc24374859"/>
      <w:bookmarkStart w:id="290" w:name="_Toc25650518"/>
      <w:bookmarkStart w:id="291" w:name="_Toc24374218"/>
      <w:r>
        <w:rPr>
          <w:rFonts w:hint="eastAsia" w:eastAsia="仿宋_GB2312" w:cs="Times New Roman"/>
          <w:kern w:val="0"/>
          <w:sz w:val="32"/>
          <w:szCs w:val="32"/>
          <w:lang w:val="en-US" w:eastAsia="zh-CN" w:bidi="ar-SA"/>
        </w:rPr>
        <w:t>1.</w:t>
      </w:r>
      <w:r>
        <w:rPr>
          <w:rFonts w:hint="eastAsia" w:ascii="Times New Roman" w:hAnsi="Times New Roman" w:eastAsia="仿宋_GB2312" w:cs="Times New Roman"/>
          <w:kern w:val="0"/>
          <w:sz w:val="32"/>
          <w:szCs w:val="32"/>
          <w:lang w:val="en-US" w:eastAsia="zh-CN" w:bidi="ar-SA"/>
        </w:rPr>
        <w:t>项目</w:t>
      </w:r>
      <w:r>
        <w:rPr>
          <w:rFonts w:ascii="Times New Roman" w:hAnsi="Times New Roman" w:eastAsia="仿宋_GB2312" w:cs="Times New Roman"/>
          <w:kern w:val="0"/>
          <w:sz w:val="32"/>
          <w:szCs w:val="32"/>
          <w:lang w:val="en-US" w:eastAsia="zh-CN" w:bidi="ar-SA"/>
        </w:rPr>
        <w:t>效益</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①</w:t>
      </w:r>
      <w:r>
        <w:rPr>
          <w:rFonts w:ascii="Times New Roman" w:hAnsi="Times New Roman" w:eastAsia="仿宋_GB2312" w:cs="Times New Roman"/>
          <w:kern w:val="0"/>
          <w:sz w:val="32"/>
          <w:szCs w:val="32"/>
          <w:lang w:val="en-US" w:eastAsia="zh-CN" w:bidi="ar-SA"/>
        </w:rPr>
        <w:t>经济效益</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该项目实施完成后没有直接的经济效益，但是长期以来，兖州国家基本气象站为气象预测预报和防灾减灾工作提供准确、详实的气象资料，为济宁机场迁建等重大工程和大气污染防治等重点工作提供数据支撑，为全区经济社会发展提供了有力的气象保障。该指标得分6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②</w:t>
      </w:r>
      <w:r>
        <w:rPr>
          <w:rFonts w:ascii="Times New Roman" w:hAnsi="Times New Roman" w:eastAsia="仿宋_GB2312" w:cs="Times New Roman"/>
          <w:kern w:val="0"/>
          <w:sz w:val="32"/>
          <w:szCs w:val="32"/>
          <w:lang w:val="en-US" w:eastAsia="zh-CN" w:bidi="ar-SA"/>
        </w:rPr>
        <w:t>社会效益</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1.解决城市建设与气象探测环境保护问题</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济宁市兖州区为改善市民居住条件和生活质量，提高城市承载能力，促进经济社会发展和城市面貌的提升，需要对气象观测场周边进行较大规模的城镇化改造和基础设施建设，由于受气象探测环境保护的限制，观测场周边的城市建设不能按计划推进，城市发展与气象探测环境保护的矛盾日益突出，对兖州气象事业可持续发展及城市建设造成严重影响。该项目的实施有利于解决城市建设与气象探测环境保护问题，使气象事业更好地服务于济宁市兖州区经济社会发展。</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2.提升综合气象服务能力</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实施济宁市兖州区国家基本气象站迁建项目，不仅是改善现有不利气象工作环境的必要手段，也是按照“四个一流”台站建设要求，全面落实中国气象局关于推进气象现代化建设和县级气象机构综合改革等战略部署，以强化公共气象服务和社会管理职能为主线，以提高气象综合业务服务能力和增强发展活力为重点，进一步明确业务建设需求和功能定位，科学控制建设标准，统筹使用建设资金，严格规范建设程序，有序推进基层气象机构基础设施建设。2020年下半年，工程竣工并被国家、省、市气象局实地验收通过，2020年12月31日20时顺利完成业务切换。项目具有较好的社会效益，该指标得分6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③</w:t>
      </w:r>
      <w:r>
        <w:rPr>
          <w:rFonts w:ascii="Times New Roman" w:hAnsi="Times New Roman" w:eastAsia="仿宋_GB2312" w:cs="Times New Roman"/>
          <w:kern w:val="0"/>
          <w:sz w:val="32"/>
          <w:szCs w:val="32"/>
          <w:lang w:val="en-US" w:eastAsia="zh-CN" w:bidi="ar-SA"/>
        </w:rPr>
        <w:t>生态效益</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项目严格执行施工期环境保护措施、运营期污染治理措施，项目区内设有绿地，能够绿化和美化项目区周围环境。部分项目具有较好的生态效益，该指标得分6分。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④</w:t>
      </w:r>
      <w:r>
        <w:rPr>
          <w:rFonts w:ascii="Times New Roman" w:hAnsi="Times New Roman" w:eastAsia="仿宋_GB2312" w:cs="Times New Roman"/>
          <w:kern w:val="0"/>
          <w:sz w:val="32"/>
          <w:szCs w:val="32"/>
          <w:lang w:val="en-US" w:eastAsia="zh-CN" w:bidi="ar-SA"/>
        </w:rPr>
        <w:t>可持续发展影响</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根据济宁市众成建筑工程施工图审查有限公司出具的《兖州国家基本气象站业务用房、附属用房、储藏室、门卫室、配电室、农业排灌变配电室迁移技术性审查报告》（2018-050），工程设计使用年限为50年，项目可持续运营年限≥30年，可长期发挥作用。该指标得分6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eastAsia="仿宋_GB2312" w:cs="Times New Roman"/>
          <w:kern w:val="0"/>
          <w:sz w:val="32"/>
          <w:szCs w:val="32"/>
          <w:lang w:val="en-US" w:eastAsia="zh-CN" w:bidi="ar-SA"/>
        </w:rPr>
        <w:t>2.</w:t>
      </w:r>
      <w:r>
        <w:rPr>
          <w:rFonts w:ascii="Times New Roman" w:hAnsi="Times New Roman" w:eastAsia="仿宋_GB2312" w:cs="Times New Roman"/>
          <w:kern w:val="0"/>
          <w:sz w:val="32"/>
          <w:szCs w:val="32"/>
          <w:lang w:val="en-US" w:eastAsia="zh-CN" w:bidi="ar-SA"/>
        </w:rPr>
        <w:t>受益群众满意度</w:t>
      </w:r>
    </w:p>
    <w:p>
      <w:pPr>
        <w:spacing w:line="600" w:lineRule="exact"/>
        <w:ind w:firstLine="540"/>
        <w:rPr>
          <w:lang w:val="en-US" w:eastAsia="zh-CN"/>
        </w:rPr>
      </w:pPr>
      <w:r>
        <w:rPr>
          <w:rFonts w:ascii="Times New Roman" w:hAnsi="Times New Roman" w:eastAsia="仿宋_GB2312" w:cs="Times New Roman"/>
          <w:kern w:val="0"/>
          <w:sz w:val="32"/>
          <w:szCs w:val="32"/>
          <w:lang w:val="en-US" w:eastAsia="zh-CN" w:bidi="ar-SA"/>
        </w:rPr>
        <w:t>在现场评价过程中，走访咨询和调查相关受益者，项目建设对当地群众就业、收入增加、项目建设等满意度方面进行了调查，受益群众较满意。该指标得分6分。</w:t>
      </w:r>
    </w:p>
    <w:bookmarkEnd w:id="289"/>
    <w:bookmarkEnd w:id="290"/>
    <w:bookmarkEnd w:id="291"/>
    <w:p>
      <w:pPr>
        <w:widowControl w:val="0"/>
        <w:overflowPunct w:val="0"/>
        <w:autoSpaceDE w:val="0"/>
        <w:autoSpaceDN w:val="0"/>
        <w:adjustRightInd w:val="0"/>
        <w:spacing w:line="600" w:lineRule="exact"/>
        <w:ind w:firstLine="640" w:firstLineChars="200"/>
        <w:textAlignment w:val="baseline"/>
        <w:outlineLvl w:val="0"/>
        <w:rPr>
          <w:rFonts w:hint="default" w:eastAsia="黑体"/>
          <w:kern w:val="0"/>
          <w:sz w:val="32"/>
          <w:szCs w:val="32"/>
          <w:lang w:val="en-US" w:eastAsia="zh-CN"/>
        </w:rPr>
      </w:pPr>
      <w:bookmarkStart w:id="292" w:name="_Toc18305"/>
      <w:bookmarkStart w:id="293" w:name="_Toc25650540"/>
      <w:bookmarkStart w:id="294" w:name="_Toc24374867"/>
      <w:bookmarkStart w:id="295" w:name="_Toc24374226"/>
      <w:r>
        <w:rPr>
          <w:rFonts w:hint="eastAsia" w:eastAsia="黑体"/>
          <w:kern w:val="0"/>
          <w:sz w:val="32"/>
          <w:szCs w:val="32"/>
          <w:lang w:val="en-US" w:eastAsia="zh-CN"/>
        </w:rPr>
        <w:t>六、取得的成效</w:t>
      </w:r>
      <w:bookmarkEnd w:id="292"/>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兖州国家基本气象站迁建工程建设项目于2019年5月开工建设，主体工程于2020年8月13日竣工。2020年8月27日，项目建设单位会同设计单位、勘察、监理单位及项目施工单位等有关人员对业务办公用房及附属用房工程组织验收（合格证书编号.核字第370812202102091号），项目质量合格、同意验收交付使用。详见表</w:t>
      </w:r>
      <w:r>
        <w:rPr>
          <w:rFonts w:hint="eastAsia" w:eastAsia="仿宋_GB2312" w:cs="Times New Roman"/>
          <w:kern w:val="0"/>
          <w:sz w:val="32"/>
          <w:szCs w:val="32"/>
          <w:lang w:val="en-US" w:eastAsia="zh-CN" w:bidi="ar-SA"/>
        </w:rPr>
        <w:t>8</w:t>
      </w:r>
      <w:r>
        <w:rPr>
          <w:rFonts w:ascii="Times New Roman" w:hAnsi="Times New Roman" w:eastAsia="仿宋_GB2312" w:cs="Times New Roman"/>
          <w:kern w:val="0"/>
          <w:sz w:val="32"/>
          <w:szCs w:val="32"/>
          <w:lang w:val="en-US" w:eastAsia="zh-CN" w:bidi="ar-SA"/>
        </w:rPr>
        <w:t>完工及验收情况表：</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firstLine="0" w:firstLineChars="0"/>
        <w:jc w:val="center"/>
        <w:textAlignment w:val="auto"/>
        <w:rPr>
          <w:rFonts w:hint="eastAsia" w:ascii="方正小标宋_GBK" w:hAnsi="方正小标宋_GBK" w:eastAsia="方正小标宋_GBK" w:cs="方正小标宋_GBK"/>
          <w:color w:val="000000"/>
          <w:sz w:val="32"/>
          <w:szCs w:val="32"/>
        </w:rPr>
      </w:pPr>
      <w:r>
        <w:rPr>
          <w:rFonts w:hint="eastAsia" w:ascii="方正小标宋_GBK" w:hAnsi="方正小标宋_GBK" w:eastAsia="方正小标宋_GBK" w:cs="方正小标宋_GBK"/>
          <w:color w:val="000000"/>
          <w:sz w:val="32"/>
          <w:szCs w:val="32"/>
        </w:rPr>
        <w:t>表</w:t>
      </w:r>
      <w:r>
        <w:rPr>
          <w:rFonts w:hint="eastAsia" w:ascii="方正小标宋_GBK" w:hAnsi="方正小标宋_GBK" w:eastAsia="方正小标宋_GBK" w:cs="方正小标宋_GBK"/>
          <w:color w:val="000000"/>
          <w:sz w:val="32"/>
          <w:szCs w:val="32"/>
          <w:lang w:val="en-US" w:eastAsia="zh-CN"/>
        </w:rPr>
        <w:t>8.</w:t>
      </w:r>
      <w:r>
        <w:rPr>
          <w:rFonts w:hint="eastAsia" w:ascii="方正小标宋_GBK" w:hAnsi="方正小标宋_GBK" w:eastAsia="方正小标宋_GBK" w:cs="方正小标宋_GBK"/>
          <w:color w:val="000000"/>
          <w:sz w:val="32"/>
          <w:szCs w:val="32"/>
        </w:rPr>
        <w:t>完工及验收情况表</w:t>
      </w:r>
    </w:p>
    <w:tbl>
      <w:tblPr>
        <w:tblStyle w:val="22"/>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4"/>
        <w:gridCol w:w="3225"/>
        <w:gridCol w:w="1695"/>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714" w:type="dxa"/>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分项工程名称</w:t>
            </w:r>
          </w:p>
        </w:tc>
        <w:tc>
          <w:tcPr>
            <w:tcW w:w="3225" w:type="dxa"/>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施工期间</w:t>
            </w:r>
          </w:p>
        </w:tc>
        <w:tc>
          <w:tcPr>
            <w:tcW w:w="1695" w:type="dxa"/>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验收时间</w:t>
            </w:r>
          </w:p>
        </w:tc>
        <w:tc>
          <w:tcPr>
            <w:tcW w:w="1437" w:type="dxa"/>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验收结果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4"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业务办公用房及附属用房</w:t>
            </w:r>
          </w:p>
        </w:tc>
        <w:tc>
          <w:tcPr>
            <w:tcW w:w="322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2019/5/10-2020/8/13</w:t>
            </w:r>
          </w:p>
        </w:tc>
        <w:tc>
          <w:tcPr>
            <w:tcW w:w="169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2020/8/27</w:t>
            </w:r>
          </w:p>
        </w:tc>
        <w:tc>
          <w:tcPr>
            <w:tcW w:w="1437"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4"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室外主道路、铺装、给排水、电气等工程</w:t>
            </w:r>
          </w:p>
        </w:tc>
        <w:tc>
          <w:tcPr>
            <w:tcW w:w="322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2019/10/26-2020/4/23</w:t>
            </w:r>
          </w:p>
        </w:tc>
        <w:tc>
          <w:tcPr>
            <w:tcW w:w="169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2020/11/9</w:t>
            </w:r>
          </w:p>
        </w:tc>
        <w:tc>
          <w:tcPr>
            <w:tcW w:w="1437"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4"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室外绿化工程</w:t>
            </w:r>
          </w:p>
        </w:tc>
        <w:tc>
          <w:tcPr>
            <w:tcW w:w="322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2019/10/26-2020/4/23</w:t>
            </w:r>
          </w:p>
        </w:tc>
        <w:tc>
          <w:tcPr>
            <w:tcW w:w="169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2021/1/20</w:t>
            </w:r>
          </w:p>
        </w:tc>
        <w:tc>
          <w:tcPr>
            <w:tcW w:w="1437"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4"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线路迁改及箱变配电工程（土建）</w:t>
            </w:r>
          </w:p>
        </w:tc>
        <w:tc>
          <w:tcPr>
            <w:tcW w:w="322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2020/4/20-2020/6/9</w:t>
            </w:r>
          </w:p>
        </w:tc>
        <w:tc>
          <w:tcPr>
            <w:tcW w:w="169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2020</w:t>
            </w:r>
          </w:p>
        </w:tc>
        <w:tc>
          <w:tcPr>
            <w:tcW w:w="1437"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14"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室外附属项目</w:t>
            </w:r>
          </w:p>
        </w:tc>
        <w:tc>
          <w:tcPr>
            <w:tcW w:w="322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2019/9/8-2019/9/30</w:t>
            </w:r>
          </w:p>
        </w:tc>
        <w:tc>
          <w:tcPr>
            <w:tcW w:w="1695"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2020/12/03</w:t>
            </w:r>
          </w:p>
        </w:tc>
        <w:tc>
          <w:tcPr>
            <w:tcW w:w="1437" w:type="dxa"/>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合格</w:t>
            </w:r>
          </w:p>
        </w:tc>
      </w:tr>
      <w:bookmarkEnd w:id="293"/>
      <w:bookmarkEnd w:id="294"/>
      <w:bookmarkEnd w:id="295"/>
    </w:tbl>
    <w:p>
      <w:pPr>
        <w:widowControl w:val="0"/>
        <w:overflowPunct w:val="0"/>
        <w:autoSpaceDE w:val="0"/>
        <w:autoSpaceDN w:val="0"/>
        <w:adjustRightInd w:val="0"/>
        <w:spacing w:line="600" w:lineRule="exact"/>
        <w:ind w:firstLine="640" w:firstLineChars="200"/>
        <w:textAlignment w:val="baseline"/>
        <w:outlineLvl w:val="0"/>
        <w:rPr>
          <w:rFonts w:hint="default" w:eastAsia="黑体"/>
          <w:kern w:val="0"/>
          <w:sz w:val="32"/>
          <w:szCs w:val="32"/>
          <w:lang w:val="en-US" w:eastAsia="zh-CN"/>
        </w:rPr>
      </w:pPr>
      <w:bookmarkStart w:id="296" w:name="_Toc16185"/>
      <w:bookmarkStart w:id="297" w:name="_Toc2428"/>
      <w:bookmarkStart w:id="298" w:name="_Toc15402"/>
      <w:bookmarkStart w:id="299" w:name="_Toc14103"/>
      <w:r>
        <w:rPr>
          <w:rFonts w:hint="eastAsia" w:eastAsia="黑体"/>
          <w:kern w:val="0"/>
          <w:sz w:val="32"/>
          <w:szCs w:val="32"/>
          <w:lang w:val="en-US" w:eastAsia="zh-CN"/>
        </w:rPr>
        <w:t>七、存在的问题及原因分析</w:t>
      </w:r>
      <w:bookmarkEnd w:id="296"/>
    </w:p>
    <w:p>
      <w:pPr>
        <w:widowControl w:val="0"/>
        <w:overflowPunct w:val="0"/>
        <w:autoSpaceDE w:val="0"/>
        <w:autoSpaceDN w:val="0"/>
        <w:adjustRightInd w:val="0"/>
        <w:spacing w:line="600" w:lineRule="exact"/>
        <w:ind w:firstLine="640" w:firstLineChars="200"/>
        <w:jc w:val="left"/>
        <w:textAlignment w:val="baseline"/>
        <w:outlineLvl w:val="1"/>
        <w:rPr>
          <w:rFonts w:hint="eastAsia" w:eastAsia="楷体"/>
          <w:kern w:val="0"/>
          <w:sz w:val="32"/>
          <w:szCs w:val="32"/>
          <w:lang w:val="en-US" w:eastAsia="zh-CN"/>
        </w:rPr>
      </w:pPr>
      <w:bookmarkStart w:id="300" w:name="_Toc23046"/>
      <w:bookmarkStart w:id="301" w:name="_Toc12045"/>
      <w:r>
        <w:rPr>
          <w:rFonts w:hint="eastAsia" w:eastAsia="楷体"/>
          <w:kern w:val="0"/>
          <w:sz w:val="32"/>
          <w:szCs w:val="32"/>
          <w:lang w:val="en-US" w:eastAsia="zh-CN"/>
        </w:rPr>
        <w:t>（一）部分绩效指标设置不符合要求</w:t>
      </w:r>
      <w:bookmarkEnd w:id="297"/>
      <w:bookmarkEnd w:id="300"/>
      <w:bookmarkEnd w:id="301"/>
    </w:p>
    <w:p>
      <w:pPr>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产出数量指标设置为“气象站供电安装、线路改造和建设”，指标值为650万元，指标分类错误，该指标为成本指标，产出数量指标应反映预算部门计划完成的产品或服务数量，效益指标“提升生产生活空气质量”不能反映项目相关产出对社会发展带来的影响和效果。</w:t>
      </w:r>
    </w:p>
    <w:p>
      <w:pPr>
        <w:widowControl w:val="0"/>
        <w:overflowPunct w:val="0"/>
        <w:autoSpaceDE w:val="0"/>
        <w:autoSpaceDN w:val="0"/>
        <w:adjustRightInd w:val="0"/>
        <w:spacing w:line="600" w:lineRule="exact"/>
        <w:ind w:firstLine="640" w:firstLineChars="200"/>
        <w:jc w:val="left"/>
        <w:textAlignment w:val="baseline"/>
        <w:outlineLvl w:val="1"/>
        <w:rPr>
          <w:rFonts w:hint="eastAsia" w:eastAsia="楷体"/>
          <w:kern w:val="0"/>
          <w:sz w:val="32"/>
          <w:szCs w:val="32"/>
          <w:lang w:val="en-US" w:eastAsia="zh-CN"/>
        </w:rPr>
      </w:pPr>
      <w:bookmarkStart w:id="302" w:name="_Toc31374"/>
      <w:bookmarkStart w:id="303" w:name="_Toc15434"/>
      <w:bookmarkStart w:id="304" w:name="_Toc2380"/>
      <w:r>
        <w:rPr>
          <w:rFonts w:hint="eastAsia" w:eastAsia="楷体"/>
          <w:kern w:val="0"/>
          <w:sz w:val="32"/>
          <w:szCs w:val="32"/>
          <w:lang w:val="en-US" w:eastAsia="zh-CN"/>
        </w:rPr>
        <w:t>（二）施工许可证等审批滞后</w:t>
      </w:r>
      <w:bookmarkEnd w:id="302"/>
      <w:bookmarkEnd w:id="303"/>
      <w:bookmarkEnd w:id="304"/>
    </w:p>
    <w:p>
      <w:pPr>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根据开工报告，办公用房、附属用房于2019年5月10日开工。2020年8月5日，区行政审批服务局核发用地预审与选址意见书（用字第370822[2020]003号）。2020年10月12日，区自然资源局核发国有建设用地划拨决定书（兖州-02-2020-0006号）。2020年11月2日，区自然资源局核发国有建设用地使用权证书（鲁（2020）兖州区不动产权第0010286号）。2020年12月4日，区行政审批服务局核发建设工程规划许可证（建字第0822[2020]042号）。2020年12月14日，区行政审批服务局核发建筑工程施工许可证（编号370882202012140101）。施工许可证等审批滞后，获得许可证之前即开工，也未提供其他准予容缺开工的批复文件。</w:t>
      </w:r>
    </w:p>
    <w:p>
      <w:pPr>
        <w:widowControl w:val="0"/>
        <w:overflowPunct w:val="0"/>
        <w:autoSpaceDE w:val="0"/>
        <w:autoSpaceDN w:val="0"/>
        <w:adjustRightInd w:val="0"/>
        <w:spacing w:line="600" w:lineRule="exact"/>
        <w:ind w:firstLine="640" w:firstLineChars="200"/>
        <w:jc w:val="left"/>
        <w:textAlignment w:val="baseline"/>
        <w:outlineLvl w:val="1"/>
        <w:rPr>
          <w:rFonts w:hint="eastAsia" w:eastAsia="楷体"/>
          <w:kern w:val="0"/>
          <w:sz w:val="32"/>
          <w:szCs w:val="32"/>
          <w:lang w:val="en-US" w:eastAsia="zh-CN"/>
        </w:rPr>
      </w:pPr>
      <w:bookmarkStart w:id="305" w:name="_Toc22738"/>
      <w:bookmarkStart w:id="306" w:name="_Toc31862"/>
      <w:bookmarkStart w:id="307" w:name="_Toc12618"/>
      <w:r>
        <w:rPr>
          <w:rFonts w:hint="eastAsia" w:eastAsia="楷体"/>
          <w:kern w:val="0"/>
          <w:sz w:val="32"/>
          <w:szCs w:val="32"/>
          <w:lang w:val="en-US" w:eastAsia="zh-CN"/>
        </w:rPr>
        <w:t>（三）合同工期不合理，实际工期超出计划工期</w:t>
      </w:r>
      <w:bookmarkEnd w:id="305"/>
      <w:bookmarkEnd w:id="306"/>
      <w:bookmarkEnd w:id="307"/>
    </w:p>
    <w:p>
      <w:pPr>
        <w:ind w:firstLine="540"/>
        <w:rPr>
          <w:lang w:val="en-US" w:eastAsia="zh-CN"/>
        </w:rPr>
      </w:pPr>
      <w:r>
        <w:rPr>
          <w:rFonts w:ascii="Times New Roman" w:hAnsi="Times New Roman" w:eastAsia="仿宋_GB2312" w:cs="Times New Roman"/>
          <w:kern w:val="0"/>
          <w:sz w:val="32"/>
          <w:szCs w:val="32"/>
          <w:lang w:val="en-US" w:eastAsia="zh-CN" w:bidi="ar-SA"/>
        </w:rPr>
        <w:t>施工合同约定工期为2019年5月10日至2019年9月7日，工期为120天。可行性研究报告中计划项目建设期为12个月，其中前期准备、施工设计、项目招投标分别用时1个月。施工合同约定工期远低于可研计划建设工期，缺乏合理性。工程建设项目于2019年5月开工建设，主体工程于2020年8月13日竣工。2020年8月27日，项目建设单位会同设计单位、勘察、监理单位及项目施工单位等有关人员对业务办公用房及附属用房工程组织验收，实际工期超出计划工期。</w:t>
      </w:r>
    </w:p>
    <w:bookmarkEnd w:id="298"/>
    <w:p>
      <w:pPr>
        <w:widowControl w:val="0"/>
        <w:overflowPunct w:val="0"/>
        <w:autoSpaceDE w:val="0"/>
        <w:autoSpaceDN w:val="0"/>
        <w:adjustRightInd w:val="0"/>
        <w:spacing w:line="600" w:lineRule="exact"/>
        <w:ind w:firstLine="640" w:firstLineChars="200"/>
        <w:textAlignment w:val="baseline"/>
        <w:outlineLvl w:val="0"/>
        <w:rPr>
          <w:rFonts w:hint="eastAsia" w:eastAsia="黑体"/>
          <w:kern w:val="0"/>
          <w:sz w:val="32"/>
          <w:szCs w:val="32"/>
          <w:lang w:val="en-US" w:eastAsia="zh-CN"/>
        </w:rPr>
      </w:pPr>
      <w:bookmarkStart w:id="308" w:name="_Toc27767"/>
      <w:bookmarkStart w:id="309" w:name="_Toc14669"/>
      <w:r>
        <w:rPr>
          <w:rFonts w:hint="eastAsia" w:eastAsia="黑体"/>
          <w:kern w:val="0"/>
          <w:sz w:val="32"/>
          <w:szCs w:val="32"/>
          <w:lang w:val="en-US" w:eastAsia="zh-CN"/>
        </w:rPr>
        <w:t>八、有关建议</w:t>
      </w:r>
      <w:bookmarkEnd w:id="308"/>
      <w:bookmarkEnd w:id="309"/>
    </w:p>
    <w:p>
      <w:pPr>
        <w:widowControl w:val="0"/>
        <w:overflowPunct w:val="0"/>
        <w:autoSpaceDE w:val="0"/>
        <w:autoSpaceDN w:val="0"/>
        <w:adjustRightInd w:val="0"/>
        <w:spacing w:line="600" w:lineRule="exact"/>
        <w:ind w:firstLine="640" w:firstLineChars="200"/>
        <w:jc w:val="left"/>
        <w:textAlignment w:val="baseline"/>
        <w:outlineLvl w:val="1"/>
        <w:rPr>
          <w:rFonts w:hint="eastAsia" w:eastAsia="楷体"/>
          <w:kern w:val="0"/>
          <w:sz w:val="32"/>
          <w:szCs w:val="32"/>
          <w:lang w:val="en-US" w:eastAsia="zh-CN"/>
        </w:rPr>
      </w:pPr>
      <w:bookmarkStart w:id="310" w:name="_Toc7262"/>
      <w:bookmarkStart w:id="311" w:name="_Toc29882"/>
      <w:r>
        <w:rPr>
          <w:rFonts w:hint="eastAsia" w:eastAsia="楷体"/>
          <w:kern w:val="0"/>
          <w:sz w:val="32"/>
          <w:szCs w:val="32"/>
          <w:lang w:val="en-US" w:eastAsia="zh-CN"/>
        </w:rPr>
        <w:t>（一）建议提高绩效指标设置的规范性</w:t>
      </w:r>
      <w:bookmarkEnd w:id="299"/>
      <w:bookmarkEnd w:id="310"/>
      <w:bookmarkEnd w:id="311"/>
    </w:p>
    <w:p>
      <w:pPr>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产出指标是对预期产出的描述，包括数量指标、质量指标、时效指标等二级指标，其中，数量指标反映预期提供的公共产品或服务数量，应根据项目活动设定相应的指标内容。数量指标应突出重点，力求以较少的指标涵盖体现主要工作内容。该项目可以用房屋建设工程量、气象站供电安装、线路改造和建设工程量等衡量产出数量。效益指标是对预期效果的描述，包括经济效益指标、社会效益指标、生态效益指标等二级指标，其中，社会效益指标反映相关产出对社会发展带来的影响和效果，用于体现项目实施当年及以后若干年在提升治理水平、落实国家政策、推动行业发展、服务民生大众、维持社会稳定、维护社会公平正义、提高履职或服务效率等方面的效益。该项目可以用“是否解决城市建设与气象探测环境保护问题”、“提升综合气象服务能力情况”等衡量社会效益。</w:t>
      </w:r>
    </w:p>
    <w:p>
      <w:pPr>
        <w:widowControl w:val="0"/>
        <w:overflowPunct w:val="0"/>
        <w:autoSpaceDE w:val="0"/>
        <w:autoSpaceDN w:val="0"/>
        <w:adjustRightInd w:val="0"/>
        <w:spacing w:line="600" w:lineRule="exact"/>
        <w:ind w:firstLine="640" w:firstLineChars="200"/>
        <w:jc w:val="left"/>
        <w:textAlignment w:val="baseline"/>
        <w:outlineLvl w:val="1"/>
        <w:rPr>
          <w:rFonts w:hint="eastAsia" w:eastAsia="楷体"/>
          <w:kern w:val="0"/>
          <w:sz w:val="32"/>
          <w:szCs w:val="32"/>
          <w:lang w:val="en-US" w:eastAsia="zh-CN"/>
        </w:rPr>
      </w:pPr>
      <w:bookmarkStart w:id="312" w:name="_Toc3524"/>
      <w:bookmarkStart w:id="313" w:name="_Toc12448"/>
      <w:bookmarkStart w:id="314" w:name="_Toc6373"/>
      <w:r>
        <w:rPr>
          <w:rFonts w:hint="eastAsia" w:eastAsia="楷体"/>
          <w:kern w:val="0"/>
          <w:sz w:val="32"/>
          <w:szCs w:val="32"/>
          <w:lang w:val="en-US" w:eastAsia="zh-CN"/>
        </w:rPr>
        <w:t>（二）规范项目流程，完善档案管理</w:t>
      </w:r>
      <w:bookmarkEnd w:id="312"/>
      <w:bookmarkEnd w:id="313"/>
      <w:bookmarkEnd w:id="314"/>
    </w:p>
    <w:p>
      <w:pPr>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建议制定和完善相关制度办法，弥补建设项目制度上的管理空档，如为进一步规范政府投资项目建设流程和管理，制定实施意见，规范流程、明确职责、严肃纪律，强化监管。严格落实立项审批程序和标准，项目立项应在进行了全面调查摸底及有效论证的基础上确定，尽可能一次性核准总规模，减少多次追加批复。重视会计基础工作，加强合同管理，认真落实合同审核制度，确保合同的完整、严谨。</w:t>
      </w:r>
    </w:p>
    <w:p>
      <w:pPr>
        <w:widowControl w:val="0"/>
        <w:overflowPunct w:val="0"/>
        <w:autoSpaceDE w:val="0"/>
        <w:autoSpaceDN w:val="0"/>
        <w:adjustRightInd w:val="0"/>
        <w:spacing w:line="600" w:lineRule="exact"/>
        <w:ind w:firstLine="640" w:firstLineChars="200"/>
        <w:jc w:val="left"/>
        <w:textAlignment w:val="baseline"/>
        <w:outlineLvl w:val="1"/>
        <w:rPr>
          <w:rFonts w:hint="eastAsia" w:eastAsia="楷体"/>
          <w:kern w:val="0"/>
          <w:sz w:val="32"/>
          <w:szCs w:val="32"/>
          <w:lang w:val="en-US" w:eastAsia="zh-CN"/>
        </w:rPr>
      </w:pPr>
      <w:bookmarkStart w:id="315" w:name="_Toc22615"/>
      <w:bookmarkStart w:id="316" w:name="_Toc20392"/>
      <w:bookmarkStart w:id="317" w:name="_Toc31703"/>
      <w:r>
        <w:rPr>
          <w:rFonts w:hint="eastAsia" w:eastAsia="楷体"/>
          <w:kern w:val="0"/>
          <w:sz w:val="32"/>
          <w:szCs w:val="32"/>
          <w:lang w:val="en-US" w:eastAsia="zh-CN"/>
        </w:rPr>
        <w:t>（三）严格按建设程序实施项目建设</w:t>
      </w:r>
      <w:bookmarkEnd w:id="315"/>
      <w:bookmarkEnd w:id="316"/>
      <w:bookmarkEnd w:id="317"/>
    </w:p>
    <w:p>
      <w:pPr>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1.做好施工前期准备工作。为保证项目按期完工，必须要在征地拆迁工作已经基本完成，施工过程不会出现用地纠纷，保证交付的场地可以正常进场施工条件下启动项目建设；地勘设计达到一定深度，避免施工过程变更过多；三通一平已经完成，无缺水、缺电影响施工的情况，场地已基本平整，无需施工单位进行大量的土方施工和地下管线迁移等工作。</w:t>
      </w:r>
    </w:p>
    <w:p>
      <w:pPr>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2.根据实际情况确定合理工期。某些影响较大的项目，何时开工、工期多少相关单位均有要求，但有些要求明显与建设程序及实际情况不相符合，致使合同工期形同虚设。因此合同签订时，必须在尊重事实、尊重科学的前提下，合理确定工期。</w:t>
      </w:r>
    </w:p>
    <w:p>
      <w:pPr>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3.加强变更管理，减少因变更造成的返工。开工前必须对设计图纸进行非常认真的审查和进行技术交底。图纸会审和技术交底会尽可能找出设计图纸中的问题，同时充分与施工单位协调沟通，在施工过程中尽量避免出差错，从而减少变更和返工，影响工期。</w:t>
      </w:r>
    </w:p>
    <w:p>
      <w:pPr>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4.及时组织竣工验收。项目施工完成后，若施工单位竣工资料收集完整，建设单位应及时组织相关单位进行竣工验收，避免造成工期延误。</w:t>
      </w:r>
    </w:p>
    <w:p>
      <w:pPr>
        <w:widowControl w:val="0"/>
        <w:overflowPunct w:val="0"/>
        <w:autoSpaceDE w:val="0"/>
        <w:autoSpaceDN w:val="0"/>
        <w:adjustRightInd w:val="0"/>
        <w:spacing w:line="600" w:lineRule="exact"/>
        <w:ind w:firstLine="640" w:firstLineChars="200"/>
        <w:textAlignment w:val="baseline"/>
        <w:outlineLvl w:val="0"/>
        <w:rPr>
          <w:rFonts w:hint="eastAsia" w:eastAsia="黑体"/>
          <w:kern w:val="0"/>
          <w:sz w:val="32"/>
          <w:szCs w:val="32"/>
          <w:lang w:val="en-US" w:eastAsia="zh-CN"/>
        </w:rPr>
      </w:pPr>
      <w:bookmarkStart w:id="318" w:name="_Toc15742"/>
      <w:bookmarkStart w:id="319" w:name="_Toc22051"/>
      <w:r>
        <w:rPr>
          <w:rFonts w:hint="eastAsia" w:eastAsia="黑体"/>
          <w:kern w:val="0"/>
          <w:sz w:val="32"/>
          <w:szCs w:val="32"/>
          <w:lang w:val="en-US" w:eastAsia="zh-CN"/>
        </w:rPr>
        <w:t>九、</w:t>
      </w:r>
      <w:bookmarkEnd w:id="318"/>
      <w:r>
        <w:rPr>
          <w:rFonts w:hint="eastAsia" w:eastAsia="黑体"/>
          <w:kern w:val="0"/>
          <w:sz w:val="32"/>
          <w:szCs w:val="32"/>
          <w:lang w:val="en-US" w:eastAsia="zh-CN"/>
        </w:rPr>
        <w:t>其他需要说明的问题</w:t>
      </w:r>
      <w:bookmarkEnd w:id="319"/>
    </w:p>
    <w:p>
      <w:pPr>
        <w:pageBreakBefore w:val="0"/>
        <w:kinsoku/>
        <w:wordWrap/>
        <w:overflowPunct/>
        <w:topLinePunct w:val="0"/>
        <w:autoSpaceDE/>
        <w:autoSpaceDN/>
        <w:bidi w:val="0"/>
        <w:adjustRightInd/>
        <w:snapToGrid/>
        <w:spacing w:line="600" w:lineRule="exact"/>
        <w:textAlignment w:val="auto"/>
        <w:rPr>
          <w:rFonts w:hint="eastAsia" w:eastAsia="仿宋_GB2312" w:cs="Times New Roman"/>
          <w:kern w:val="0"/>
          <w:sz w:val="32"/>
          <w:szCs w:val="32"/>
          <w:lang w:val="en-US" w:eastAsia="zh-CN" w:bidi="ar-SA"/>
        </w:rPr>
      </w:pPr>
      <w:r>
        <w:rPr>
          <w:rFonts w:hint="eastAsia" w:eastAsia="仿宋_GB2312" w:cs="Times New Roman"/>
          <w:kern w:val="0"/>
          <w:sz w:val="32"/>
          <w:szCs w:val="32"/>
          <w:lang w:val="en-US" w:eastAsia="zh-CN" w:bidi="ar-SA"/>
        </w:rPr>
        <w:t>无</w:t>
      </w:r>
    </w:p>
    <w:p>
      <w:pPr>
        <w:pStyle w:val="2"/>
        <w:rPr>
          <w:rFonts w:hint="default"/>
          <w:lang w:val="en-US" w:eastAsia="zh-CN"/>
        </w:rPr>
      </w:pPr>
    </w:p>
    <w:p>
      <w:pPr>
        <w:pageBreakBefore w:val="0"/>
        <w:kinsoku/>
        <w:wordWrap/>
        <w:overflowPunct/>
        <w:topLinePunct w:val="0"/>
        <w:autoSpaceDE/>
        <w:autoSpaceDN/>
        <w:bidi w:val="0"/>
        <w:adjustRightInd/>
        <w:snapToGrid/>
        <w:spacing w:line="600" w:lineRule="exact"/>
        <w:ind w:firstLine="540"/>
        <w:textAlignment w:val="auto"/>
        <w:rPr>
          <w:rFonts w:hint="eastAsia" w:eastAsia="仿宋_GB2312" w:cs="Times New Roman"/>
          <w:kern w:val="0"/>
          <w:sz w:val="32"/>
          <w:szCs w:val="32"/>
          <w:lang w:val="en-US" w:eastAsia="zh-CN" w:bidi="ar-SA"/>
        </w:rPr>
      </w:pPr>
      <w:bookmarkStart w:id="320" w:name="_Toc23934"/>
      <w:r>
        <w:rPr>
          <w:rFonts w:hint="eastAsia" w:eastAsia="仿宋_GB2312" w:cs="Times New Roman"/>
          <w:kern w:val="0"/>
          <w:sz w:val="32"/>
          <w:szCs w:val="32"/>
          <w:lang w:val="en-US" w:eastAsia="zh-CN" w:bidi="ar-SA"/>
        </w:rPr>
        <w:t>附件：1. 绩效评价得分表</w:t>
      </w:r>
      <w:bookmarkEnd w:id="320"/>
    </w:p>
    <w:p>
      <w:pPr>
        <w:pageBreakBefore w:val="0"/>
        <w:kinsoku/>
        <w:wordWrap/>
        <w:overflowPunct/>
        <w:topLinePunct w:val="0"/>
        <w:autoSpaceDE/>
        <w:autoSpaceDN/>
        <w:bidi w:val="0"/>
        <w:adjustRightInd/>
        <w:snapToGrid/>
        <w:spacing w:line="600" w:lineRule="exact"/>
        <w:ind w:firstLine="1600" w:firstLineChars="500"/>
        <w:textAlignment w:val="auto"/>
        <w:rPr>
          <w:rFonts w:hint="eastAsia" w:ascii="Times New Roman" w:hAnsi="Times New Roman" w:eastAsia="仿宋_GB2312" w:cs="Times New Roman"/>
          <w:kern w:val="0"/>
          <w:sz w:val="32"/>
          <w:szCs w:val="32"/>
          <w:lang w:val="en-US" w:eastAsia="zh-CN" w:bidi="ar-SA"/>
        </w:rPr>
      </w:pPr>
      <w:bookmarkStart w:id="321" w:name="_Toc4585"/>
      <w:r>
        <w:rPr>
          <w:rFonts w:hint="eastAsia" w:ascii="Times New Roman" w:hAnsi="Times New Roman" w:eastAsia="仿宋_GB2312" w:cs="Times New Roman"/>
          <w:kern w:val="0"/>
          <w:sz w:val="32"/>
          <w:szCs w:val="32"/>
          <w:lang w:val="en-US" w:eastAsia="zh-CN" w:bidi="ar-SA"/>
        </w:rPr>
        <w:t>2. 问题清单</w:t>
      </w:r>
      <w:bookmarkEnd w:id="321"/>
    </w:p>
    <w:p>
      <w:pPr>
        <w:pageBreakBefore w:val="0"/>
        <w:kinsoku/>
        <w:wordWrap/>
        <w:overflowPunct/>
        <w:topLinePunct w:val="0"/>
        <w:autoSpaceDE/>
        <w:autoSpaceDN/>
        <w:bidi w:val="0"/>
        <w:adjustRightInd/>
        <w:snapToGrid/>
        <w:spacing w:line="600" w:lineRule="exact"/>
        <w:ind w:firstLine="1600" w:firstLineChars="500"/>
        <w:textAlignment w:val="auto"/>
        <w:rPr>
          <w:rFonts w:hint="eastAsia" w:ascii="Times New Roman" w:hAnsi="Times New Roman" w:eastAsia="仿宋_GB2312" w:cs="Times New Roman"/>
          <w:kern w:val="0"/>
          <w:sz w:val="32"/>
          <w:szCs w:val="32"/>
          <w:lang w:val="en-US" w:eastAsia="zh-CN" w:bidi="ar-SA"/>
        </w:rPr>
      </w:pPr>
      <w:bookmarkStart w:id="322" w:name="_Toc27797"/>
      <w:r>
        <w:rPr>
          <w:rFonts w:hint="eastAsia" w:ascii="Times New Roman" w:hAnsi="Times New Roman" w:eastAsia="仿宋_GB2312" w:cs="Times New Roman"/>
          <w:kern w:val="0"/>
          <w:sz w:val="32"/>
          <w:szCs w:val="32"/>
          <w:lang w:val="en-US" w:eastAsia="zh-CN" w:bidi="ar-SA"/>
        </w:rPr>
        <w:t>3. 调查分析报告</w:t>
      </w:r>
      <w:bookmarkEnd w:id="322"/>
    </w:p>
    <w:p>
      <w:pPr>
        <w:pageBreakBefore w:val="0"/>
        <w:kinsoku/>
        <w:wordWrap/>
        <w:overflowPunct/>
        <w:topLinePunct w:val="0"/>
        <w:autoSpaceDE/>
        <w:autoSpaceDN/>
        <w:bidi w:val="0"/>
        <w:adjustRightInd/>
        <w:snapToGrid/>
        <w:spacing w:line="600" w:lineRule="exact"/>
        <w:ind w:firstLine="1600" w:firstLineChars="500"/>
        <w:textAlignment w:val="auto"/>
        <w:rPr>
          <w:rFonts w:hint="eastAsia" w:ascii="Times New Roman" w:hAnsi="Times New Roman" w:eastAsia="仿宋_GB2312" w:cs="Times New Roman"/>
          <w:kern w:val="0"/>
          <w:sz w:val="32"/>
          <w:szCs w:val="32"/>
          <w:lang w:val="en-US" w:eastAsia="zh-CN" w:bidi="ar-SA"/>
        </w:rPr>
      </w:pPr>
      <w:bookmarkStart w:id="323" w:name="_Toc5432"/>
      <w:r>
        <w:rPr>
          <w:rFonts w:hint="eastAsia" w:ascii="Times New Roman" w:hAnsi="Times New Roman" w:eastAsia="仿宋_GB2312" w:cs="Times New Roman"/>
          <w:kern w:val="0"/>
          <w:sz w:val="32"/>
          <w:szCs w:val="32"/>
          <w:lang w:val="en-US" w:eastAsia="zh-CN" w:bidi="ar-SA"/>
        </w:rPr>
        <w:t>4. 2023年预算项目支出绩效目标表</w:t>
      </w:r>
      <w:bookmarkEnd w:id="323"/>
    </w:p>
    <w:p>
      <w:pPr>
        <w:pStyle w:val="6"/>
        <w:spacing w:line="600" w:lineRule="exact"/>
        <w:ind w:firstLine="562"/>
        <w:rPr>
          <w:rFonts w:hint="eastAsia" w:eastAsia="仿宋_GB2312" w:cs="Times New Roman"/>
          <w:b w:val="0"/>
          <w:kern w:val="0"/>
          <w:sz w:val="32"/>
          <w:szCs w:val="32"/>
          <w:lang w:val="en-US" w:eastAsia="zh-CN" w:bidi="ar-SA"/>
        </w:rPr>
        <w:sectPr>
          <w:footerReference r:id="rId14" w:type="default"/>
          <w:footnotePr>
            <w:numFmt w:val="decimalEnclosedCircleChinese"/>
            <w:numRestart w:val="eachPage"/>
          </w:footnotePr>
          <w:pgSz w:w="11906" w:h="16838"/>
          <w:pgMar w:top="1440" w:right="1800" w:bottom="1440" w:left="1800" w:header="851" w:footer="992" w:gutter="0"/>
          <w:pgNumType w:fmt="numberInDash"/>
          <w:cols w:space="425" w:num="1"/>
          <w:docGrid w:type="lines" w:linePitch="312" w:charSpace="0"/>
        </w:sectPr>
      </w:pPr>
    </w:p>
    <w:p>
      <w:pPr>
        <w:widowControl w:val="0"/>
        <w:overflowPunct w:val="0"/>
        <w:autoSpaceDE w:val="0"/>
        <w:autoSpaceDN w:val="0"/>
        <w:adjustRightInd w:val="0"/>
        <w:spacing w:line="600" w:lineRule="exact"/>
        <w:ind w:firstLine="1280" w:firstLineChars="400"/>
        <w:jc w:val="left"/>
        <w:textAlignment w:val="baseline"/>
        <w:outlineLvl w:val="0"/>
        <w:rPr>
          <w:rFonts w:hint="eastAsia" w:ascii="黑体" w:hAnsi="黑体" w:eastAsia="黑体" w:cs="黑体"/>
          <w:kern w:val="0"/>
          <w:sz w:val="32"/>
          <w:szCs w:val="32"/>
        </w:rPr>
      </w:pPr>
      <w:bookmarkStart w:id="324" w:name="_Toc24311772"/>
      <w:bookmarkStart w:id="325" w:name="_Toc24374868"/>
      <w:bookmarkStart w:id="326" w:name="_Toc27888_WPSOffice_Level1"/>
      <w:bookmarkStart w:id="327" w:name="_Toc25650546"/>
      <w:bookmarkStart w:id="328" w:name="_Toc24374227"/>
      <w:bookmarkStart w:id="329" w:name="_Toc17580"/>
      <w:r>
        <w:rPr>
          <w:rFonts w:hint="eastAsia" w:ascii="方正小标宋_GBK" w:hAnsi="方正小标宋_GBK" w:eastAsia="方正小标宋_GBK" w:cs="方正小标宋_GBK"/>
          <w:kern w:val="0"/>
          <w:sz w:val="32"/>
          <w:szCs w:val="32"/>
        </w:rPr>
        <w:t>附</w:t>
      </w:r>
      <w:r>
        <w:rPr>
          <w:rFonts w:hint="eastAsia" w:ascii="方正小标宋_GBK" w:hAnsi="方正小标宋_GBK" w:eastAsia="方正小标宋_GBK" w:cs="方正小标宋_GBK"/>
          <w:kern w:val="0"/>
          <w:sz w:val="32"/>
          <w:szCs w:val="32"/>
          <w:lang w:eastAsia="zh-CN"/>
        </w:rPr>
        <w:t>件</w:t>
      </w:r>
      <w:r>
        <w:rPr>
          <w:rFonts w:hint="eastAsia" w:ascii="方正小标宋_GBK" w:hAnsi="方正小标宋_GBK" w:eastAsia="方正小标宋_GBK" w:cs="方正小标宋_GBK"/>
          <w:kern w:val="0"/>
          <w:sz w:val="32"/>
          <w:szCs w:val="32"/>
        </w:rPr>
        <w:t>1：绩效评价</w:t>
      </w:r>
      <w:bookmarkEnd w:id="324"/>
      <w:bookmarkEnd w:id="325"/>
      <w:bookmarkEnd w:id="326"/>
      <w:bookmarkEnd w:id="327"/>
      <w:bookmarkEnd w:id="328"/>
      <w:r>
        <w:rPr>
          <w:rFonts w:hint="eastAsia" w:ascii="方正小标宋_GBK" w:hAnsi="方正小标宋_GBK" w:eastAsia="方正小标宋_GBK" w:cs="方正小标宋_GBK"/>
          <w:kern w:val="0"/>
          <w:sz w:val="32"/>
          <w:szCs w:val="32"/>
        </w:rPr>
        <w:t>得分表</w:t>
      </w:r>
      <w:bookmarkEnd w:id="329"/>
    </w:p>
    <w:tbl>
      <w:tblPr>
        <w:tblStyle w:val="21"/>
        <w:tblW w:w="1417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99"/>
        <w:gridCol w:w="1233"/>
        <w:gridCol w:w="1463"/>
        <w:gridCol w:w="3291"/>
        <w:gridCol w:w="6079"/>
        <w:gridCol w:w="80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tblHeader/>
          <w:jc w:val="center"/>
        </w:trPr>
        <w:tc>
          <w:tcPr>
            <w:tcW w:w="1299" w:type="dxa"/>
            <w:shd w:val="clear" w:color="auto" w:fill="FFFFFF"/>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4"/>
                <w:szCs w:val="24"/>
              </w:rPr>
            </w:pPr>
            <w:bookmarkStart w:id="330" w:name="_Hlk27555689"/>
            <w:r>
              <w:rPr>
                <w:rFonts w:hint="eastAsia" w:ascii="黑体" w:hAnsi="黑体" w:eastAsia="黑体" w:cs="宋体"/>
                <w:kern w:val="0"/>
                <w:sz w:val="24"/>
                <w:szCs w:val="24"/>
              </w:rPr>
              <w:t>一级指标</w:t>
            </w:r>
          </w:p>
        </w:tc>
        <w:tc>
          <w:tcPr>
            <w:tcW w:w="1233" w:type="dxa"/>
            <w:shd w:val="clear" w:color="auto" w:fill="FFFFFF"/>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4"/>
                <w:szCs w:val="24"/>
              </w:rPr>
            </w:pPr>
            <w:r>
              <w:rPr>
                <w:rFonts w:hint="eastAsia" w:ascii="黑体" w:hAnsi="黑体" w:eastAsia="黑体" w:cs="宋体"/>
                <w:kern w:val="0"/>
                <w:sz w:val="24"/>
                <w:szCs w:val="24"/>
              </w:rPr>
              <w:t>二级指标</w:t>
            </w:r>
          </w:p>
        </w:tc>
        <w:tc>
          <w:tcPr>
            <w:tcW w:w="1463" w:type="dxa"/>
            <w:shd w:val="clear" w:color="auto" w:fill="FFFFFF"/>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4"/>
                <w:szCs w:val="24"/>
              </w:rPr>
            </w:pPr>
            <w:r>
              <w:rPr>
                <w:rFonts w:hint="eastAsia" w:ascii="黑体" w:hAnsi="黑体" w:eastAsia="黑体" w:cs="宋体"/>
                <w:kern w:val="0"/>
                <w:sz w:val="24"/>
                <w:szCs w:val="24"/>
              </w:rPr>
              <w:t>三级指标</w:t>
            </w:r>
          </w:p>
        </w:tc>
        <w:tc>
          <w:tcPr>
            <w:tcW w:w="3291" w:type="dxa"/>
            <w:shd w:val="clear" w:color="auto" w:fill="FFFFFF"/>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4"/>
                <w:szCs w:val="24"/>
              </w:rPr>
            </w:pPr>
            <w:r>
              <w:rPr>
                <w:rFonts w:hint="eastAsia" w:ascii="黑体" w:hAnsi="黑体" w:eastAsia="黑体" w:cs="宋体"/>
                <w:kern w:val="0"/>
                <w:sz w:val="24"/>
                <w:szCs w:val="24"/>
              </w:rPr>
              <w:t>指标解释</w:t>
            </w:r>
          </w:p>
        </w:tc>
        <w:tc>
          <w:tcPr>
            <w:tcW w:w="6079" w:type="dxa"/>
            <w:shd w:val="clear" w:color="auto" w:fill="FFFFFF"/>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4"/>
                <w:szCs w:val="24"/>
              </w:rPr>
            </w:pPr>
            <w:r>
              <w:rPr>
                <w:rFonts w:hint="eastAsia" w:ascii="黑体" w:hAnsi="黑体" w:eastAsia="黑体" w:cs="宋体"/>
                <w:kern w:val="0"/>
                <w:sz w:val="24"/>
                <w:szCs w:val="24"/>
              </w:rPr>
              <w:t>指标说明</w:t>
            </w:r>
          </w:p>
        </w:tc>
        <w:tc>
          <w:tcPr>
            <w:tcW w:w="808" w:type="dxa"/>
            <w:shd w:val="clear" w:color="auto" w:fill="FFFFFF"/>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4"/>
                <w:szCs w:val="24"/>
              </w:rPr>
            </w:pPr>
            <w:r>
              <w:rPr>
                <w:rFonts w:hint="eastAsia" w:ascii="黑体" w:hAnsi="黑体" w:eastAsia="黑体" w:cs="宋体"/>
                <w:kern w:val="0"/>
                <w:sz w:val="24"/>
                <w:szCs w:val="24"/>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A决策</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（20分）</w:t>
            </w:r>
          </w:p>
        </w:tc>
        <w:tc>
          <w:tcPr>
            <w:tcW w:w="1233"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A1项目立项</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（6分）</w:t>
            </w: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A11立项依据充分性</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（3分）</w:t>
            </w:r>
          </w:p>
        </w:tc>
        <w:tc>
          <w:tcPr>
            <w:tcW w:w="3291"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项目立项是否符合法律法规相关政策、发展规划以及部门职责，用以反映和考核项目立项依据情况。</w:t>
            </w:r>
          </w:p>
        </w:tc>
        <w:tc>
          <w:tcPr>
            <w:tcW w:w="6079"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评价要点：①项目立项是否符合国家法律法规、国民经济发展规划和相关政策；②项目立项是否符合行业发展规划和政策要求；③项目立项是否与部门职责范围相符，属于部门履职所需；④项目是否属于公共财政 支持范围，是否符合中央、地方事权支出责任划分原则；⑤项目是否与相关部门同类项目或部门内部相关项目重复。</w:t>
            </w:r>
          </w:p>
        </w:tc>
        <w:tc>
          <w:tcPr>
            <w:tcW w:w="808"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A12立项程序规范性</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（3分）</w:t>
            </w:r>
          </w:p>
        </w:tc>
        <w:tc>
          <w:tcPr>
            <w:tcW w:w="3291"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项目申请、设立过程是否符合相关要求，用以反映和考核项目立项的规范情况。</w:t>
            </w:r>
          </w:p>
        </w:tc>
        <w:tc>
          <w:tcPr>
            <w:tcW w:w="6079"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评价要点：①项目是否按照规定的程序申请设立；②审批文件、材料是 否符合相关要求；③事前是否已经过必要的可行性研究、专家论证、风险评估、绩效评估、集体决策。</w:t>
            </w:r>
          </w:p>
        </w:tc>
        <w:tc>
          <w:tcPr>
            <w:tcW w:w="808"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A2绩效目标</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（6分）</w:t>
            </w: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A21绩效目标合理性</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（3分）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项目所设定的绩效目标是否依据充分，是否符合客观实际，用以反映和考核项目绩效目标与项目实施的相符情况。</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评价要点：（如未设定预算绩效目标，也可考核其他工作任务目标，下同）① 项目是否有绩效目标；②项目绩效目标与实际工作内容是否具有相关性； ③项目预期产出效益和效果是否符合正常的业绩水平；④是否与预算确 定的项目投资额或资金量相匹配。</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A22绩效指标明确性</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（3分）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依据绩效目标设定的绩效指标是否清晰、细化、可衡量等，用以反映和考核项目绩效目标的明细化情况</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评价要点：①是否将项目绩效目标细化分解为具体的绩效指标；②是否通过清晰、可衡量的指标值予以体现；③是否与项目目标任务数或计划数相对应。</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A3资金投入</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（8分）</w:t>
            </w: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A31预算编制科学性</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（4分）</w:t>
            </w:r>
          </w:p>
        </w:tc>
        <w:tc>
          <w:tcPr>
            <w:tcW w:w="3291"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项目预算编制是否经过科学论证、有明确标准，资金额度与年度目标是否相适应，用以反映和考核项目预算编制的科学性、合理性情况。</w:t>
            </w:r>
          </w:p>
        </w:tc>
        <w:tc>
          <w:tcPr>
            <w:tcW w:w="6079"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评价要点：①预算编制是否经过科学论证；②预算内容与项目内容是否匹配；③预算额度测算依据是否充分，是否按照标准编制；④预算确定的项目投资额或资金量是否与工作任务相匹配。</w:t>
            </w:r>
          </w:p>
        </w:tc>
        <w:tc>
          <w:tcPr>
            <w:tcW w:w="808"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A32资金分配合理性</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（4分）</w:t>
            </w:r>
          </w:p>
        </w:tc>
        <w:tc>
          <w:tcPr>
            <w:tcW w:w="3291"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项目预算资金分配是否有测算依据，与补助单位或地方实际是否相适应，用以反映和考核项目预算资金分配的科学性、合理性情况。</w:t>
            </w:r>
          </w:p>
        </w:tc>
        <w:tc>
          <w:tcPr>
            <w:tcW w:w="6079"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评价要点：①预算资金分配依据是否充分；②资金分配额度是否合理，与项目单位或地方实际是否相适应。</w:t>
            </w:r>
          </w:p>
        </w:tc>
        <w:tc>
          <w:tcPr>
            <w:tcW w:w="808"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B过程</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（20分）</w:t>
            </w:r>
          </w:p>
        </w:tc>
        <w:tc>
          <w:tcPr>
            <w:tcW w:w="1233"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B1资金管理</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（8分）</w:t>
            </w: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B11资金到位率</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（2分）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实际到位资金与预算资金的比率，用以反映和考核资金落实情况对项目实施的总体保障程度。</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资金到位率=（实际到位资金/预算资金）X100%。 实际到位资金：一定时期（本年度或项目期）内落实到具体项目的资金。 预算资金：一定时期（本年度或项目期）内预算安排到具体项目的资金。</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B12预算执行率</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（2分）</w:t>
            </w:r>
          </w:p>
        </w:tc>
        <w:tc>
          <w:tcPr>
            <w:tcW w:w="3291"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项目预算资金是否按照计划执行，用以反映或考核项目预算执行情况。</w:t>
            </w:r>
          </w:p>
        </w:tc>
        <w:tc>
          <w:tcPr>
            <w:tcW w:w="6079"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预算执行率=（实际支出资金/实际到位资金）X100% 实际支出资金：一定时期（本年度或项目期）内项目实际拨付的资金。</w:t>
            </w:r>
          </w:p>
        </w:tc>
        <w:tc>
          <w:tcPr>
            <w:tcW w:w="808"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B13资金使用合理合规性（4分）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项目建设资金各项组成部分合理，结构合理。项目资金使用是否符合相关的财务管理制度规定，用以反映和考核项目资金的规范运行情况。</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评价要点：①是否符合国家财经法规和财务管理制度以及有关专项资金 管理办法的规定；②资金的拨付是否有完整的审批程序和手续；③是否 符合项目预算批复或合同规定的用途；④是否存在截留、挤占、挪用、虚列支出等情况；⑤是否按规定实施政府釆购和政府购买服务。</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B2组织实施</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（12分）</w:t>
            </w: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B21管理制度健全性</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项目实施单位的财务和业务管理制度是否健全，用以反映和考核财务和业务管理制度对项目顺利实施的保障情况。</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评价要点：①是否已制定或具有相应的财务和业务管理制度；②财务和业务管理制度是否合法、合规、完整。</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B22制度执行有效性</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项目实施是否符合相关管理规定，用以反映和考核相关管理制度的有效执行情况。</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价要点：①是否遵守相关法律法规和相关管理规定；②项目调整及支出调整手续是否完备；③项目合同书、验收报告、技术鉴定等资料是否齐全并及时归档；④项目实施的人员条件、场地设备、信息支撑等是否落实到位。</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B23建设程序合规性</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建设项目的立项和设计、组织实施过程以及监理和后期维护和监督管理程序合规</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评价要点：①建设项目的立项和设计程序是否合规；②建设项目的组织实施过程以及监理程序是否合规；③建设项目的维护和监督管理程序是否合规</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C产出</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（30分）</w:t>
            </w:r>
          </w:p>
        </w:tc>
        <w:tc>
          <w:tcPr>
            <w:tcW w:w="123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C1产出数量</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（4分）</w:t>
            </w: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C11实际完成率</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绩效目标完成率，项目实施的实际产出数与计划产出数的比率，用以反映和考核项目产出数量目标的实现程度。</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评分要点：该项分值12分。对照绩效目标或其他任务目标，对项目完成情况进行评价【完成率=（实际完成量/计划完成量）×100%】</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C2产出质量</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（12分）</w:t>
            </w: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C21工程验收合格率</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相关工程的建设是否按照相关文件要求完成，用来反映项目产出的完成效果</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评分要点：工程验收合格率≥60%，否则，酌情扣分</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C22设备投入使用率</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项目设备投入使用过程中实际使用率，用以反映项目产出质量的实现程度</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评分要点：设备投入使用率=实际使用天数（小时）/应当使用天数（小时）*100%=100%，否则，酌情扣分</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C23配套设施完好和使用率（4分）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生活配套设施的完好程度，对生活的影响，以及配套设施的使用程度</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评分要点：现场评价和走访访问，配套设施建设质量，利用率高低等。</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C3产出实效</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（10分）</w:t>
            </w: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C31工程完成及时率</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相关工程的建设是否按照相关文件要求规定时间内完成，用来反映项目产出时效的完成效果</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评价要点：工程完成及时率=100%，否则，酌情扣分</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C32设备采购及时性</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（3分）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相关工程设备的采购是否按照相关文件要求规定时间内完成，用来反映项目产出时效的完成效果</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评价要点：设备采购及时率=100%，否则，酌情扣分</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C33投入使用及时率</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（3分）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相关工程设备是否按照相关实施方案的要求规定时间内投入使用，用来反映项目产出时效的完成效果</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评价要点：投入使用及时率按照实施方案或合同规定，否则酌情扣分</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C4产出成本</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（4分）</w:t>
            </w: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C41预算控制率</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（4分）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相关工程的建设是否超过相关文件计划的金额，用来反映项目产出成本的完成效果</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评价要点：预算控制率=实际使用金额/计划使用金额*100%＜100%，否则，酌情扣分</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D效益</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（30分）</w:t>
            </w:r>
          </w:p>
        </w:tc>
        <w:tc>
          <w:tcPr>
            <w:tcW w:w="1233" w:type="dxa"/>
            <w:vMerge w:val="restart"/>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D1项目效益</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（24分）</w:t>
            </w: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D11经济效益（6分）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项目实施所产生的经济效益</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项目实施所产生的经济效益，项目租金或入股分红情况等。</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D12社会效益（6分）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项目实施所产生的社会效益</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项目实施所产生的社会效益等，农民的收入增长情况、贫困群众脱贫情况、项目安置当地移民或贫困群众情况、移民和安置区居民投诉量等。</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D13生态效益（6分）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项目实施所产生的生态效益，对当地生态环境的影响和保护。</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项目实施所产生的生态效益等。根据项目实际情况分析。</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233"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1463"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D14可持续发展影响</w:t>
            </w: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（6分）</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项目的可持续发展和影响</w:t>
            </w: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项目实施所产生的可持续影响等，主要分析项目未来的收益、可持续性等。根据项目实际情况有选择地设置和细化。</w:t>
            </w: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1299" w:type="dxa"/>
            <w:vMerge w:val="continue"/>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2696" w:type="dxa"/>
            <w:gridSpan w:val="2"/>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D2受益群众满意度（6分）</w:t>
            </w:r>
          </w:p>
        </w:tc>
        <w:tc>
          <w:tcPr>
            <w:tcW w:w="3291"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移民对项目实施效果的满意程度。</w:t>
            </w:r>
          </w:p>
        </w:tc>
        <w:tc>
          <w:tcPr>
            <w:tcW w:w="6079"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社会公众或服务对象是指因该项目实施而受到影响的部门（单位）、群体或个人。釆取社会调查和走访询问的方式。</w:t>
            </w:r>
          </w:p>
        </w:tc>
        <w:tc>
          <w:tcPr>
            <w:tcW w:w="808" w:type="dxa"/>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4" w:hRule="atLeast"/>
          <w:jc w:val="center"/>
        </w:trPr>
        <w:tc>
          <w:tcPr>
            <w:tcW w:w="3995" w:type="dxa"/>
            <w:gridSpan w:val="3"/>
            <w:shd w:val="clear" w:color="auto"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合计</w:t>
            </w:r>
          </w:p>
        </w:tc>
        <w:tc>
          <w:tcPr>
            <w:tcW w:w="3291"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6079"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p>
        </w:tc>
        <w:tc>
          <w:tcPr>
            <w:tcW w:w="808" w:type="dxa"/>
            <w:shd w:val="clear" w:color="000000" w:fill="FFFFFF"/>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4"/>
                <w:szCs w:val="24"/>
              </w:rPr>
            </w:pPr>
            <w:r>
              <w:rPr>
                <w:rFonts w:hint="eastAsia" w:ascii="仿宋" w:hAnsi="仿宋" w:eastAsia="仿宋" w:cs="仿宋"/>
                <w:caps/>
                <w:kern w:val="0"/>
                <w:sz w:val="24"/>
                <w:szCs w:val="24"/>
              </w:rPr>
              <w:t>87</w:t>
            </w:r>
          </w:p>
        </w:tc>
      </w:tr>
      <w:bookmarkEnd w:id="330"/>
    </w:tbl>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8"/>
          <w:szCs w:val="28"/>
        </w:rPr>
      </w:pPr>
    </w:p>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8"/>
          <w:szCs w:val="28"/>
        </w:rPr>
        <w:sectPr>
          <w:headerReference r:id="rId15" w:type="default"/>
          <w:footnotePr>
            <w:numFmt w:val="decimalEnclosedCircleChinese"/>
            <w:numRestart w:val="eachPage"/>
          </w:footnotePr>
          <w:pgSz w:w="19221" w:h="12191" w:orient="landscape"/>
          <w:pgMar w:top="1800" w:right="1440" w:bottom="1800" w:left="1440" w:header="851" w:footer="992" w:gutter="0"/>
          <w:pgNumType w:fmt="numberInDash"/>
          <w:cols w:space="425" w:num="1"/>
          <w:docGrid w:type="lines" w:linePitch="312" w:charSpace="0"/>
        </w:sectPr>
      </w:pPr>
    </w:p>
    <w:p>
      <w:pPr>
        <w:keepNext w:val="0"/>
        <w:keepLines w:val="0"/>
        <w:pageBreakBefore w:val="0"/>
        <w:widowControl w:val="0"/>
        <w:kinsoku/>
        <w:wordWrap/>
        <w:overflowPunct w:val="0"/>
        <w:topLinePunct w:val="0"/>
        <w:autoSpaceDE w:val="0"/>
        <w:autoSpaceDN w:val="0"/>
        <w:bidi w:val="0"/>
        <w:adjustRightInd w:val="0"/>
        <w:snapToGrid/>
        <w:spacing w:before="157" w:beforeLines="50" w:after="157" w:afterLines="50" w:line="600" w:lineRule="exact"/>
        <w:ind w:firstLine="0" w:firstLineChars="0"/>
        <w:jc w:val="left"/>
        <w:textAlignment w:val="baseline"/>
        <w:outlineLvl w:val="0"/>
        <w:rPr>
          <w:rFonts w:hint="eastAsia" w:ascii="方正小标宋_GBK" w:hAnsi="方正小标宋_GBK" w:eastAsia="方正小标宋_GBK" w:cs="方正小标宋_GBK"/>
          <w:kern w:val="0"/>
          <w:sz w:val="32"/>
          <w:szCs w:val="32"/>
        </w:rPr>
      </w:pPr>
      <w:bookmarkStart w:id="331" w:name="_Toc24374873"/>
      <w:bookmarkStart w:id="332" w:name="_Toc24374232"/>
      <w:bookmarkStart w:id="333" w:name="_Toc25650551"/>
      <w:bookmarkStart w:id="334" w:name="_Toc24311777"/>
      <w:bookmarkStart w:id="335" w:name="_Toc32720"/>
      <w:r>
        <w:rPr>
          <w:rFonts w:hint="eastAsia" w:ascii="方正小标宋_GBK" w:hAnsi="方正小标宋_GBK" w:eastAsia="方正小标宋_GBK" w:cs="方正小标宋_GBK"/>
          <w:kern w:val="0"/>
          <w:sz w:val="32"/>
          <w:szCs w:val="32"/>
        </w:rPr>
        <w:t>附</w:t>
      </w:r>
      <w:r>
        <w:rPr>
          <w:rFonts w:hint="eastAsia" w:ascii="方正小标宋_GBK" w:hAnsi="方正小标宋_GBK" w:eastAsia="方正小标宋_GBK" w:cs="方正小标宋_GBK"/>
          <w:kern w:val="0"/>
          <w:sz w:val="32"/>
          <w:szCs w:val="32"/>
          <w:lang w:eastAsia="zh-CN"/>
        </w:rPr>
        <w:t>件</w:t>
      </w:r>
      <w:r>
        <w:rPr>
          <w:rFonts w:hint="eastAsia" w:ascii="方正小标宋_GBK" w:hAnsi="方正小标宋_GBK" w:eastAsia="方正小标宋_GBK" w:cs="方正小标宋_GBK"/>
          <w:kern w:val="0"/>
          <w:sz w:val="32"/>
          <w:szCs w:val="32"/>
        </w:rPr>
        <w:t>2：</w:t>
      </w:r>
      <w:bookmarkEnd w:id="331"/>
      <w:bookmarkEnd w:id="332"/>
      <w:bookmarkEnd w:id="333"/>
      <w:bookmarkEnd w:id="334"/>
      <w:r>
        <w:rPr>
          <w:rFonts w:hint="eastAsia" w:ascii="方正小标宋_GBK" w:hAnsi="方正小标宋_GBK" w:eastAsia="方正小标宋_GBK" w:cs="方正小标宋_GBK"/>
          <w:kern w:val="0"/>
          <w:sz w:val="32"/>
          <w:szCs w:val="32"/>
        </w:rPr>
        <w:t>问题清单</w:t>
      </w:r>
      <w:bookmarkEnd w:id="335"/>
    </w:p>
    <w:tbl>
      <w:tblPr>
        <w:tblStyle w:val="21"/>
        <w:tblpPr w:leftFromText="180" w:rightFromText="180" w:vertAnchor="text" w:horzAnchor="page" w:tblpXSpec="center" w:tblpY="466"/>
        <w:tblOverlap w:val="never"/>
        <w:tblW w:w="9071" w:type="dxa"/>
        <w:jc w:val="center"/>
        <w:tblLayout w:type="fixed"/>
        <w:tblCellMar>
          <w:top w:w="0" w:type="dxa"/>
          <w:left w:w="108" w:type="dxa"/>
          <w:bottom w:w="0" w:type="dxa"/>
          <w:right w:w="108" w:type="dxa"/>
        </w:tblCellMar>
      </w:tblPr>
      <w:tblGrid>
        <w:gridCol w:w="1769"/>
        <w:gridCol w:w="933"/>
        <w:gridCol w:w="4400"/>
        <w:gridCol w:w="1969"/>
      </w:tblGrid>
      <w:tr>
        <w:tblPrEx>
          <w:tblCellMar>
            <w:top w:w="0" w:type="dxa"/>
            <w:left w:w="108" w:type="dxa"/>
            <w:bottom w:w="0" w:type="dxa"/>
            <w:right w:w="108" w:type="dxa"/>
          </w:tblCellMar>
        </w:tblPrEx>
        <w:trPr>
          <w:trHeight w:val="454" w:hRule="atLeast"/>
          <w:jc w:val="center"/>
        </w:trPr>
        <w:tc>
          <w:tcPr>
            <w:tcW w:w="17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问题分类</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序号</w:t>
            </w:r>
          </w:p>
        </w:tc>
        <w:tc>
          <w:tcPr>
            <w:tcW w:w="4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问题描述</w:t>
            </w:r>
          </w:p>
        </w:tc>
        <w:tc>
          <w:tcPr>
            <w:tcW w:w="1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项目责任单位</w:t>
            </w:r>
          </w:p>
        </w:tc>
      </w:tr>
      <w:tr>
        <w:tblPrEx>
          <w:tblCellMar>
            <w:top w:w="0" w:type="dxa"/>
            <w:left w:w="108" w:type="dxa"/>
            <w:bottom w:w="0" w:type="dxa"/>
            <w:right w:w="108" w:type="dxa"/>
          </w:tblCellMar>
        </w:tblPrEx>
        <w:trPr>
          <w:trHeight w:val="454" w:hRule="atLeast"/>
          <w:jc w:val="center"/>
        </w:trPr>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项目立项存在的问题</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w:t>
            </w:r>
          </w:p>
        </w:tc>
        <w:tc>
          <w:tcPr>
            <w:tcW w:w="4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部分绩效指标设置不符合要求。</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兖州区气象局</w:t>
            </w:r>
          </w:p>
        </w:tc>
      </w:tr>
      <w:tr>
        <w:tblPrEx>
          <w:tblCellMar>
            <w:top w:w="0" w:type="dxa"/>
            <w:left w:w="108" w:type="dxa"/>
            <w:bottom w:w="0" w:type="dxa"/>
            <w:right w:w="108" w:type="dxa"/>
          </w:tblCellMar>
        </w:tblPrEx>
        <w:trPr>
          <w:trHeight w:val="454" w:hRule="atLeast"/>
          <w:jc w:val="center"/>
        </w:trPr>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资金落实存在的问题</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w:t>
            </w:r>
          </w:p>
        </w:tc>
        <w:tc>
          <w:tcPr>
            <w:tcW w:w="4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无</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兖州区气象局</w:t>
            </w:r>
          </w:p>
        </w:tc>
      </w:tr>
      <w:tr>
        <w:tblPrEx>
          <w:tblCellMar>
            <w:top w:w="0" w:type="dxa"/>
            <w:left w:w="108" w:type="dxa"/>
            <w:bottom w:w="0" w:type="dxa"/>
            <w:right w:w="108" w:type="dxa"/>
          </w:tblCellMar>
        </w:tblPrEx>
        <w:trPr>
          <w:trHeight w:val="454" w:hRule="atLeast"/>
          <w:jc w:val="center"/>
        </w:trPr>
        <w:tc>
          <w:tcPr>
            <w:tcW w:w="1769" w:type="dxa"/>
            <w:vMerge w:val="restart"/>
            <w:tcBorders>
              <w:top w:val="single" w:color="000000" w:sz="4" w:space="0"/>
              <w:left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业务管理存在的问题</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w:t>
            </w:r>
          </w:p>
        </w:tc>
        <w:tc>
          <w:tcPr>
            <w:tcW w:w="4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施工许可证等审批滞后，获得许可证之前即开工，也未提供其他准予容缺开工的批复文件。</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兖州区气象局</w:t>
            </w:r>
          </w:p>
        </w:tc>
      </w:tr>
      <w:tr>
        <w:tblPrEx>
          <w:tblCellMar>
            <w:top w:w="0" w:type="dxa"/>
            <w:left w:w="108" w:type="dxa"/>
            <w:bottom w:w="0" w:type="dxa"/>
            <w:right w:w="108" w:type="dxa"/>
          </w:tblCellMar>
        </w:tblPrEx>
        <w:trPr>
          <w:trHeight w:val="454" w:hRule="atLeast"/>
          <w:jc w:val="center"/>
        </w:trPr>
        <w:tc>
          <w:tcPr>
            <w:tcW w:w="1769" w:type="dxa"/>
            <w:vMerge w:val="continue"/>
            <w:tcBorders>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w:t>
            </w:r>
          </w:p>
        </w:tc>
        <w:tc>
          <w:tcPr>
            <w:tcW w:w="4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施工合同约定工期远低于可研计划建设工期，缺乏合理性。</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兖州区气象局</w:t>
            </w:r>
          </w:p>
        </w:tc>
      </w:tr>
      <w:tr>
        <w:tblPrEx>
          <w:tblCellMar>
            <w:top w:w="0" w:type="dxa"/>
            <w:left w:w="108" w:type="dxa"/>
            <w:bottom w:w="0" w:type="dxa"/>
            <w:right w:w="108" w:type="dxa"/>
          </w:tblCellMar>
        </w:tblPrEx>
        <w:trPr>
          <w:trHeight w:val="454" w:hRule="atLeast"/>
          <w:jc w:val="center"/>
        </w:trPr>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项目产出存在的问题</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w:t>
            </w:r>
          </w:p>
        </w:tc>
        <w:tc>
          <w:tcPr>
            <w:tcW w:w="4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无</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兖州区气象局</w:t>
            </w:r>
          </w:p>
        </w:tc>
      </w:tr>
      <w:tr>
        <w:tblPrEx>
          <w:tblCellMar>
            <w:top w:w="0" w:type="dxa"/>
            <w:left w:w="108" w:type="dxa"/>
            <w:bottom w:w="0" w:type="dxa"/>
            <w:right w:w="108" w:type="dxa"/>
          </w:tblCellMar>
        </w:tblPrEx>
        <w:trPr>
          <w:trHeight w:val="454" w:hRule="atLeast"/>
          <w:jc w:val="center"/>
        </w:trPr>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项目效益存在的问题</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1</w:t>
            </w:r>
          </w:p>
        </w:tc>
        <w:tc>
          <w:tcPr>
            <w:tcW w:w="4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无</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兖州区气象局</w:t>
            </w:r>
          </w:p>
        </w:tc>
      </w:tr>
      <w:tr>
        <w:tblPrEx>
          <w:tblCellMar>
            <w:top w:w="0" w:type="dxa"/>
            <w:left w:w="108" w:type="dxa"/>
            <w:bottom w:w="0" w:type="dxa"/>
            <w:right w:w="108" w:type="dxa"/>
          </w:tblCellMar>
        </w:tblPrEx>
        <w:trPr>
          <w:trHeight w:val="454" w:hRule="atLeast"/>
          <w:jc w:val="center"/>
        </w:trPr>
        <w:tc>
          <w:tcPr>
            <w:tcW w:w="9071" w:type="dxa"/>
            <w:gridSpan w:val="4"/>
            <w:tcBorders>
              <w:top w:val="single" w:color="000000" w:sz="4" w:space="0"/>
              <w:left w:val="single" w:color="000000" w:sz="4" w:space="0"/>
              <w:bottom w:val="single" w:color="000000" w:sz="4" w:space="0"/>
              <w:right w:val="single" w:color="000000" w:sz="4" w:space="0"/>
            </w:tcBorders>
            <w:shd w:val="clear" w:color="auto" w:fill="auto"/>
          </w:tcPr>
          <w:p>
            <w:pPr>
              <w:widowControl/>
              <w:overflowPunct w:val="0"/>
              <w:autoSpaceDE w:val="0"/>
              <w:autoSpaceDN w:val="0"/>
              <w:adjustRightInd w:val="0"/>
              <w:spacing w:line="300" w:lineRule="auto"/>
              <w:ind w:firstLine="0" w:firstLineChars="0"/>
              <w:jc w:val="center"/>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备注：</w:t>
            </w:r>
          </w:p>
        </w:tc>
      </w:tr>
    </w:tbl>
    <w:p>
      <w:pPr>
        <w:ind w:firstLine="540"/>
      </w:pPr>
    </w:p>
    <w:p>
      <w:pPr>
        <w:ind w:firstLine="540"/>
      </w:pPr>
      <w:r>
        <w:br w:type="page"/>
      </w:r>
    </w:p>
    <w:p>
      <w:pPr>
        <w:widowControl w:val="0"/>
        <w:overflowPunct w:val="0"/>
        <w:autoSpaceDE w:val="0"/>
        <w:autoSpaceDN w:val="0"/>
        <w:adjustRightInd w:val="0"/>
        <w:spacing w:line="600" w:lineRule="exact"/>
        <w:ind w:firstLine="0" w:firstLineChars="0"/>
        <w:jc w:val="left"/>
        <w:textAlignment w:val="baseline"/>
        <w:outlineLvl w:val="0"/>
        <w:rPr>
          <w:rFonts w:hint="eastAsia" w:ascii="方正小标宋_GBK" w:hAnsi="方正小标宋_GBK" w:eastAsia="方正小标宋_GBK" w:cs="方正小标宋_GBK"/>
          <w:kern w:val="0"/>
          <w:sz w:val="32"/>
          <w:szCs w:val="32"/>
        </w:rPr>
      </w:pPr>
      <w:bookmarkStart w:id="336" w:name="_Toc21532"/>
      <w:r>
        <w:rPr>
          <w:rFonts w:hint="eastAsia" w:ascii="方正小标宋_GBK" w:hAnsi="方正小标宋_GBK" w:eastAsia="方正小标宋_GBK" w:cs="方正小标宋_GBK"/>
          <w:kern w:val="0"/>
          <w:sz w:val="32"/>
          <w:szCs w:val="32"/>
        </w:rPr>
        <w:t>附</w:t>
      </w:r>
      <w:r>
        <w:rPr>
          <w:rFonts w:hint="eastAsia" w:ascii="方正小标宋_GBK" w:hAnsi="方正小标宋_GBK" w:eastAsia="方正小标宋_GBK" w:cs="方正小标宋_GBK"/>
          <w:kern w:val="0"/>
          <w:sz w:val="32"/>
          <w:szCs w:val="32"/>
          <w:lang w:eastAsia="zh-CN"/>
        </w:rPr>
        <w:t>件</w:t>
      </w:r>
      <w:r>
        <w:rPr>
          <w:rFonts w:hint="eastAsia" w:ascii="方正小标宋_GBK" w:hAnsi="方正小标宋_GBK" w:eastAsia="方正小标宋_GBK" w:cs="方正小标宋_GBK"/>
          <w:kern w:val="0"/>
          <w:sz w:val="32"/>
          <w:szCs w:val="32"/>
        </w:rPr>
        <w:t>3：调查分析报告</w:t>
      </w:r>
      <w:bookmarkEnd w:id="336"/>
    </w:p>
    <w:p>
      <w:pPr>
        <w:pStyle w:val="4"/>
        <w:ind w:firstLine="0" w:firstLineChars="0"/>
        <w:jc w:val="center"/>
        <w:rPr>
          <w:rFonts w:ascii="方正小标宋简体" w:hAnsi="方正小标宋简体" w:eastAsia="方正小标宋简体" w:cs="方正小标宋简体"/>
          <w:kern w:val="2"/>
          <w:sz w:val="44"/>
          <w:szCs w:val="44"/>
        </w:rPr>
      </w:pPr>
    </w:p>
    <w:p>
      <w:pPr>
        <w:pStyle w:val="4"/>
        <w:ind w:firstLine="0" w:firstLineChars="0"/>
        <w:jc w:val="center"/>
        <w:rPr>
          <w:rFonts w:hint="eastAsia" w:ascii="方正小标宋简体" w:hAnsi="方正小标宋简体" w:eastAsia="方正小标宋简体" w:cs="方正小标宋简体"/>
          <w:kern w:val="2"/>
          <w:sz w:val="44"/>
          <w:szCs w:val="44"/>
        </w:rPr>
      </w:pPr>
      <w:r>
        <w:rPr>
          <w:rFonts w:hint="eastAsia" w:ascii="方正小标宋简体" w:hAnsi="方正小标宋简体" w:eastAsia="方正小标宋简体" w:cs="方正小标宋简体"/>
          <w:kern w:val="2"/>
          <w:sz w:val="44"/>
          <w:szCs w:val="44"/>
        </w:rPr>
        <w:t>2021年度兖州区气象局迁建（2019-2021）</w:t>
      </w:r>
    </w:p>
    <w:p>
      <w:pPr>
        <w:pStyle w:val="4"/>
        <w:ind w:firstLine="0" w:firstLineChars="0"/>
        <w:jc w:val="center"/>
        <w:rPr>
          <w:rFonts w:ascii="方正小标宋简体" w:hAnsi="方正小标宋简体" w:eastAsia="方正小标宋简体" w:cs="方正小标宋简体"/>
          <w:kern w:val="2"/>
          <w:sz w:val="44"/>
          <w:szCs w:val="44"/>
        </w:rPr>
      </w:pPr>
      <w:r>
        <w:rPr>
          <w:rFonts w:hint="eastAsia" w:ascii="方正小标宋简体" w:hAnsi="方正小标宋简体" w:eastAsia="方正小标宋简体" w:cs="方正小标宋简体"/>
          <w:kern w:val="2"/>
          <w:sz w:val="44"/>
          <w:szCs w:val="44"/>
        </w:rPr>
        <w:t>绩效评价调查分析报告</w:t>
      </w:r>
    </w:p>
    <w:p>
      <w:pPr>
        <w:pStyle w:val="4"/>
        <w:ind w:firstLine="0" w:firstLineChars="0"/>
        <w:jc w:val="center"/>
        <w:rPr>
          <w:rFonts w:ascii="方正小标宋简体" w:hAnsi="方正小标宋简体" w:eastAsia="方正小标宋简体" w:cs="方正小标宋简体"/>
          <w:kern w:val="2"/>
          <w:sz w:val="44"/>
          <w:szCs w:val="44"/>
        </w:rPr>
      </w:pPr>
    </w:p>
    <w:p>
      <w:pPr>
        <w:widowControl w:val="0"/>
        <w:overflowPunct w:val="0"/>
        <w:autoSpaceDE w:val="0"/>
        <w:autoSpaceDN w:val="0"/>
        <w:adjustRightInd w:val="0"/>
        <w:spacing w:line="600" w:lineRule="exact"/>
        <w:ind w:firstLine="640" w:firstLineChars="200"/>
        <w:textAlignment w:val="baseline"/>
        <w:outlineLvl w:val="0"/>
        <w:rPr>
          <w:rFonts w:hint="eastAsia" w:eastAsia="黑体"/>
          <w:kern w:val="0"/>
          <w:sz w:val="32"/>
          <w:szCs w:val="32"/>
        </w:rPr>
      </w:pPr>
      <w:bookmarkStart w:id="337" w:name="_Toc1235"/>
      <w:bookmarkStart w:id="338" w:name="_Toc1356"/>
      <w:bookmarkStart w:id="339" w:name="_Toc14403"/>
      <w:r>
        <w:rPr>
          <w:rFonts w:hint="eastAsia" w:eastAsia="黑体"/>
          <w:kern w:val="0"/>
          <w:sz w:val="32"/>
          <w:szCs w:val="32"/>
        </w:rPr>
        <w:t>一、调查背景</w:t>
      </w:r>
      <w:bookmarkEnd w:id="337"/>
      <w:bookmarkEnd w:id="338"/>
      <w:bookmarkEnd w:id="339"/>
    </w:p>
    <w:p>
      <w:pPr>
        <w:spacing w:line="600" w:lineRule="exact"/>
        <w:ind w:firstLine="54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根据兖州区政府2016年第50次常务会议纪要，为促进我区城市规划实施和老城区开发建设，区政府确定兖州国家基本气象站实施整体搬迁。充分考虑气象局工作的特有属性，在经济性、效率性、有效性和公平性原则的基础上，按照科学规范、简洁实用、目标导向、绩效突出、合理分类和综合评价的要求，开展本次调查分析工作。</w:t>
      </w:r>
      <w:bookmarkStart w:id="340" w:name="OLE_LINK1"/>
      <w:bookmarkEnd w:id="340"/>
    </w:p>
    <w:p>
      <w:pPr>
        <w:widowControl w:val="0"/>
        <w:overflowPunct w:val="0"/>
        <w:autoSpaceDE w:val="0"/>
        <w:autoSpaceDN w:val="0"/>
        <w:adjustRightInd w:val="0"/>
        <w:spacing w:line="600" w:lineRule="exact"/>
        <w:ind w:firstLine="640" w:firstLineChars="200"/>
        <w:textAlignment w:val="baseline"/>
        <w:outlineLvl w:val="0"/>
        <w:rPr>
          <w:rFonts w:hint="eastAsia" w:eastAsia="黑体"/>
          <w:kern w:val="0"/>
          <w:sz w:val="32"/>
          <w:szCs w:val="32"/>
        </w:rPr>
      </w:pPr>
      <w:bookmarkStart w:id="341" w:name="_Toc21019"/>
      <w:bookmarkStart w:id="342" w:name="_Toc19234"/>
      <w:bookmarkStart w:id="343" w:name="_Toc23490"/>
      <w:r>
        <w:rPr>
          <w:rFonts w:hint="eastAsia" w:eastAsia="黑体"/>
          <w:kern w:val="0"/>
          <w:sz w:val="32"/>
          <w:szCs w:val="32"/>
        </w:rPr>
        <w:t>二、调查问卷内容</w:t>
      </w:r>
      <w:bookmarkEnd w:id="341"/>
      <w:bookmarkEnd w:id="342"/>
      <w:bookmarkEnd w:id="343"/>
    </w:p>
    <w:p>
      <w:pPr>
        <w:pStyle w:val="5"/>
        <w:spacing w:line="600" w:lineRule="exact"/>
        <w:ind w:firstLine="562"/>
        <w:rPr>
          <w:rFonts w:hint="eastAsia" w:ascii="Times New Roman" w:hAnsi="Times New Roman" w:eastAsia="楷体" w:cs="Times New Roman"/>
          <w:b w:val="0"/>
          <w:kern w:val="0"/>
          <w:sz w:val="32"/>
          <w:szCs w:val="32"/>
          <w:lang w:val="en-US" w:eastAsia="zh-CN" w:bidi="ar-SA"/>
        </w:rPr>
      </w:pPr>
      <w:bookmarkStart w:id="344" w:name="_Toc13659"/>
      <w:bookmarkStart w:id="345" w:name="_Toc29707"/>
      <w:bookmarkStart w:id="346" w:name="_Toc5282"/>
      <w:r>
        <w:rPr>
          <w:rFonts w:hint="eastAsia" w:ascii="Times New Roman" w:hAnsi="Times New Roman" w:eastAsia="楷体" w:cs="Times New Roman"/>
          <w:b w:val="0"/>
          <w:kern w:val="0"/>
          <w:sz w:val="32"/>
          <w:szCs w:val="32"/>
          <w:lang w:val="en-US" w:eastAsia="zh-CN" w:bidi="ar-SA"/>
        </w:rPr>
        <w:t>（一）调查对象基本信息</w:t>
      </w:r>
      <w:bookmarkEnd w:id="344"/>
      <w:bookmarkEnd w:id="345"/>
      <w:bookmarkEnd w:id="346"/>
    </w:p>
    <w:p>
      <w:pPr>
        <w:spacing w:line="600" w:lineRule="exact"/>
        <w:ind w:firstLine="54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本次调研对象为随机采访兖州区普通市民及兖州区气象站迁建地址周边居民。</w:t>
      </w:r>
    </w:p>
    <w:p>
      <w:pPr>
        <w:pStyle w:val="5"/>
        <w:spacing w:line="600" w:lineRule="exact"/>
        <w:ind w:firstLine="562"/>
        <w:rPr>
          <w:rFonts w:hint="eastAsia" w:ascii="Times New Roman" w:hAnsi="Times New Roman" w:eastAsia="楷体" w:cs="Times New Roman"/>
          <w:b w:val="0"/>
          <w:kern w:val="0"/>
          <w:sz w:val="32"/>
          <w:szCs w:val="32"/>
          <w:lang w:val="en-US" w:eastAsia="zh-CN" w:bidi="ar-SA"/>
        </w:rPr>
      </w:pPr>
      <w:bookmarkStart w:id="347" w:name="_Toc12331"/>
      <w:bookmarkStart w:id="348" w:name="_Toc25345"/>
      <w:bookmarkStart w:id="349" w:name="_Toc11826"/>
      <w:r>
        <w:rPr>
          <w:rFonts w:hint="eastAsia" w:ascii="Times New Roman" w:hAnsi="Times New Roman" w:eastAsia="楷体" w:cs="Times New Roman"/>
          <w:b w:val="0"/>
          <w:kern w:val="0"/>
          <w:sz w:val="32"/>
          <w:szCs w:val="32"/>
          <w:lang w:val="en-US" w:eastAsia="zh-CN" w:bidi="ar-SA"/>
        </w:rPr>
        <w:t>（二）调查对象基本问题</w:t>
      </w:r>
      <w:bookmarkEnd w:id="347"/>
      <w:bookmarkEnd w:id="348"/>
      <w:bookmarkEnd w:id="349"/>
    </w:p>
    <w:p>
      <w:pPr>
        <w:spacing w:line="600" w:lineRule="exact"/>
        <w:ind w:firstLine="54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为了了解兖州区居民对兖州区气象站迁建项目的了解程度，及对兖州区气象站迁建项目的看法，评价工作组开展了项目满意度调查工作。</w:t>
      </w:r>
    </w:p>
    <w:p>
      <w:pPr>
        <w:widowControl w:val="0"/>
        <w:overflowPunct w:val="0"/>
        <w:autoSpaceDE w:val="0"/>
        <w:autoSpaceDN w:val="0"/>
        <w:adjustRightInd w:val="0"/>
        <w:spacing w:line="600" w:lineRule="exact"/>
        <w:ind w:firstLine="640" w:firstLineChars="200"/>
        <w:textAlignment w:val="baseline"/>
        <w:outlineLvl w:val="0"/>
        <w:rPr>
          <w:rFonts w:hint="eastAsia" w:eastAsia="黑体"/>
          <w:kern w:val="0"/>
          <w:sz w:val="32"/>
          <w:szCs w:val="32"/>
        </w:rPr>
      </w:pPr>
      <w:bookmarkStart w:id="350" w:name="_Toc23107"/>
      <w:bookmarkStart w:id="351" w:name="_Toc32025"/>
      <w:bookmarkStart w:id="352" w:name="_Toc385"/>
      <w:r>
        <w:rPr>
          <w:rFonts w:hint="eastAsia" w:eastAsia="黑体"/>
          <w:kern w:val="0"/>
          <w:sz w:val="32"/>
          <w:szCs w:val="32"/>
        </w:rPr>
        <w:t>三、调查方式及计划</w:t>
      </w:r>
      <w:bookmarkEnd w:id="350"/>
      <w:bookmarkEnd w:id="351"/>
      <w:bookmarkEnd w:id="352"/>
    </w:p>
    <w:p>
      <w:pPr>
        <w:pStyle w:val="5"/>
        <w:spacing w:line="600" w:lineRule="exact"/>
        <w:ind w:firstLine="562"/>
        <w:rPr>
          <w:rFonts w:hint="eastAsia" w:ascii="Times New Roman" w:hAnsi="Times New Roman" w:eastAsia="楷体" w:cs="Times New Roman"/>
          <w:b w:val="0"/>
          <w:kern w:val="0"/>
          <w:sz w:val="32"/>
          <w:szCs w:val="32"/>
          <w:lang w:val="en-US" w:eastAsia="zh-CN" w:bidi="ar-SA"/>
        </w:rPr>
      </w:pPr>
      <w:bookmarkStart w:id="353" w:name="_Toc10889"/>
      <w:bookmarkStart w:id="354" w:name="_Toc16528"/>
      <w:bookmarkStart w:id="355" w:name="_Toc14420"/>
      <w:r>
        <w:rPr>
          <w:rFonts w:hint="eastAsia" w:ascii="Times New Roman" w:hAnsi="Times New Roman" w:eastAsia="楷体" w:cs="Times New Roman"/>
          <w:b w:val="0"/>
          <w:kern w:val="0"/>
          <w:sz w:val="32"/>
          <w:szCs w:val="32"/>
          <w:lang w:val="en-US" w:eastAsia="zh-CN" w:bidi="ar-SA"/>
        </w:rPr>
        <w:t>（一）调查方式</w:t>
      </w:r>
      <w:bookmarkEnd w:id="353"/>
      <w:bookmarkEnd w:id="354"/>
      <w:bookmarkEnd w:id="355"/>
    </w:p>
    <w:p>
      <w:pPr>
        <w:spacing w:line="600" w:lineRule="exact"/>
        <w:ind w:firstLine="54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针对上述问卷对象开展问卷调查，在全面调研开展之前先进行论证，根据论证结果对问卷和抽样方式进行修改调整。</w:t>
      </w:r>
    </w:p>
    <w:p>
      <w:pPr>
        <w:pStyle w:val="5"/>
        <w:spacing w:line="600" w:lineRule="exact"/>
        <w:ind w:firstLine="562"/>
        <w:rPr>
          <w:rFonts w:hint="eastAsia" w:ascii="Times New Roman" w:hAnsi="Times New Roman" w:eastAsia="楷体" w:cs="Times New Roman"/>
          <w:b w:val="0"/>
          <w:kern w:val="0"/>
          <w:sz w:val="32"/>
          <w:szCs w:val="32"/>
          <w:lang w:val="en-US" w:eastAsia="zh-CN" w:bidi="ar-SA"/>
        </w:rPr>
      </w:pPr>
      <w:bookmarkStart w:id="356" w:name="_Toc20931"/>
      <w:bookmarkStart w:id="357" w:name="_Toc3523"/>
      <w:bookmarkStart w:id="358" w:name="_Toc4184"/>
      <w:r>
        <w:rPr>
          <w:rFonts w:hint="eastAsia" w:ascii="Times New Roman" w:hAnsi="Times New Roman" w:eastAsia="楷体" w:cs="Times New Roman"/>
          <w:b w:val="0"/>
          <w:kern w:val="0"/>
          <w:sz w:val="32"/>
          <w:szCs w:val="32"/>
          <w:lang w:val="en-US" w:eastAsia="zh-CN" w:bidi="ar-SA"/>
        </w:rPr>
        <w:t>（二）抽样方式</w:t>
      </w:r>
      <w:bookmarkEnd w:id="356"/>
      <w:bookmarkEnd w:id="357"/>
      <w:bookmarkEnd w:id="358"/>
    </w:p>
    <w:p>
      <w:pPr>
        <w:spacing w:line="600" w:lineRule="exact"/>
        <w:ind w:firstLine="54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本次问卷调查采用的方式为简单随机抽样，即对兖州区普通市民及兖州区气象站迁建地址周边人员随机进行随访，总体中的每个个体都有相等的被选中的机会，能够以最佳的方式去创造一个真正代表总体的样本。</w:t>
      </w:r>
    </w:p>
    <w:p>
      <w:pPr>
        <w:widowControl w:val="0"/>
        <w:overflowPunct w:val="0"/>
        <w:autoSpaceDE w:val="0"/>
        <w:autoSpaceDN w:val="0"/>
        <w:adjustRightInd w:val="0"/>
        <w:spacing w:line="600" w:lineRule="exact"/>
        <w:ind w:firstLine="640" w:firstLineChars="200"/>
        <w:textAlignment w:val="baseline"/>
        <w:outlineLvl w:val="0"/>
        <w:rPr>
          <w:rFonts w:hint="eastAsia" w:eastAsia="黑体"/>
          <w:kern w:val="0"/>
          <w:sz w:val="32"/>
          <w:szCs w:val="32"/>
        </w:rPr>
      </w:pPr>
      <w:bookmarkStart w:id="359" w:name="_Toc4708"/>
      <w:bookmarkStart w:id="360" w:name="_Toc17746"/>
      <w:bookmarkStart w:id="361" w:name="_Toc20612"/>
      <w:r>
        <w:rPr>
          <w:rFonts w:hint="eastAsia" w:eastAsia="黑体"/>
          <w:kern w:val="0"/>
          <w:sz w:val="32"/>
          <w:szCs w:val="32"/>
        </w:rPr>
        <w:t>四、问卷的发放和回收</w:t>
      </w:r>
      <w:bookmarkEnd w:id="359"/>
      <w:bookmarkEnd w:id="360"/>
      <w:bookmarkEnd w:id="361"/>
    </w:p>
    <w:p>
      <w:pPr>
        <w:ind w:firstLine="540"/>
        <w:rPr>
          <w:rFonts w:hint="eastAsia" w:ascii="Times New Roman" w:hAnsi="Times New Roman" w:eastAsia="仿宋_GB2312" w:cs="Times New Roman"/>
          <w:b w:val="0"/>
          <w:bCs w:val="0"/>
          <w:kern w:val="0"/>
          <w:sz w:val="32"/>
          <w:szCs w:val="32"/>
          <w:lang w:val="en-US" w:eastAsia="zh-CN" w:bidi="ar-SA"/>
        </w:rPr>
      </w:pPr>
      <w:r>
        <w:rPr>
          <w:rFonts w:hint="eastAsia" w:ascii="Times New Roman" w:hAnsi="Times New Roman" w:eastAsia="仿宋_GB2312" w:cs="Times New Roman"/>
          <w:b w:val="0"/>
          <w:bCs w:val="0"/>
          <w:kern w:val="0"/>
          <w:sz w:val="32"/>
          <w:szCs w:val="32"/>
          <w:lang w:val="en-US" w:eastAsia="zh-CN" w:bidi="ar-SA"/>
        </w:rPr>
        <w:t>本次调查共发放问卷200份，回收问卷185份，其中有效问卷185份。</w:t>
      </w:r>
    </w:p>
    <w:p>
      <w:pPr>
        <w:widowControl w:val="0"/>
        <w:overflowPunct w:val="0"/>
        <w:autoSpaceDE w:val="0"/>
        <w:autoSpaceDN w:val="0"/>
        <w:adjustRightInd w:val="0"/>
        <w:spacing w:line="600" w:lineRule="exact"/>
        <w:ind w:firstLine="640" w:firstLineChars="200"/>
        <w:textAlignment w:val="baseline"/>
        <w:outlineLvl w:val="0"/>
        <w:rPr>
          <w:rFonts w:hint="eastAsia" w:eastAsia="黑体"/>
          <w:kern w:val="0"/>
          <w:sz w:val="32"/>
          <w:szCs w:val="32"/>
        </w:rPr>
      </w:pPr>
      <w:bookmarkStart w:id="362" w:name="_Toc327"/>
      <w:bookmarkStart w:id="363" w:name="_Toc14409"/>
      <w:bookmarkStart w:id="364" w:name="_Toc18015"/>
      <w:r>
        <w:rPr>
          <w:rFonts w:hint="eastAsia" w:eastAsia="黑体"/>
          <w:kern w:val="0"/>
          <w:sz w:val="32"/>
          <w:szCs w:val="32"/>
        </w:rPr>
        <w:t>五、调查结果分析</w:t>
      </w:r>
      <w:bookmarkEnd w:id="362"/>
      <w:bookmarkEnd w:id="363"/>
      <w:bookmarkEnd w:id="364"/>
    </w:p>
    <w:p>
      <w:pPr>
        <w:spacing w:line="600" w:lineRule="exact"/>
        <w:ind w:firstLine="54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本次调查共回收有效问卷数量185份，问卷调查结果显示，受调查对象了解气象站迁建项目的有172人，占调查人数的92.97%；不了解气象站迁建项目的占13人，占调查人数的7.03%。综上可以看出，调查对象基本上都了解气象站迁建项目。</w:t>
      </w:r>
    </w:p>
    <w:p>
      <w:pPr>
        <w:spacing w:line="600" w:lineRule="exact"/>
        <w:ind w:firstLine="54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受调查对象中对气象服务满意的有175人，占调查人数的94.59%；了解国家级气象站标准的有162人，占调查人数的87.57%；赞成气象站迁建的有169人，占调查人数的91.35%；对兖州区气象站服务管理水平满意的有179人，占调查对象的96.76%；对兖州区气象站迁建项目满意的有182人，占调查对象的98.38%。综上可以看出，2021年度兖州区气象局迁建（2019-2021）项目按照预定计划实施，达到了项目的预期效益。</w:t>
      </w:r>
    </w:p>
    <w:p>
      <w:pPr>
        <w:widowControl w:val="0"/>
        <w:overflowPunct w:val="0"/>
        <w:autoSpaceDE w:val="0"/>
        <w:autoSpaceDN w:val="0"/>
        <w:adjustRightInd w:val="0"/>
        <w:spacing w:line="600" w:lineRule="exact"/>
        <w:ind w:firstLine="640" w:firstLineChars="200"/>
        <w:textAlignment w:val="baseline"/>
        <w:outlineLvl w:val="0"/>
        <w:rPr>
          <w:rFonts w:hint="eastAsia" w:eastAsia="黑体"/>
          <w:kern w:val="0"/>
          <w:sz w:val="32"/>
          <w:szCs w:val="32"/>
        </w:rPr>
      </w:pPr>
      <w:bookmarkStart w:id="365" w:name="_Toc32089"/>
      <w:bookmarkStart w:id="366" w:name="_Toc493"/>
      <w:r>
        <w:rPr>
          <w:rFonts w:hint="eastAsia" w:eastAsia="黑体"/>
          <w:kern w:val="0"/>
          <w:sz w:val="32"/>
          <w:szCs w:val="32"/>
        </w:rPr>
        <w:t>六、调查结论</w:t>
      </w:r>
      <w:bookmarkEnd w:id="365"/>
      <w:bookmarkEnd w:id="366"/>
    </w:p>
    <w:p>
      <w:pPr>
        <w:spacing w:line="600" w:lineRule="exact"/>
        <w:ind w:firstLine="54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根据调查结果，绝大多数被调查对象对该项目实施表示非常满意，认为兖州区气象站迁建项目实施过程有效且能够达到预期效果，项目总体满意度较高。</w:t>
      </w:r>
    </w:p>
    <w:p>
      <w:pPr>
        <w:ind w:firstLine="540"/>
      </w:pPr>
      <w:r>
        <w:rPr>
          <w:rFonts w:hint="eastAsia"/>
        </w:rPr>
        <w:br w:type="page"/>
      </w:r>
    </w:p>
    <w:p>
      <w:pPr>
        <w:spacing w:line="580" w:lineRule="exact"/>
        <w:ind w:firstLine="880"/>
        <w:jc w:val="center"/>
        <w:rPr>
          <w:rFonts w:ascii="方正小标宋简体" w:hAnsi="方正小标宋简体" w:eastAsia="方正小标宋简体" w:cs="方正小标宋简体"/>
          <w:sz w:val="44"/>
          <w:szCs w:val="44"/>
        </w:rPr>
      </w:pPr>
    </w:p>
    <w:p>
      <w:pPr>
        <w:spacing w:line="580" w:lineRule="exact"/>
        <w:ind w:firstLine="88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2021年度兖州区气象局迁建（2019-2021）项目满意度调查问卷</w:t>
      </w:r>
    </w:p>
    <w:p>
      <w:pPr>
        <w:spacing w:line="600" w:lineRule="exact"/>
        <w:ind w:firstLine="540"/>
        <w:jc w:val="righ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——调查对象：兖州区市民</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受兖州区财政局委托，山东德睿融投资咨询有限公司对2021年度兖州区气象局迁建（2019-2021）项目进行绩效评价。根据评价需要开展本次满意度调查，及时掌握兖州区居民的意见和建议，督促相关部门研究解决实施过程中出现的困难和问题，不断提升就业管理服务水平，特做此调查。非常感谢您抽出宝贵时间来完成这份调查，我们希望倾听您的心声，为您提供更满意的服务！请如实填写以下内容：</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1. 您对兖州区气象服务是否满意？</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A.非常满意</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B.满意</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C.一般</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D.不满意</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2. 您是否了解国家级气象站相关标准？</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A.非常了解</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B.了解</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C.一般</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D.不清楚</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3. 您是否了解兖州区气象局迁建项目？</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A.非常了解</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B.了解</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C.一般</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D.不清楚</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4. 您是否赞成兖州局气象站项目迁建？</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A.非常赞成</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B.较赞成</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C.一般</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D.不赞成</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5</w:t>
      </w:r>
      <w:r>
        <w:rPr>
          <w:rFonts w:hint="eastAsia" w:ascii="Times New Roman" w:hAnsi="Times New Roman" w:eastAsia="仿宋_GB2312" w:cs="Times New Roman"/>
          <w:kern w:val="0"/>
          <w:sz w:val="32"/>
          <w:szCs w:val="32"/>
          <w:lang w:val="en-US" w:eastAsia="zh-CN" w:bidi="ar-SA"/>
        </w:rPr>
        <w:t>. 您对兖州区气象站管理服务水平是否满意？</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A.非常满意</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B.满意</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C.一般</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D.不满意</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6.</w:t>
      </w:r>
      <w:r>
        <w:rPr>
          <w:rFonts w:hint="eastAsia" w:ascii="Times New Roman" w:hAnsi="Times New Roman" w:eastAsia="仿宋_GB2312" w:cs="Times New Roman"/>
          <w:kern w:val="0"/>
          <w:sz w:val="32"/>
          <w:szCs w:val="32"/>
          <w:lang w:val="en-US" w:eastAsia="zh-CN" w:bidi="ar-SA"/>
        </w:rPr>
        <w:t xml:space="preserve"> 您对兖州区气象站迁建是否满意？</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A.非常满意</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B.满意</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C.一般</w:t>
      </w:r>
    </w:p>
    <w:p>
      <w:pPr>
        <w:spacing w:line="600" w:lineRule="exact"/>
        <w:ind w:firstLine="540"/>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D.不满意</w:t>
      </w:r>
    </w:p>
    <w:p>
      <w:pPr>
        <w:spacing w:line="600" w:lineRule="exact"/>
        <w:ind w:firstLine="540"/>
        <w:rPr>
          <w:rFonts w:ascii="Times New Roman" w:hAnsi="Times New Roman" w:eastAsia="仿宋_GB2312" w:cs="Times New Roman"/>
          <w:kern w:val="0"/>
          <w:sz w:val="32"/>
          <w:szCs w:val="32"/>
          <w:lang w:val="en-US" w:eastAsia="zh-CN" w:bidi="ar-SA"/>
        </w:rPr>
      </w:pPr>
      <w:r>
        <w:rPr>
          <w:rFonts w:ascii="Times New Roman" w:hAnsi="Times New Roman" w:eastAsia="仿宋_GB2312" w:cs="Times New Roman"/>
          <w:kern w:val="0"/>
          <w:sz w:val="32"/>
          <w:szCs w:val="32"/>
          <w:lang w:val="en-US" w:eastAsia="zh-CN" w:bidi="ar-SA"/>
        </w:rPr>
        <w:t>7</w:t>
      </w:r>
      <w:r>
        <w:rPr>
          <w:rFonts w:hint="eastAsia" w:ascii="Times New Roman" w:hAnsi="Times New Roman" w:eastAsia="仿宋_GB2312" w:cs="Times New Roman"/>
          <w:kern w:val="0"/>
          <w:sz w:val="32"/>
          <w:szCs w:val="32"/>
          <w:lang w:val="en-US" w:eastAsia="zh-CN" w:bidi="ar-SA"/>
        </w:rPr>
        <w:t>. 您对兖州区气象局迁建项目及兖州区气象站相关工作有何意见或建议？</w:t>
      </w:r>
    </w:p>
    <w:p>
      <w:pPr>
        <w:ind w:firstLine="540"/>
      </w:pPr>
      <w:r>
        <w:rPr>
          <w:rFonts w:hint="eastAsia"/>
        </w:rPr>
        <w:br w:type="page"/>
      </w:r>
    </w:p>
    <w:p>
      <w:pPr>
        <w:widowControl w:val="0"/>
        <w:overflowPunct w:val="0"/>
        <w:autoSpaceDE w:val="0"/>
        <w:autoSpaceDN w:val="0"/>
        <w:adjustRightInd w:val="0"/>
        <w:spacing w:line="600" w:lineRule="exact"/>
        <w:ind w:firstLine="0" w:firstLineChars="0"/>
        <w:jc w:val="left"/>
        <w:textAlignment w:val="baseline"/>
        <w:outlineLvl w:val="0"/>
        <w:rPr>
          <w:rFonts w:hint="eastAsia" w:ascii="黑体" w:hAnsi="黑体" w:eastAsia="黑体" w:cs="黑体"/>
          <w:kern w:val="0"/>
          <w:sz w:val="32"/>
          <w:szCs w:val="32"/>
        </w:rPr>
      </w:pPr>
      <w:bookmarkStart w:id="367" w:name="_Toc29875"/>
      <w:r>
        <w:rPr>
          <w:rFonts w:hint="eastAsia" w:ascii="黑体" w:hAnsi="黑体" w:eastAsia="黑体" w:cs="黑体"/>
          <w:kern w:val="0"/>
          <w:sz w:val="32"/>
          <w:szCs w:val="32"/>
        </w:rPr>
        <w:t>附录4：2023年预算项目支出绩效目标表</w:t>
      </w:r>
      <w:bookmarkEnd w:id="367"/>
    </w:p>
    <w:p>
      <w:pPr>
        <w:pStyle w:val="2"/>
        <w:rPr>
          <w:rFonts w:hint="eastAsia"/>
        </w:rPr>
      </w:pPr>
    </w:p>
    <w:tbl>
      <w:tblPr>
        <w:tblStyle w:val="21"/>
        <w:tblW w:w="9403" w:type="dxa"/>
        <w:jc w:val="center"/>
        <w:tblLayout w:type="fixed"/>
        <w:tblCellMar>
          <w:top w:w="0" w:type="dxa"/>
          <w:left w:w="108" w:type="dxa"/>
          <w:bottom w:w="0" w:type="dxa"/>
          <w:right w:w="108" w:type="dxa"/>
        </w:tblCellMar>
      </w:tblPr>
      <w:tblGrid>
        <w:gridCol w:w="1577"/>
        <w:gridCol w:w="1519"/>
        <w:gridCol w:w="2133"/>
        <w:gridCol w:w="2574"/>
        <w:gridCol w:w="1600"/>
      </w:tblGrid>
      <w:tr>
        <w:tblPrEx>
          <w:tblCellMar>
            <w:top w:w="0" w:type="dxa"/>
            <w:left w:w="108" w:type="dxa"/>
            <w:bottom w:w="0" w:type="dxa"/>
            <w:right w:w="108" w:type="dxa"/>
          </w:tblCellMar>
        </w:tblPrEx>
        <w:trPr>
          <w:trHeight w:val="454" w:hRule="atLeast"/>
          <w:jc w:val="center"/>
        </w:trPr>
        <w:tc>
          <w:tcPr>
            <w:tcW w:w="9403" w:type="dxa"/>
            <w:gridSpan w:val="5"/>
            <w:tcBorders>
              <w:top w:val="nil"/>
              <w:left w:val="nil"/>
              <w:bottom w:val="single" w:color="000000" w:sz="4" w:space="0"/>
              <w:right w:val="nil"/>
            </w:tcBorders>
            <w:shd w:val="clear" w:color="auto" w:fill="auto"/>
            <w:noWrap/>
            <w:vAlign w:val="center"/>
          </w:tcPr>
          <w:p>
            <w:pPr>
              <w:pStyle w:val="4"/>
              <w:widowControl w:val="0"/>
              <w:overflowPunct w:val="0"/>
              <w:autoSpaceDE w:val="0"/>
              <w:autoSpaceDN w:val="0"/>
              <w:adjustRightInd/>
              <w:spacing w:beforeLines="50" w:afterLines="50" w:line="600" w:lineRule="exact"/>
              <w:ind w:firstLine="0" w:firstLineChars="0"/>
              <w:jc w:val="center"/>
              <w:textAlignment w:val="auto"/>
              <w:rPr>
                <w:rFonts w:hint="eastAsia" w:ascii="方正小标宋简体" w:hAnsi="仿宋" w:eastAsia="方正小标宋简体"/>
                <w:kern w:val="0"/>
                <w:sz w:val="32"/>
                <w:szCs w:val="32"/>
              </w:rPr>
            </w:pPr>
            <w:r>
              <w:rPr>
                <w:rFonts w:hint="eastAsia" w:ascii="方正小标宋简体" w:hAnsi="仿宋" w:eastAsia="方正小标宋简体"/>
                <w:kern w:val="0"/>
                <w:sz w:val="32"/>
                <w:szCs w:val="32"/>
              </w:rPr>
              <w:t>2023年预算项目支出绩效目标表</w:t>
            </w:r>
          </w:p>
        </w:tc>
      </w:tr>
      <w:tr>
        <w:tblPrEx>
          <w:tblCellMar>
            <w:top w:w="0" w:type="dxa"/>
            <w:left w:w="108" w:type="dxa"/>
            <w:bottom w:w="0" w:type="dxa"/>
            <w:right w:w="108" w:type="dxa"/>
          </w:tblCellMar>
        </w:tblPrEx>
        <w:trPr>
          <w:trHeight w:val="454" w:hRule="atLeast"/>
          <w:jc w:val="center"/>
        </w:trPr>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项目名称</w:t>
            </w:r>
          </w:p>
        </w:tc>
        <w:tc>
          <w:tcPr>
            <w:tcW w:w="7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兖州国家基本气象站迁建工程项目</w:t>
            </w:r>
          </w:p>
        </w:tc>
      </w:tr>
      <w:tr>
        <w:tblPrEx>
          <w:tblCellMar>
            <w:top w:w="0" w:type="dxa"/>
            <w:left w:w="108" w:type="dxa"/>
            <w:bottom w:w="0" w:type="dxa"/>
            <w:right w:w="108" w:type="dxa"/>
          </w:tblCellMar>
        </w:tblPrEx>
        <w:trPr>
          <w:trHeight w:val="454" w:hRule="atLeast"/>
          <w:jc w:val="center"/>
        </w:trPr>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主管部门</w:t>
            </w:r>
          </w:p>
        </w:tc>
        <w:tc>
          <w:tcPr>
            <w:tcW w:w="7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济宁市兖州区气象局</w:t>
            </w:r>
          </w:p>
        </w:tc>
      </w:tr>
      <w:tr>
        <w:tblPrEx>
          <w:tblCellMar>
            <w:top w:w="0" w:type="dxa"/>
            <w:left w:w="108" w:type="dxa"/>
            <w:bottom w:w="0" w:type="dxa"/>
            <w:right w:w="108" w:type="dxa"/>
          </w:tblCellMar>
        </w:tblPrEx>
        <w:trPr>
          <w:trHeight w:val="454" w:hRule="atLeast"/>
          <w:jc w:val="center"/>
        </w:trPr>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项目单位</w:t>
            </w:r>
          </w:p>
        </w:tc>
        <w:tc>
          <w:tcPr>
            <w:tcW w:w="7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济宁市兖州区气象局本级</w:t>
            </w:r>
          </w:p>
        </w:tc>
      </w:tr>
      <w:tr>
        <w:tblPrEx>
          <w:tblCellMar>
            <w:top w:w="0" w:type="dxa"/>
            <w:left w:w="108" w:type="dxa"/>
            <w:bottom w:w="0" w:type="dxa"/>
            <w:right w:w="108" w:type="dxa"/>
          </w:tblCellMar>
        </w:tblPrEx>
        <w:trPr>
          <w:trHeight w:val="454" w:hRule="atLeast"/>
          <w:jc w:val="center"/>
        </w:trPr>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资金情况</w:t>
            </w:r>
          </w:p>
        </w:tc>
        <w:tc>
          <w:tcPr>
            <w:tcW w:w="7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金额：203.46万元</w:t>
            </w:r>
          </w:p>
        </w:tc>
      </w:tr>
      <w:tr>
        <w:tblPrEx>
          <w:tblCellMar>
            <w:top w:w="0" w:type="dxa"/>
            <w:left w:w="108" w:type="dxa"/>
            <w:bottom w:w="0" w:type="dxa"/>
            <w:right w:w="108" w:type="dxa"/>
          </w:tblCellMar>
        </w:tblPrEx>
        <w:trPr>
          <w:trHeight w:val="454" w:hRule="atLeast"/>
          <w:jc w:val="center"/>
        </w:trPr>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项目目标</w:t>
            </w:r>
          </w:p>
        </w:tc>
        <w:tc>
          <w:tcPr>
            <w:tcW w:w="78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实施济宁市兖州区国家基本气象站迁建项目，不仅是改善现有不利气象工作环境的必要手段，也是按照“四个一流”台站建设要求，全面落实中国气象局关于推进气象现代化建设和县级气象机构综合改革等战略部署，以强化公共气象服务和社会管理职能为主线，以提高气象综合业务服务能力和增强发展活力为重点，进一步明确业务建设需求和功能定位，科学控制建设标准，统筹使用建设资金，严格规范建设程序，有序推进基层气象机构基础设施建设为目标。</w:t>
            </w:r>
          </w:p>
        </w:tc>
      </w:tr>
      <w:tr>
        <w:tblPrEx>
          <w:tblCellMar>
            <w:top w:w="0" w:type="dxa"/>
            <w:left w:w="108" w:type="dxa"/>
            <w:bottom w:w="0" w:type="dxa"/>
            <w:right w:w="108" w:type="dxa"/>
          </w:tblCellMar>
        </w:tblPrEx>
        <w:trPr>
          <w:trHeight w:val="454" w:hRule="atLeast"/>
          <w:jc w:val="center"/>
        </w:trPr>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绩效指标</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一级指标</w:t>
            </w:r>
          </w:p>
        </w:tc>
        <w:tc>
          <w:tcPr>
            <w:tcW w:w="2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二级指标</w:t>
            </w:r>
          </w:p>
        </w:tc>
        <w:tc>
          <w:tcPr>
            <w:tcW w:w="25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三级指标</w:t>
            </w:r>
          </w:p>
        </w:tc>
        <w:tc>
          <w:tcPr>
            <w:tcW w:w="16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指标值</w:t>
            </w:r>
          </w:p>
        </w:tc>
      </w:tr>
      <w:tr>
        <w:tblPrEx>
          <w:tblCellMar>
            <w:top w:w="0" w:type="dxa"/>
            <w:left w:w="108" w:type="dxa"/>
            <w:bottom w:w="0" w:type="dxa"/>
            <w:right w:w="108" w:type="dxa"/>
          </w:tblCellMar>
        </w:tblPrEx>
        <w:trPr>
          <w:trHeight w:val="454" w:hRule="atLeast"/>
          <w:jc w:val="center"/>
        </w:trPr>
        <w:tc>
          <w:tcPr>
            <w:tcW w:w="15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autoSpaceDE/>
              <w:autoSpaceDN/>
              <w:adjustRightInd/>
              <w:spacing w:line="240" w:lineRule="auto"/>
              <w:ind w:firstLine="0" w:firstLineChars="0"/>
              <w:jc w:val="center"/>
              <w:textAlignment w:val="auto"/>
              <w:rPr>
                <w:rFonts w:hint="eastAsia" w:ascii="黑体" w:hAnsi="黑体" w:eastAsia="黑体" w:cs="宋体"/>
                <w:kern w:val="0"/>
                <w:sz w:val="21"/>
                <w:szCs w:val="21"/>
              </w:rPr>
            </w:pPr>
            <w:r>
              <w:rPr>
                <w:rFonts w:hint="eastAsia" w:ascii="黑体" w:hAnsi="黑体" w:eastAsia="黑体" w:cs="宋体"/>
                <w:kern w:val="0"/>
                <w:sz w:val="21"/>
                <w:szCs w:val="21"/>
              </w:rPr>
              <w:t>年度绩效指标</w:t>
            </w:r>
          </w:p>
        </w:tc>
        <w:tc>
          <w:tcPr>
            <w:tcW w:w="1519" w:type="dxa"/>
            <w:vMerge w:val="restart"/>
            <w:tcBorders>
              <w:top w:val="nil"/>
              <w:left w:val="single" w:color="000000" w:sz="4" w:space="0"/>
              <w:bottom w:val="nil"/>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产出指标</w:t>
            </w:r>
          </w:p>
        </w:tc>
        <w:tc>
          <w:tcPr>
            <w:tcW w:w="2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数量指标</w:t>
            </w:r>
          </w:p>
        </w:tc>
        <w:tc>
          <w:tcPr>
            <w:tcW w:w="2574" w:type="dxa"/>
            <w:tcBorders>
              <w:top w:val="single" w:color="000000" w:sz="4" w:space="0"/>
              <w:left w:val="single" w:color="000000" w:sz="4" w:space="0"/>
              <w:bottom w:val="single" w:color="000000" w:sz="4" w:space="0"/>
              <w:right w:val="nil"/>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全年地面气象观测天数</w:t>
            </w:r>
          </w:p>
        </w:tc>
        <w:tc>
          <w:tcPr>
            <w:tcW w:w="1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365天</w:t>
            </w:r>
          </w:p>
        </w:tc>
      </w:tr>
      <w:tr>
        <w:tblPrEx>
          <w:tblCellMar>
            <w:top w:w="0" w:type="dxa"/>
            <w:left w:w="108" w:type="dxa"/>
            <w:bottom w:w="0" w:type="dxa"/>
            <w:right w:w="108" w:type="dxa"/>
          </w:tblCellMar>
        </w:tblPrEx>
        <w:trPr>
          <w:trHeight w:val="454" w:hRule="atLeast"/>
          <w:jc w:val="center"/>
        </w:trPr>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000000"/>
                <w:kern w:val="0"/>
                <w:sz w:val="21"/>
                <w:szCs w:val="21"/>
                <w:lang w:bidi="ar"/>
              </w:rPr>
            </w:pPr>
          </w:p>
        </w:tc>
        <w:tc>
          <w:tcPr>
            <w:tcW w:w="1519" w:type="dxa"/>
            <w:vMerge w:val="continue"/>
            <w:tcBorders>
              <w:top w:val="nil"/>
              <w:left w:val="single" w:color="000000" w:sz="4" w:space="0"/>
              <w:bottom w:val="nil"/>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p>
        </w:tc>
        <w:tc>
          <w:tcPr>
            <w:tcW w:w="2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质量指标</w:t>
            </w:r>
          </w:p>
        </w:tc>
        <w:tc>
          <w:tcPr>
            <w:tcW w:w="25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地面观测数据传输率</w:t>
            </w:r>
          </w:p>
        </w:tc>
        <w:tc>
          <w:tcPr>
            <w:tcW w:w="1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＞98.5%</w:t>
            </w:r>
          </w:p>
        </w:tc>
      </w:tr>
      <w:tr>
        <w:tblPrEx>
          <w:tblCellMar>
            <w:top w:w="0" w:type="dxa"/>
            <w:left w:w="108" w:type="dxa"/>
            <w:bottom w:w="0" w:type="dxa"/>
            <w:right w:w="108" w:type="dxa"/>
          </w:tblCellMar>
        </w:tblPrEx>
        <w:trPr>
          <w:trHeight w:val="454" w:hRule="atLeast"/>
          <w:jc w:val="center"/>
        </w:trPr>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000000"/>
                <w:kern w:val="0"/>
                <w:sz w:val="21"/>
                <w:szCs w:val="21"/>
                <w:lang w:bidi="ar"/>
              </w:rPr>
            </w:pPr>
          </w:p>
        </w:tc>
        <w:tc>
          <w:tcPr>
            <w:tcW w:w="1519" w:type="dxa"/>
            <w:vMerge w:val="continue"/>
            <w:tcBorders>
              <w:top w:val="nil"/>
              <w:left w:val="single" w:color="000000" w:sz="4" w:space="0"/>
              <w:bottom w:val="nil"/>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p>
        </w:tc>
        <w:tc>
          <w:tcPr>
            <w:tcW w:w="2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时效指标</w:t>
            </w:r>
          </w:p>
        </w:tc>
        <w:tc>
          <w:tcPr>
            <w:tcW w:w="25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及时完成地面观测和数值预报天数</w:t>
            </w:r>
          </w:p>
        </w:tc>
        <w:tc>
          <w:tcPr>
            <w:tcW w:w="1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一年</w:t>
            </w:r>
          </w:p>
        </w:tc>
      </w:tr>
      <w:tr>
        <w:tblPrEx>
          <w:tblCellMar>
            <w:top w:w="0" w:type="dxa"/>
            <w:left w:w="108" w:type="dxa"/>
            <w:bottom w:w="0" w:type="dxa"/>
            <w:right w:w="108" w:type="dxa"/>
          </w:tblCellMar>
        </w:tblPrEx>
        <w:trPr>
          <w:trHeight w:val="454" w:hRule="atLeast"/>
          <w:jc w:val="center"/>
        </w:trPr>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000000"/>
                <w:kern w:val="0"/>
                <w:sz w:val="21"/>
                <w:szCs w:val="21"/>
                <w:lang w:bidi="ar"/>
              </w:rPr>
            </w:pPr>
          </w:p>
        </w:tc>
        <w:tc>
          <w:tcPr>
            <w:tcW w:w="1519" w:type="dxa"/>
            <w:vMerge w:val="continue"/>
            <w:tcBorders>
              <w:top w:val="nil"/>
              <w:left w:val="single" w:color="000000" w:sz="4" w:space="0"/>
              <w:bottom w:val="nil"/>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p>
        </w:tc>
        <w:tc>
          <w:tcPr>
            <w:tcW w:w="2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成本指标</w:t>
            </w:r>
          </w:p>
        </w:tc>
        <w:tc>
          <w:tcPr>
            <w:tcW w:w="2574" w:type="dxa"/>
            <w:tcBorders>
              <w:top w:val="single" w:color="000000" w:sz="4" w:space="0"/>
              <w:left w:val="single" w:color="000000" w:sz="4" w:space="0"/>
              <w:bottom w:val="single" w:color="000000" w:sz="4" w:space="0"/>
              <w:right w:val="nil"/>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预算成本控制数</w:t>
            </w:r>
          </w:p>
        </w:tc>
        <w:tc>
          <w:tcPr>
            <w:tcW w:w="1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≤203.46万元</w:t>
            </w:r>
          </w:p>
        </w:tc>
      </w:tr>
      <w:tr>
        <w:tblPrEx>
          <w:tblCellMar>
            <w:top w:w="0" w:type="dxa"/>
            <w:left w:w="108" w:type="dxa"/>
            <w:bottom w:w="0" w:type="dxa"/>
            <w:right w:w="108" w:type="dxa"/>
          </w:tblCellMar>
        </w:tblPrEx>
        <w:trPr>
          <w:trHeight w:val="454" w:hRule="atLeast"/>
          <w:jc w:val="center"/>
        </w:trPr>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000000"/>
                <w:kern w:val="0"/>
                <w:sz w:val="21"/>
                <w:szCs w:val="21"/>
                <w:lang w:bidi="ar"/>
              </w:rPr>
            </w:pPr>
          </w:p>
        </w:tc>
        <w:tc>
          <w:tcPr>
            <w:tcW w:w="151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效益指标</w:t>
            </w:r>
          </w:p>
        </w:tc>
        <w:tc>
          <w:tcPr>
            <w:tcW w:w="2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经济效益指标</w:t>
            </w:r>
          </w:p>
        </w:tc>
        <w:tc>
          <w:tcPr>
            <w:tcW w:w="25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服务工农业范围</w:t>
            </w:r>
          </w:p>
        </w:tc>
        <w:tc>
          <w:tcPr>
            <w:tcW w:w="1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全区</w:t>
            </w:r>
          </w:p>
        </w:tc>
      </w:tr>
      <w:tr>
        <w:tblPrEx>
          <w:tblCellMar>
            <w:top w:w="0" w:type="dxa"/>
            <w:left w:w="108" w:type="dxa"/>
            <w:bottom w:w="0" w:type="dxa"/>
            <w:right w:w="108" w:type="dxa"/>
          </w:tblCellMar>
        </w:tblPrEx>
        <w:trPr>
          <w:trHeight w:val="454" w:hRule="atLeast"/>
          <w:jc w:val="center"/>
        </w:trPr>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000000"/>
                <w:kern w:val="0"/>
                <w:sz w:val="21"/>
                <w:szCs w:val="21"/>
                <w:lang w:bidi="ar"/>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p>
        </w:tc>
        <w:tc>
          <w:tcPr>
            <w:tcW w:w="2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社会效益指标</w:t>
            </w:r>
          </w:p>
        </w:tc>
        <w:tc>
          <w:tcPr>
            <w:tcW w:w="25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每月发送气象产品份数</w:t>
            </w:r>
          </w:p>
        </w:tc>
        <w:tc>
          <w:tcPr>
            <w:tcW w:w="1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≥30万份</w:t>
            </w:r>
          </w:p>
        </w:tc>
      </w:tr>
      <w:tr>
        <w:tblPrEx>
          <w:tblCellMar>
            <w:top w:w="0" w:type="dxa"/>
            <w:left w:w="108" w:type="dxa"/>
            <w:bottom w:w="0" w:type="dxa"/>
            <w:right w:w="108" w:type="dxa"/>
          </w:tblCellMar>
        </w:tblPrEx>
        <w:trPr>
          <w:trHeight w:val="454" w:hRule="atLeast"/>
          <w:jc w:val="center"/>
        </w:trPr>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000000"/>
                <w:kern w:val="0"/>
                <w:sz w:val="21"/>
                <w:szCs w:val="21"/>
                <w:lang w:bidi="ar"/>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p>
        </w:tc>
        <w:tc>
          <w:tcPr>
            <w:tcW w:w="2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生态效益指标</w:t>
            </w:r>
          </w:p>
        </w:tc>
        <w:tc>
          <w:tcPr>
            <w:tcW w:w="25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防灾减灾，保护环境</w:t>
            </w:r>
          </w:p>
        </w:tc>
        <w:tc>
          <w:tcPr>
            <w:tcW w:w="1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效果明显</w:t>
            </w:r>
          </w:p>
        </w:tc>
      </w:tr>
      <w:tr>
        <w:tblPrEx>
          <w:tblCellMar>
            <w:top w:w="0" w:type="dxa"/>
            <w:left w:w="108" w:type="dxa"/>
            <w:bottom w:w="0" w:type="dxa"/>
            <w:right w:w="108" w:type="dxa"/>
          </w:tblCellMar>
        </w:tblPrEx>
        <w:trPr>
          <w:trHeight w:val="454" w:hRule="atLeast"/>
          <w:jc w:val="center"/>
        </w:trPr>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000000"/>
                <w:kern w:val="0"/>
                <w:sz w:val="21"/>
                <w:szCs w:val="21"/>
                <w:lang w:bidi="ar"/>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p>
        </w:tc>
        <w:tc>
          <w:tcPr>
            <w:tcW w:w="2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可持续影响指标</w:t>
            </w:r>
          </w:p>
        </w:tc>
        <w:tc>
          <w:tcPr>
            <w:tcW w:w="25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项目持续影响时间</w:t>
            </w:r>
          </w:p>
        </w:tc>
        <w:tc>
          <w:tcPr>
            <w:tcW w:w="1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全年</w:t>
            </w:r>
          </w:p>
        </w:tc>
      </w:tr>
      <w:tr>
        <w:tblPrEx>
          <w:tblCellMar>
            <w:top w:w="0" w:type="dxa"/>
            <w:left w:w="108" w:type="dxa"/>
            <w:bottom w:w="0" w:type="dxa"/>
            <w:right w:w="108" w:type="dxa"/>
          </w:tblCellMar>
        </w:tblPrEx>
        <w:trPr>
          <w:trHeight w:val="454" w:hRule="atLeast"/>
          <w:jc w:val="center"/>
        </w:trPr>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jc w:val="center"/>
              <w:rPr>
                <w:rFonts w:ascii="宋体" w:hAnsi="宋体" w:cs="宋体"/>
                <w:color w:val="000000"/>
                <w:kern w:val="0"/>
                <w:sz w:val="21"/>
                <w:szCs w:val="21"/>
                <w:lang w:bidi="ar"/>
              </w:rPr>
            </w:pPr>
          </w:p>
        </w:tc>
        <w:tc>
          <w:tcPr>
            <w:tcW w:w="1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满意度指标</w:t>
            </w:r>
          </w:p>
        </w:tc>
        <w:tc>
          <w:tcPr>
            <w:tcW w:w="2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服务对象满意度指标</w:t>
            </w:r>
          </w:p>
        </w:tc>
        <w:tc>
          <w:tcPr>
            <w:tcW w:w="25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农民满意度</w:t>
            </w:r>
          </w:p>
        </w:tc>
        <w:tc>
          <w:tcPr>
            <w:tcW w:w="1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overflowPunct w:val="0"/>
              <w:autoSpaceDE w:val="0"/>
              <w:autoSpaceDN w:val="0"/>
              <w:adjustRightInd w:val="0"/>
              <w:spacing w:line="300" w:lineRule="auto"/>
              <w:ind w:firstLine="0" w:firstLineChars="0"/>
              <w:textAlignment w:val="baseline"/>
              <w:rPr>
                <w:rFonts w:hint="eastAsia" w:ascii="仿宋" w:hAnsi="仿宋" w:eastAsia="仿宋" w:cs="仿宋"/>
                <w:caps/>
                <w:kern w:val="0"/>
                <w:sz w:val="21"/>
                <w:szCs w:val="21"/>
              </w:rPr>
            </w:pPr>
            <w:r>
              <w:rPr>
                <w:rFonts w:hint="eastAsia" w:ascii="仿宋" w:hAnsi="仿宋" w:eastAsia="仿宋" w:cs="仿宋"/>
                <w:caps/>
                <w:kern w:val="0"/>
                <w:sz w:val="21"/>
                <w:szCs w:val="21"/>
              </w:rPr>
              <w:t>≥95%</w:t>
            </w:r>
          </w:p>
        </w:tc>
      </w:tr>
      <w:tr>
        <w:tblPrEx>
          <w:tblCellMar>
            <w:top w:w="0" w:type="dxa"/>
            <w:left w:w="108" w:type="dxa"/>
            <w:bottom w:w="0" w:type="dxa"/>
            <w:right w:w="108" w:type="dxa"/>
          </w:tblCellMar>
        </w:tblPrEx>
        <w:trPr>
          <w:trHeight w:val="454" w:hRule="atLeast"/>
          <w:jc w:val="center"/>
        </w:trPr>
        <w:tc>
          <w:tcPr>
            <w:tcW w:w="9403" w:type="dxa"/>
            <w:gridSpan w:val="5"/>
            <w:tcBorders>
              <w:top w:val="nil"/>
              <w:left w:val="nil"/>
              <w:bottom w:val="nil"/>
              <w:right w:val="nil"/>
            </w:tcBorders>
            <w:shd w:val="clear" w:color="auto" w:fill="auto"/>
            <w:noWrap/>
            <w:vAlign w:val="center"/>
          </w:tcPr>
          <w:p>
            <w:pPr>
              <w:widowControl/>
              <w:ind w:left="0" w:leftChars="0" w:firstLine="0" w:firstLineChars="0"/>
              <w:jc w:val="left"/>
              <w:textAlignment w:val="center"/>
              <w:rPr>
                <w:rFonts w:ascii="宋体" w:hAnsi="宋体" w:cs="宋体"/>
                <w:color w:val="000000"/>
                <w:sz w:val="21"/>
                <w:szCs w:val="21"/>
              </w:rPr>
            </w:pPr>
            <w:r>
              <w:rPr>
                <w:rFonts w:hint="eastAsia" w:ascii="仿宋" w:hAnsi="仿宋" w:eastAsia="仿宋" w:cs="仿宋"/>
                <w:caps/>
                <w:color w:val="000000"/>
                <w:kern w:val="0"/>
                <w:sz w:val="21"/>
                <w:szCs w:val="21"/>
              </w:rPr>
              <w:t>注：一年期项目填报此表</w:t>
            </w:r>
          </w:p>
        </w:tc>
      </w:tr>
    </w:tbl>
    <w:p>
      <w:pPr>
        <w:pStyle w:val="4"/>
        <w:spacing w:line="580" w:lineRule="exact"/>
        <w:ind w:firstLine="540"/>
      </w:pPr>
    </w:p>
    <w:p>
      <w:pPr>
        <w:pStyle w:val="6"/>
        <w:spacing w:line="600" w:lineRule="exact"/>
        <w:ind w:firstLine="562"/>
      </w:pPr>
    </w:p>
    <w:sectPr>
      <w:headerReference r:id="rId16" w:type="default"/>
      <w:footnotePr>
        <w:numFmt w:val="decimalEnclosedCircleChinese"/>
        <w:numRestart w:val="eachPage"/>
      </w:footnotePr>
      <w:pgSz w:w="12191" w:h="19221"/>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40"/>
      </w:pPr>
      <w:r>
        <w:separator/>
      </w:r>
    </w:p>
  </w:endnote>
  <w:endnote w:type="continuationSeparator" w:id="1">
    <w:p>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embedRegular r:id="rId1" w:fontKey="{77914C92-7188-4CAF-8122-BC72B8409A5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embedRegular r:id="rId2" w:fontKey="{D9AC3C62-C62F-44BE-8B3B-409EBC4A31A3}"/>
  </w:font>
  <w:font w:name="Calibri Light">
    <w:panose1 w:val="020F0302020204030204"/>
    <w:charset w:val="00"/>
    <w:family w:val="swiss"/>
    <w:pitch w:val="default"/>
    <w:sig w:usb0="A00002EF" w:usb1="4000207B" w:usb2="00000000" w:usb3="00000000" w:csb0="2000019F" w:csb1="00000000"/>
  </w:font>
  <w:font w:name="文星简黑体">
    <w:altName w:val="黑体"/>
    <w:panose1 w:val="02010609000101010101"/>
    <w:charset w:val="86"/>
    <w:family w:val="modern"/>
    <w:pitch w:val="default"/>
    <w:sig w:usb0="00000000" w:usb1="00000000" w:usb2="00000010" w:usb3="00000000" w:csb0="00040000" w:csb1="00000000"/>
    <w:embedRegular r:id="rId3" w:fontKey="{B92D8A45-FF78-441A-A3F7-92F5D8FE730A}"/>
  </w:font>
  <w:font w:name="方正小标宋_GBK">
    <w:panose1 w:val="03000509000000000000"/>
    <w:charset w:val="86"/>
    <w:family w:val="script"/>
    <w:pitch w:val="default"/>
    <w:sig w:usb0="00000001" w:usb1="080E0000" w:usb2="00000000" w:usb3="00000000" w:csb0="00040000" w:csb1="00000000"/>
    <w:embedRegular r:id="rId4" w:fontKey="{12347B26-CCEE-41AE-9DC8-D6E08F7E2452}"/>
  </w:font>
  <w:font w:name="仿宋_GB2312">
    <w:panose1 w:val="02010609030101010101"/>
    <w:charset w:val="86"/>
    <w:family w:val="modern"/>
    <w:pitch w:val="default"/>
    <w:sig w:usb0="00000001" w:usb1="080E0000" w:usb2="00000000" w:usb3="00000000" w:csb0="00040000" w:csb1="00000000"/>
    <w:embedRegular r:id="rId5" w:fontKey="{A6009EB9-18F4-4CE0-B387-423640BE728A}"/>
  </w:font>
  <w:font w:name="华文新魏">
    <w:panose1 w:val="02010800040101010101"/>
    <w:charset w:val="86"/>
    <w:family w:val="auto"/>
    <w:pitch w:val="default"/>
    <w:sig w:usb0="00000001" w:usb1="080F0000" w:usb2="00000000" w:usb3="00000000" w:csb0="00040000" w:csb1="00000000"/>
    <w:embedRegular r:id="rId6" w:fontKey="{79B5A8FF-8AE0-4E82-8FC6-848CD820515D}"/>
  </w:font>
  <w:font w:name="仿宋">
    <w:panose1 w:val="02010609060101010101"/>
    <w:charset w:val="86"/>
    <w:family w:val="modern"/>
    <w:pitch w:val="default"/>
    <w:sig w:usb0="800002BF" w:usb1="38CF7CFA" w:usb2="00000016" w:usb3="00000000" w:csb0="00040001" w:csb1="00000000"/>
    <w:embedRegular r:id="rId7" w:fontKey="{217FBB3B-6195-4A13-840C-D6AC64BF0FF8}"/>
  </w:font>
  <w:font w:name="方正小标宋简体">
    <w:panose1 w:val="03000509000000000000"/>
    <w:charset w:val="86"/>
    <w:family w:val="auto"/>
    <w:pitch w:val="default"/>
    <w:sig w:usb0="00000001" w:usb1="080E0000" w:usb2="00000000" w:usb3="00000000" w:csb0="00040000" w:csb1="00000000"/>
    <w:embedRegular r:id="rId8" w:fontKey="{87FE020F-E20E-43EC-9F6D-BE89061D8A1D}"/>
  </w:font>
  <w:font w:name="楷体_GB2312">
    <w:panose1 w:val="02010609030101010101"/>
    <w:charset w:val="86"/>
    <w:family w:val="modern"/>
    <w:pitch w:val="default"/>
    <w:sig w:usb0="00000001" w:usb1="080E0000" w:usb2="00000000" w:usb3="00000000" w:csb0="00040000" w:csb1="00000000"/>
    <w:embedRegular r:id="rId9" w:fontKey="{09E11279-87A3-4968-B4E6-CDCB66084A8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2702238"/>
    </w:sdtPr>
    <w:sdtContent>
      <w:p>
        <w:pPr>
          <w:pStyle w:val="15"/>
          <w:ind w:firstLine="0" w:firstLineChars="0"/>
          <w:jc w:val="center"/>
        </w:pPr>
        <w:r>
          <w:fldChar w:fldCharType="begin"/>
        </w:r>
        <w:r>
          <w:instrText xml:space="preserve">PAGE   \* MERGEFORMAT</w:instrText>
        </w:r>
        <w:r>
          <w:fldChar w:fldCharType="separate"/>
        </w:r>
        <w:r>
          <w:rPr>
            <w:lang w:val="zh-CN"/>
          </w:rPr>
          <w:t>2</w:t>
        </w:r>
        <w:r>
          <w:fldChar w:fldCharType="end"/>
        </w:r>
      </w:p>
    </w:sdtContent>
  </w:sdt>
  <w:p>
    <w:pPr>
      <w:pStyle w:val="15"/>
      <w:ind w:firstLine="0" w:firstLineChars="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jc w:val="center"/>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85990177"/>
                            <w:docPartObj>
                              <w:docPartGallery w:val="autotext"/>
                            </w:docPartObj>
                          </w:sdtPr>
                          <w:sdtEndPr>
                            <w:rPr>
                              <w:rFonts w:hint="eastAsia" w:ascii="宋体" w:hAnsi="宋体" w:eastAsia="宋体" w:cs="宋体"/>
                              <w:sz w:val="28"/>
                              <w:szCs w:val="28"/>
                            </w:rPr>
                          </w:sdtEndPr>
                          <w:sdtContent>
                            <w:p>
                              <w:pPr>
                                <w:pStyle w:val="15"/>
                                <w:ind w:firstLine="360"/>
                                <w:jc w:val="center"/>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2</w:t>
                              </w:r>
                              <w:r>
                                <w:rPr>
                                  <w:rFonts w:hint="eastAsia" w:ascii="宋体" w:hAnsi="宋体" w:eastAsia="宋体" w:cs="宋体"/>
                                  <w:sz w:val="28"/>
                                  <w:szCs w:val="28"/>
                                </w:rP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sdt>
                    <w:sdtPr>
                      <w:id w:val="1385990177"/>
                      <w:docPartObj>
                        <w:docPartGallery w:val="autotext"/>
                      </w:docPartObj>
                    </w:sdtPr>
                    <w:sdtEndPr>
                      <w:rPr>
                        <w:rFonts w:hint="eastAsia" w:ascii="宋体" w:hAnsi="宋体" w:eastAsia="宋体" w:cs="宋体"/>
                        <w:sz w:val="28"/>
                        <w:szCs w:val="28"/>
                      </w:rPr>
                    </w:sdtEndPr>
                    <w:sdtContent>
                      <w:p>
                        <w:pPr>
                          <w:pStyle w:val="15"/>
                          <w:ind w:firstLine="360"/>
                          <w:jc w:val="center"/>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2</w:t>
                        </w:r>
                        <w:r>
                          <w:rPr>
                            <w:rFonts w:hint="eastAsia" w:ascii="宋体" w:hAnsi="宋体" w:eastAsia="宋体" w:cs="宋体"/>
                            <w:sz w:val="28"/>
                            <w:szCs w:val="28"/>
                          </w:rPr>
                          <w:fldChar w:fldCharType="end"/>
                        </w:r>
                      </w:p>
                    </w:sdtContent>
                  </w:sdt>
                  <w:p>
                    <w:pPr>
                      <w:pStyle w:val="2"/>
                    </w:pPr>
                  </w:p>
                </w:txbxContent>
              </v:textbox>
            </v:shape>
          </w:pict>
        </mc:Fallback>
      </mc:AlternateContent>
    </w:r>
  </w:p>
  <w:p>
    <w:pPr>
      <w:pStyle w:val="15"/>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jc w:val="center"/>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83241721"/>
                            <w:docPartObj>
                              <w:docPartGallery w:val="autotext"/>
                            </w:docPartObj>
                          </w:sdtPr>
                          <w:sdtContent>
                            <w:p>
                              <w:pPr>
                                <w:pStyle w:val="15"/>
                                <w:ind w:firstLine="360"/>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2</w:t>
                              </w:r>
                              <w:r>
                                <w:rPr>
                                  <w:rFonts w:hint="eastAsia" w:ascii="宋体" w:hAnsi="宋体" w:eastAsia="宋体" w:cs="宋体"/>
                                  <w:sz w:val="28"/>
                                  <w:szCs w:val="28"/>
                                </w:rP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sdt>
                    <w:sdtPr>
                      <w:id w:val="-1383241721"/>
                      <w:docPartObj>
                        <w:docPartGallery w:val="autotext"/>
                      </w:docPartObj>
                    </w:sdtPr>
                    <w:sdtContent>
                      <w:p>
                        <w:pPr>
                          <w:pStyle w:val="15"/>
                          <w:ind w:firstLine="360"/>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2</w:t>
                        </w:r>
                        <w:r>
                          <w:rPr>
                            <w:rFonts w:hint="eastAsia" w:ascii="宋体" w:hAnsi="宋体" w:eastAsia="宋体" w:cs="宋体"/>
                            <w:sz w:val="28"/>
                            <w:szCs w:val="28"/>
                          </w:rPr>
                          <w:fldChar w:fldCharType="end"/>
                        </w:r>
                      </w:p>
                    </w:sdtContent>
                  </w:sdt>
                  <w:p>
                    <w:pPr>
                      <w:pStyle w:val="2"/>
                    </w:pPr>
                  </w:p>
                </w:txbxContent>
              </v:textbox>
            </v:shape>
          </w:pict>
        </mc:Fallback>
      </mc:AlternateContent>
    </w:r>
  </w:p>
  <w:p>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40"/>
      </w:pPr>
      <w:r>
        <w:separator/>
      </w:r>
    </w:p>
  </w:footnote>
  <w:footnote w:type="continuationSeparator" w:id="1">
    <w:p>
      <w:pPr>
        <w:spacing w:line="36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none" w:color="auto" w:sz="0" w:space="0"/>
        <w:left w:val="none" w:color="auto" w:sz="0" w:space="0"/>
        <w:bottom w:val="none" w:color="auto" w:sz="0" w:space="0"/>
        <w:right w:val="none" w:color="auto" w:sz="0" w:space="0"/>
      </w:pBdr>
      <w:ind w:firstLine="420"/>
      <w:jc w:val="right"/>
      <w:rPr>
        <w:rFonts w:ascii="华文新魏" w:hAnsi="仿宋" w:eastAsia="华文新魏" w:cs="仿宋"/>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5250" w:firstLineChars="2500"/>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62336" behindDoc="0" locked="0" layoutInCell="1" allowOverlap="1">
          <wp:simplePos x="0" y="0"/>
          <wp:positionH relativeFrom="column">
            <wp:posOffset>2943860</wp:posOffset>
          </wp:positionH>
          <wp:positionV relativeFrom="paragraph">
            <wp:posOffset>-118110</wp:posOffset>
          </wp:positionV>
          <wp:extent cx="400050" cy="361950"/>
          <wp:effectExtent l="0" t="0" r="0" b="0"/>
          <wp:wrapNone/>
          <wp:docPr id="3" name="图片 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none" w:color="auto" w:sz="0" w:space="0"/>
        <w:bottom w:val="single" w:color="auto" w:sz="4" w:space="1"/>
      </w:pBdr>
      <w:ind w:firstLine="420"/>
      <w:jc w:val="right"/>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61312" behindDoc="0" locked="0" layoutInCell="1" allowOverlap="1">
          <wp:simplePos x="0" y="0"/>
          <wp:positionH relativeFrom="column">
            <wp:posOffset>3159760</wp:posOffset>
          </wp:positionH>
          <wp:positionV relativeFrom="paragraph">
            <wp:posOffset>-105410</wp:posOffset>
          </wp:positionV>
          <wp:extent cx="400050" cy="361950"/>
          <wp:effectExtent l="0" t="0" r="0" b="6350"/>
          <wp:wrapTopAndBottom/>
          <wp:docPr id="7"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none" w:color="auto" w:sz="0" w:space="0"/>
        <w:bottom w:val="single" w:color="auto" w:sz="4" w:space="1"/>
      </w:pBdr>
      <w:ind w:firstLine="420"/>
      <w:jc w:val="right"/>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59264" behindDoc="0" locked="0" layoutInCell="1" allowOverlap="1">
          <wp:simplePos x="0" y="0"/>
          <wp:positionH relativeFrom="column">
            <wp:posOffset>8270875</wp:posOffset>
          </wp:positionH>
          <wp:positionV relativeFrom="paragraph">
            <wp:posOffset>-92710</wp:posOffset>
          </wp:positionV>
          <wp:extent cx="400050" cy="361950"/>
          <wp:effectExtent l="0" t="0" r="0" b="0"/>
          <wp:wrapTopAndBottom/>
          <wp:docPr id="10"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none" w:color="auto" w:sz="0" w:space="0"/>
        <w:bottom w:val="single" w:color="auto" w:sz="4" w:space="1"/>
      </w:pBdr>
      <w:ind w:firstLine="420"/>
      <w:jc w:val="right"/>
      <w:rPr>
        <w:rFonts w:ascii="华文新魏" w:hAnsi="仿宋" w:eastAsia="华文新魏" w:cs="仿宋"/>
        <w:sz w:val="21"/>
        <w:szCs w:val="21"/>
      </w:rPr>
    </w:pPr>
    <w:r>
      <w:rPr>
        <w:rFonts w:hint="eastAsia" w:ascii="华文新魏" w:hAnsi="仿宋" w:eastAsia="华文新魏" w:cs="仿宋"/>
        <w:sz w:val="21"/>
        <w:szCs w:val="21"/>
      </w:rPr>
      <w:drawing>
        <wp:anchor distT="0" distB="0" distL="114300" distR="114300" simplePos="0" relativeHeight="251660288" behindDoc="0" locked="0" layoutInCell="1" allowOverlap="1">
          <wp:simplePos x="0" y="0"/>
          <wp:positionH relativeFrom="column">
            <wp:posOffset>3354705</wp:posOffset>
          </wp:positionH>
          <wp:positionV relativeFrom="paragraph">
            <wp:posOffset>-90805</wp:posOffset>
          </wp:positionV>
          <wp:extent cx="400050" cy="361950"/>
          <wp:effectExtent l="0" t="0" r="0" b="6350"/>
          <wp:wrapTopAndBottom/>
          <wp:docPr id="12"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hint="eastAsia" w:ascii="华文新魏" w:hAnsi="仿宋" w:eastAsia="华文新魏" w:cs="仿宋"/>
        <w:sz w:val="21"/>
        <w:szCs w:val="21"/>
      </w:rPr>
      <w:t>山东德睿融投资咨询有限公司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hideSpellingErrors/>
  <w:documentProtection w:enforcement="0"/>
  <w:defaultTabStop w:val="420"/>
  <w:drawingGridHorizontalSpacing w:val="135"/>
  <w:drawingGridVerticalSpacing w:val="185"/>
  <w:displayVerticalDrawingGridEvery w:val="2"/>
  <w:noPunctuationKerning w:val="1"/>
  <w:characterSpacingControl w:val="compressPunctuation"/>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0NWJiMWU0MTA5NzhkZjY2OWVhOGUyMTk5MGY3ZGMifQ=="/>
  </w:docVars>
  <w:rsids>
    <w:rsidRoot w:val="00503737"/>
    <w:rsid w:val="00000C53"/>
    <w:rsid w:val="000016BE"/>
    <w:rsid w:val="00005B3B"/>
    <w:rsid w:val="00006374"/>
    <w:rsid w:val="000107C7"/>
    <w:rsid w:val="00016172"/>
    <w:rsid w:val="000208EB"/>
    <w:rsid w:val="00022895"/>
    <w:rsid w:val="000316B9"/>
    <w:rsid w:val="000332D2"/>
    <w:rsid w:val="0004031A"/>
    <w:rsid w:val="000429AE"/>
    <w:rsid w:val="00053332"/>
    <w:rsid w:val="00055D21"/>
    <w:rsid w:val="00055DCF"/>
    <w:rsid w:val="00056688"/>
    <w:rsid w:val="00057467"/>
    <w:rsid w:val="00074798"/>
    <w:rsid w:val="00074C5E"/>
    <w:rsid w:val="00075696"/>
    <w:rsid w:val="00080517"/>
    <w:rsid w:val="00080ACD"/>
    <w:rsid w:val="000847E7"/>
    <w:rsid w:val="00084E23"/>
    <w:rsid w:val="00085D38"/>
    <w:rsid w:val="000913C0"/>
    <w:rsid w:val="00091A3A"/>
    <w:rsid w:val="000964E4"/>
    <w:rsid w:val="000A01C9"/>
    <w:rsid w:val="000A07C5"/>
    <w:rsid w:val="000A08E8"/>
    <w:rsid w:val="000A3A6F"/>
    <w:rsid w:val="000A41C9"/>
    <w:rsid w:val="000A5BE8"/>
    <w:rsid w:val="000B163E"/>
    <w:rsid w:val="000B3BFF"/>
    <w:rsid w:val="000B52EB"/>
    <w:rsid w:val="000B6ADB"/>
    <w:rsid w:val="000C4FA5"/>
    <w:rsid w:val="000C5BF3"/>
    <w:rsid w:val="000D1169"/>
    <w:rsid w:val="000D3397"/>
    <w:rsid w:val="000D44AB"/>
    <w:rsid w:val="000D4A87"/>
    <w:rsid w:val="000E0015"/>
    <w:rsid w:val="000E1208"/>
    <w:rsid w:val="000E179C"/>
    <w:rsid w:val="000E4BFC"/>
    <w:rsid w:val="000E7B7D"/>
    <w:rsid w:val="000E7E53"/>
    <w:rsid w:val="000F43B1"/>
    <w:rsid w:val="00105E99"/>
    <w:rsid w:val="0011302E"/>
    <w:rsid w:val="00116083"/>
    <w:rsid w:val="00117035"/>
    <w:rsid w:val="00117D50"/>
    <w:rsid w:val="001223D1"/>
    <w:rsid w:val="001265A1"/>
    <w:rsid w:val="00136197"/>
    <w:rsid w:val="001370F8"/>
    <w:rsid w:val="001420E3"/>
    <w:rsid w:val="00142403"/>
    <w:rsid w:val="00146633"/>
    <w:rsid w:val="00147169"/>
    <w:rsid w:val="0014750E"/>
    <w:rsid w:val="00150184"/>
    <w:rsid w:val="00154620"/>
    <w:rsid w:val="0016200D"/>
    <w:rsid w:val="00162AC9"/>
    <w:rsid w:val="00163232"/>
    <w:rsid w:val="00163DC4"/>
    <w:rsid w:val="00165160"/>
    <w:rsid w:val="00171FCA"/>
    <w:rsid w:val="00172572"/>
    <w:rsid w:val="00172B4D"/>
    <w:rsid w:val="00174189"/>
    <w:rsid w:val="001745A5"/>
    <w:rsid w:val="00174FDA"/>
    <w:rsid w:val="00175525"/>
    <w:rsid w:val="0017605A"/>
    <w:rsid w:val="00177670"/>
    <w:rsid w:val="00177B7C"/>
    <w:rsid w:val="0018631D"/>
    <w:rsid w:val="001870CA"/>
    <w:rsid w:val="0019261A"/>
    <w:rsid w:val="00192960"/>
    <w:rsid w:val="00192D7D"/>
    <w:rsid w:val="001A446A"/>
    <w:rsid w:val="001B24DD"/>
    <w:rsid w:val="001B446C"/>
    <w:rsid w:val="001B44F4"/>
    <w:rsid w:val="001C0101"/>
    <w:rsid w:val="001C17F5"/>
    <w:rsid w:val="001C325E"/>
    <w:rsid w:val="001C48AD"/>
    <w:rsid w:val="001C6B95"/>
    <w:rsid w:val="001C736D"/>
    <w:rsid w:val="001D2A99"/>
    <w:rsid w:val="001D3E5F"/>
    <w:rsid w:val="001D40D1"/>
    <w:rsid w:val="001D4DAE"/>
    <w:rsid w:val="001D5E3C"/>
    <w:rsid w:val="001D760D"/>
    <w:rsid w:val="001D78B5"/>
    <w:rsid w:val="001E272D"/>
    <w:rsid w:val="001E4EB9"/>
    <w:rsid w:val="001E6451"/>
    <w:rsid w:val="001F1AD8"/>
    <w:rsid w:val="001F4201"/>
    <w:rsid w:val="001F717D"/>
    <w:rsid w:val="00200841"/>
    <w:rsid w:val="0020091E"/>
    <w:rsid w:val="00204322"/>
    <w:rsid w:val="00204E4F"/>
    <w:rsid w:val="00205C60"/>
    <w:rsid w:val="0020697A"/>
    <w:rsid w:val="00206C99"/>
    <w:rsid w:val="002073DA"/>
    <w:rsid w:val="00210812"/>
    <w:rsid w:val="00211345"/>
    <w:rsid w:val="00211E11"/>
    <w:rsid w:val="00212831"/>
    <w:rsid w:val="00214270"/>
    <w:rsid w:val="002166EC"/>
    <w:rsid w:val="00226AE3"/>
    <w:rsid w:val="00235D36"/>
    <w:rsid w:val="002365DB"/>
    <w:rsid w:val="00236A6E"/>
    <w:rsid w:val="00237C6A"/>
    <w:rsid w:val="0024344B"/>
    <w:rsid w:val="0024377F"/>
    <w:rsid w:val="0024440C"/>
    <w:rsid w:val="00244A2B"/>
    <w:rsid w:val="00246E00"/>
    <w:rsid w:val="00251D3A"/>
    <w:rsid w:val="0025235E"/>
    <w:rsid w:val="00252A1C"/>
    <w:rsid w:val="00252DA9"/>
    <w:rsid w:val="00256F3C"/>
    <w:rsid w:val="0025726E"/>
    <w:rsid w:val="002613DC"/>
    <w:rsid w:val="00262FB5"/>
    <w:rsid w:val="00264F4F"/>
    <w:rsid w:val="0026656D"/>
    <w:rsid w:val="00266B02"/>
    <w:rsid w:val="002752A0"/>
    <w:rsid w:val="00275E9A"/>
    <w:rsid w:val="0028057F"/>
    <w:rsid w:val="0028124C"/>
    <w:rsid w:val="002901BB"/>
    <w:rsid w:val="00290FB3"/>
    <w:rsid w:val="00294616"/>
    <w:rsid w:val="00297DAC"/>
    <w:rsid w:val="002A46DF"/>
    <w:rsid w:val="002A5785"/>
    <w:rsid w:val="002A5D4A"/>
    <w:rsid w:val="002B0A68"/>
    <w:rsid w:val="002B1934"/>
    <w:rsid w:val="002B297D"/>
    <w:rsid w:val="002B3E62"/>
    <w:rsid w:val="002B44B2"/>
    <w:rsid w:val="002B616E"/>
    <w:rsid w:val="002B6715"/>
    <w:rsid w:val="002C0E67"/>
    <w:rsid w:val="002C210B"/>
    <w:rsid w:val="002C2D06"/>
    <w:rsid w:val="002C393E"/>
    <w:rsid w:val="002C56D1"/>
    <w:rsid w:val="002C6C5E"/>
    <w:rsid w:val="002C7D2A"/>
    <w:rsid w:val="002D15AA"/>
    <w:rsid w:val="002D3847"/>
    <w:rsid w:val="002D4123"/>
    <w:rsid w:val="002D5386"/>
    <w:rsid w:val="002D562A"/>
    <w:rsid w:val="002D5D60"/>
    <w:rsid w:val="002D7E49"/>
    <w:rsid w:val="002E0EF5"/>
    <w:rsid w:val="002F28A2"/>
    <w:rsid w:val="002F75B5"/>
    <w:rsid w:val="00300CB5"/>
    <w:rsid w:val="0030249C"/>
    <w:rsid w:val="003078AA"/>
    <w:rsid w:val="0031608D"/>
    <w:rsid w:val="00323DDC"/>
    <w:rsid w:val="00325096"/>
    <w:rsid w:val="003258D5"/>
    <w:rsid w:val="00327C18"/>
    <w:rsid w:val="00330221"/>
    <w:rsid w:val="00330A87"/>
    <w:rsid w:val="00332BDF"/>
    <w:rsid w:val="00336A1E"/>
    <w:rsid w:val="00337F4C"/>
    <w:rsid w:val="00340DFC"/>
    <w:rsid w:val="003436D9"/>
    <w:rsid w:val="00350D47"/>
    <w:rsid w:val="00356B80"/>
    <w:rsid w:val="00357241"/>
    <w:rsid w:val="00357EDD"/>
    <w:rsid w:val="00360E18"/>
    <w:rsid w:val="00363634"/>
    <w:rsid w:val="00364FB8"/>
    <w:rsid w:val="00370E91"/>
    <w:rsid w:val="003715A2"/>
    <w:rsid w:val="00375E43"/>
    <w:rsid w:val="003815EA"/>
    <w:rsid w:val="003857A9"/>
    <w:rsid w:val="00391228"/>
    <w:rsid w:val="00394FDE"/>
    <w:rsid w:val="003978CE"/>
    <w:rsid w:val="003A02F5"/>
    <w:rsid w:val="003A07FA"/>
    <w:rsid w:val="003A2B5B"/>
    <w:rsid w:val="003A34B5"/>
    <w:rsid w:val="003A6016"/>
    <w:rsid w:val="003A7079"/>
    <w:rsid w:val="003B3D82"/>
    <w:rsid w:val="003B5FB4"/>
    <w:rsid w:val="003B6242"/>
    <w:rsid w:val="003B78EA"/>
    <w:rsid w:val="003C05AD"/>
    <w:rsid w:val="003C18DD"/>
    <w:rsid w:val="003C23A0"/>
    <w:rsid w:val="003C3544"/>
    <w:rsid w:val="003D05EC"/>
    <w:rsid w:val="003D1441"/>
    <w:rsid w:val="003D2FE6"/>
    <w:rsid w:val="003D4EFF"/>
    <w:rsid w:val="003D5D33"/>
    <w:rsid w:val="003E429F"/>
    <w:rsid w:val="003F3A2F"/>
    <w:rsid w:val="003F465B"/>
    <w:rsid w:val="003F4FCC"/>
    <w:rsid w:val="00400384"/>
    <w:rsid w:val="00400F44"/>
    <w:rsid w:val="00401805"/>
    <w:rsid w:val="00401C51"/>
    <w:rsid w:val="00402DB9"/>
    <w:rsid w:val="00403C8D"/>
    <w:rsid w:val="004056BF"/>
    <w:rsid w:val="00414ADF"/>
    <w:rsid w:val="004210AB"/>
    <w:rsid w:val="00422C2B"/>
    <w:rsid w:val="00422D61"/>
    <w:rsid w:val="00423748"/>
    <w:rsid w:val="00424669"/>
    <w:rsid w:val="0043556C"/>
    <w:rsid w:val="00436489"/>
    <w:rsid w:val="00436D70"/>
    <w:rsid w:val="00441E8A"/>
    <w:rsid w:val="00441FA5"/>
    <w:rsid w:val="0044229C"/>
    <w:rsid w:val="00443D45"/>
    <w:rsid w:val="004464B2"/>
    <w:rsid w:val="004530F8"/>
    <w:rsid w:val="00454FA6"/>
    <w:rsid w:val="0045656B"/>
    <w:rsid w:val="004621ED"/>
    <w:rsid w:val="004624DE"/>
    <w:rsid w:val="00462B88"/>
    <w:rsid w:val="0047283E"/>
    <w:rsid w:val="00472A06"/>
    <w:rsid w:val="004735AB"/>
    <w:rsid w:val="0047650D"/>
    <w:rsid w:val="00476831"/>
    <w:rsid w:val="00477D36"/>
    <w:rsid w:val="00481804"/>
    <w:rsid w:val="004845DB"/>
    <w:rsid w:val="004864C4"/>
    <w:rsid w:val="004869AA"/>
    <w:rsid w:val="0048704A"/>
    <w:rsid w:val="00494680"/>
    <w:rsid w:val="0049793A"/>
    <w:rsid w:val="004A3871"/>
    <w:rsid w:val="004A3D4E"/>
    <w:rsid w:val="004A4319"/>
    <w:rsid w:val="004A47EB"/>
    <w:rsid w:val="004A5ABA"/>
    <w:rsid w:val="004A6395"/>
    <w:rsid w:val="004A7BE8"/>
    <w:rsid w:val="004B07B2"/>
    <w:rsid w:val="004B4133"/>
    <w:rsid w:val="004B4B80"/>
    <w:rsid w:val="004C4B39"/>
    <w:rsid w:val="004C54A0"/>
    <w:rsid w:val="004D050A"/>
    <w:rsid w:val="004D198A"/>
    <w:rsid w:val="004D4B78"/>
    <w:rsid w:val="004D55A1"/>
    <w:rsid w:val="004D5AD7"/>
    <w:rsid w:val="004D68AA"/>
    <w:rsid w:val="004D6F8E"/>
    <w:rsid w:val="004D79DC"/>
    <w:rsid w:val="004E0C89"/>
    <w:rsid w:val="004E24BA"/>
    <w:rsid w:val="004E353C"/>
    <w:rsid w:val="004E3D84"/>
    <w:rsid w:val="004E5CF3"/>
    <w:rsid w:val="004E6909"/>
    <w:rsid w:val="004F0894"/>
    <w:rsid w:val="004F6199"/>
    <w:rsid w:val="004F727C"/>
    <w:rsid w:val="004F7AC5"/>
    <w:rsid w:val="004F7BF6"/>
    <w:rsid w:val="00500005"/>
    <w:rsid w:val="00503737"/>
    <w:rsid w:val="00503D47"/>
    <w:rsid w:val="00510AA7"/>
    <w:rsid w:val="00511072"/>
    <w:rsid w:val="00511843"/>
    <w:rsid w:val="00511D05"/>
    <w:rsid w:val="00512373"/>
    <w:rsid w:val="00513104"/>
    <w:rsid w:val="0051544C"/>
    <w:rsid w:val="005203DD"/>
    <w:rsid w:val="00520433"/>
    <w:rsid w:val="00523117"/>
    <w:rsid w:val="00523324"/>
    <w:rsid w:val="00523707"/>
    <w:rsid w:val="00526B22"/>
    <w:rsid w:val="005316FE"/>
    <w:rsid w:val="00535B49"/>
    <w:rsid w:val="00536DAD"/>
    <w:rsid w:val="0053723E"/>
    <w:rsid w:val="00537DE5"/>
    <w:rsid w:val="00540E22"/>
    <w:rsid w:val="0054295E"/>
    <w:rsid w:val="005451FC"/>
    <w:rsid w:val="005508E8"/>
    <w:rsid w:val="00551081"/>
    <w:rsid w:val="00556626"/>
    <w:rsid w:val="00560485"/>
    <w:rsid w:val="00565AD6"/>
    <w:rsid w:val="00567A8D"/>
    <w:rsid w:val="00576EE8"/>
    <w:rsid w:val="00576F58"/>
    <w:rsid w:val="0058009A"/>
    <w:rsid w:val="005818DF"/>
    <w:rsid w:val="005874C5"/>
    <w:rsid w:val="005954CE"/>
    <w:rsid w:val="0059771A"/>
    <w:rsid w:val="005A0A62"/>
    <w:rsid w:val="005A14BA"/>
    <w:rsid w:val="005A26B8"/>
    <w:rsid w:val="005A623B"/>
    <w:rsid w:val="005A787C"/>
    <w:rsid w:val="005B1012"/>
    <w:rsid w:val="005B4065"/>
    <w:rsid w:val="005B4720"/>
    <w:rsid w:val="005B4B6C"/>
    <w:rsid w:val="005B6B3E"/>
    <w:rsid w:val="005B79CE"/>
    <w:rsid w:val="005C0231"/>
    <w:rsid w:val="005C4A51"/>
    <w:rsid w:val="005C5875"/>
    <w:rsid w:val="005C67D3"/>
    <w:rsid w:val="005C67FC"/>
    <w:rsid w:val="005C7306"/>
    <w:rsid w:val="005D2659"/>
    <w:rsid w:val="005D3BF2"/>
    <w:rsid w:val="005D448F"/>
    <w:rsid w:val="005D550E"/>
    <w:rsid w:val="005D65B7"/>
    <w:rsid w:val="005D7A39"/>
    <w:rsid w:val="005E2D9C"/>
    <w:rsid w:val="005E44D3"/>
    <w:rsid w:val="005E6852"/>
    <w:rsid w:val="005E6A30"/>
    <w:rsid w:val="005F3D03"/>
    <w:rsid w:val="005F5A1D"/>
    <w:rsid w:val="00602CE7"/>
    <w:rsid w:val="006040EB"/>
    <w:rsid w:val="00610F5C"/>
    <w:rsid w:val="00611B4E"/>
    <w:rsid w:val="0061582C"/>
    <w:rsid w:val="0061662E"/>
    <w:rsid w:val="0062337D"/>
    <w:rsid w:val="006242FC"/>
    <w:rsid w:val="0062604B"/>
    <w:rsid w:val="0063308C"/>
    <w:rsid w:val="00636E3B"/>
    <w:rsid w:val="00641ADC"/>
    <w:rsid w:val="00641E2E"/>
    <w:rsid w:val="00652B1F"/>
    <w:rsid w:val="00660A6C"/>
    <w:rsid w:val="00661C77"/>
    <w:rsid w:val="00665473"/>
    <w:rsid w:val="00665508"/>
    <w:rsid w:val="00666F88"/>
    <w:rsid w:val="006741EC"/>
    <w:rsid w:val="00675449"/>
    <w:rsid w:val="0067548D"/>
    <w:rsid w:val="00675CCA"/>
    <w:rsid w:val="00677E79"/>
    <w:rsid w:val="006830DA"/>
    <w:rsid w:val="00684447"/>
    <w:rsid w:val="00692765"/>
    <w:rsid w:val="006948E7"/>
    <w:rsid w:val="00695E32"/>
    <w:rsid w:val="00697920"/>
    <w:rsid w:val="006A0C78"/>
    <w:rsid w:val="006A3337"/>
    <w:rsid w:val="006A3876"/>
    <w:rsid w:val="006A3F9A"/>
    <w:rsid w:val="006A4683"/>
    <w:rsid w:val="006B3187"/>
    <w:rsid w:val="006B41CF"/>
    <w:rsid w:val="006B669D"/>
    <w:rsid w:val="006B6DC0"/>
    <w:rsid w:val="006B74B3"/>
    <w:rsid w:val="006B7755"/>
    <w:rsid w:val="006C27F2"/>
    <w:rsid w:val="006C6C7A"/>
    <w:rsid w:val="006D0DCC"/>
    <w:rsid w:val="006D1359"/>
    <w:rsid w:val="006D4ACC"/>
    <w:rsid w:val="006D6600"/>
    <w:rsid w:val="006E0DA2"/>
    <w:rsid w:val="006E2C93"/>
    <w:rsid w:val="006F027F"/>
    <w:rsid w:val="006F1595"/>
    <w:rsid w:val="006F6B00"/>
    <w:rsid w:val="007068FC"/>
    <w:rsid w:val="007070A0"/>
    <w:rsid w:val="00711243"/>
    <w:rsid w:val="00711FF8"/>
    <w:rsid w:val="00712318"/>
    <w:rsid w:val="00715D49"/>
    <w:rsid w:val="007169D9"/>
    <w:rsid w:val="00716C60"/>
    <w:rsid w:val="00717A22"/>
    <w:rsid w:val="007201A2"/>
    <w:rsid w:val="0072045F"/>
    <w:rsid w:val="007226DC"/>
    <w:rsid w:val="007244CB"/>
    <w:rsid w:val="00724967"/>
    <w:rsid w:val="00727567"/>
    <w:rsid w:val="00727701"/>
    <w:rsid w:val="0073014D"/>
    <w:rsid w:val="00730B67"/>
    <w:rsid w:val="007313F2"/>
    <w:rsid w:val="007314C3"/>
    <w:rsid w:val="00733094"/>
    <w:rsid w:val="00733A1E"/>
    <w:rsid w:val="00734AAB"/>
    <w:rsid w:val="00737CCB"/>
    <w:rsid w:val="00737D3F"/>
    <w:rsid w:val="0074102C"/>
    <w:rsid w:val="00741DEE"/>
    <w:rsid w:val="00742CEA"/>
    <w:rsid w:val="0074412B"/>
    <w:rsid w:val="00745386"/>
    <w:rsid w:val="007477FD"/>
    <w:rsid w:val="0075098E"/>
    <w:rsid w:val="00751F7D"/>
    <w:rsid w:val="00753760"/>
    <w:rsid w:val="00755CC5"/>
    <w:rsid w:val="00756738"/>
    <w:rsid w:val="00760167"/>
    <w:rsid w:val="007617C3"/>
    <w:rsid w:val="00773880"/>
    <w:rsid w:val="00773C09"/>
    <w:rsid w:val="007764E9"/>
    <w:rsid w:val="00782D8C"/>
    <w:rsid w:val="00784EAD"/>
    <w:rsid w:val="00786C96"/>
    <w:rsid w:val="00790393"/>
    <w:rsid w:val="00790408"/>
    <w:rsid w:val="00793C21"/>
    <w:rsid w:val="00794612"/>
    <w:rsid w:val="00795564"/>
    <w:rsid w:val="007A206C"/>
    <w:rsid w:val="007A4043"/>
    <w:rsid w:val="007A6F0D"/>
    <w:rsid w:val="007B0701"/>
    <w:rsid w:val="007B083C"/>
    <w:rsid w:val="007B1804"/>
    <w:rsid w:val="007B4501"/>
    <w:rsid w:val="007B55D1"/>
    <w:rsid w:val="007B5ACE"/>
    <w:rsid w:val="007C05DC"/>
    <w:rsid w:val="007C07A2"/>
    <w:rsid w:val="007C4FAD"/>
    <w:rsid w:val="007D0712"/>
    <w:rsid w:val="007D09B6"/>
    <w:rsid w:val="007D1D80"/>
    <w:rsid w:val="007D4610"/>
    <w:rsid w:val="007E0C5C"/>
    <w:rsid w:val="007E2979"/>
    <w:rsid w:val="007E2B60"/>
    <w:rsid w:val="007E53B8"/>
    <w:rsid w:val="007E7924"/>
    <w:rsid w:val="007F3747"/>
    <w:rsid w:val="007F40E9"/>
    <w:rsid w:val="007F53A4"/>
    <w:rsid w:val="0080120C"/>
    <w:rsid w:val="00801C1F"/>
    <w:rsid w:val="00802373"/>
    <w:rsid w:val="00803ECF"/>
    <w:rsid w:val="0080562B"/>
    <w:rsid w:val="008058BA"/>
    <w:rsid w:val="00805D42"/>
    <w:rsid w:val="00807B98"/>
    <w:rsid w:val="00811A2A"/>
    <w:rsid w:val="0081649D"/>
    <w:rsid w:val="008171F9"/>
    <w:rsid w:val="008235F6"/>
    <w:rsid w:val="0082406B"/>
    <w:rsid w:val="00825EF9"/>
    <w:rsid w:val="0082750A"/>
    <w:rsid w:val="00830617"/>
    <w:rsid w:val="00832BB8"/>
    <w:rsid w:val="008373E3"/>
    <w:rsid w:val="00842675"/>
    <w:rsid w:val="00842685"/>
    <w:rsid w:val="008462C6"/>
    <w:rsid w:val="0084719D"/>
    <w:rsid w:val="0084743F"/>
    <w:rsid w:val="00851709"/>
    <w:rsid w:val="0085171B"/>
    <w:rsid w:val="00854404"/>
    <w:rsid w:val="00855FA0"/>
    <w:rsid w:val="0086007D"/>
    <w:rsid w:val="00860815"/>
    <w:rsid w:val="008666AF"/>
    <w:rsid w:val="00866FA6"/>
    <w:rsid w:val="008705DD"/>
    <w:rsid w:val="00872046"/>
    <w:rsid w:val="00877E5C"/>
    <w:rsid w:val="00880186"/>
    <w:rsid w:val="00882EA2"/>
    <w:rsid w:val="00892E79"/>
    <w:rsid w:val="00894D45"/>
    <w:rsid w:val="0089601E"/>
    <w:rsid w:val="0089779F"/>
    <w:rsid w:val="008A085A"/>
    <w:rsid w:val="008A21D2"/>
    <w:rsid w:val="008A3026"/>
    <w:rsid w:val="008A6264"/>
    <w:rsid w:val="008B085F"/>
    <w:rsid w:val="008B1B05"/>
    <w:rsid w:val="008B2140"/>
    <w:rsid w:val="008B271D"/>
    <w:rsid w:val="008C06BF"/>
    <w:rsid w:val="008C1CEF"/>
    <w:rsid w:val="008C2227"/>
    <w:rsid w:val="008C714D"/>
    <w:rsid w:val="008C7A1C"/>
    <w:rsid w:val="008D335C"/>
    <w:rsid w:val="008E07FF"/>
    <w:rsid w:val="008E2A7E"/>
    <w:rsid w:val="008E489C"/>
    <w:rsid w:val="008E60B1"/>
    <w:rsid w:val="008F0F1C"/>
    <w:rsid w:val="008F12EA"/>
    <w:rsid w:val="008F24F0"/>
    <w:rsid w:val="008F418E"/>
    <w:rsid w:val="008F4BC8"/>
    <w:rsid w:val="008F63E9"/>
    <w:rsid w:val="008F7199"/>
    <w:rsid w:val="00900D27"/>
    <w:rsid w:val="00900E4D"/>
    <w:rsid w:val="00901ECE"/>
    <w:rsid w:val="00904354"/>
    <w:rsid w:val="0092729E"/>
    <w:rsid w:val="009333D0"/>
    <w:rsid w:val="00935F5C"/>
    <w:rsid w:val="00936681"/>
    <w:rsid w:val="00936DB0"/>
    <w:rsid w:val="00936E99"/>
    <w:rsid w:val="00937F27"/>
    <w:rsid w:val="009403FC"/>
    <w:rsid w:val="00940995"/>
    <w:rsid w:val="00940DC0"/>
    <w:rsid w:val="00942873"/>
    <w:rsid w:val="00945567"/>
    <w:rsid w:val="00945BDC"/>
    <w:rsid w:val="00945DDB"/>
    <w:rsid w:val="00950B4F"/>
    <w:rsid w:val="00951866"/>
    <w:rsid w:val="00952997"/>
    <w:rsid w:val="0095434D"/>
    <w:rsid w:val="00954F52"/>
    <w:rsid w:val="009551FF"/>
    <w:rsid w:val="009613D9"/>
    <w:rsid w:val="009632F3"/>
    <w:rsid w:val="0096522C"/>
    <w:rsid w:val="00965E47"/>
    <w:rsid w:val="00965FF0"/>
    <w:rsid w:val="00971377"/>
    <w:rsid w:val="00974022"/>
    <w:rsid w:val="00975525"/>
    <w:rsid w:val="00975DC5"/>
    <w:rsid w:val="0098318A"/>
    <w:rsid w:val="00987EC4"/>
    <w:rsid w:val="00991777"/>
    <w:rsid w:val="00993F4C"/>
    <w:rsid w:val="009A60FC"/>
    <w:rsid w:val="009B0A8D"/>
    <w:rsid w:val="009B29FB"/>
    <w:rsid w:val="009B7CF2"/>
    <w:rsid w:val="009C01BE"/>
    <w:rsid w:val="009C7C64"/>
    <w:rsid w:val="009D00E6"/>
    <w:rsid w:val="009E411B"/>
    <w:rsid w:val="009E7B85"/>
    <w:rsid w:val="009F0572"/>
    <w:rsid w:val="009F087A"/>
    <w:rsid w:val="00A005CE"/>
    <w:rsid w:val="00A0244D"/>
    <w:rsid w:val="00A03043"/>
    <w:rsid w:val="00A0479B"/>
    <w:rsid w:val="00A061BD"/>
    <w:rsid w:val="00A07D2E"/>
    <w:rsid w:val="00A11385"/>
    <w:rsid w:val="00A12DA6"/>
    <w:rsid w:val="00A16D1B"/>
    <w:rsid w:val="00A17CDE"/>
    <w:rsid w:val="00A21A30"/>
    <w:rsid w:val="00A23E52"/>
    <w:rsid w:val="00A272E2"/>
    <w:rsid w:val="00A32957"/>
    <w:rsid w:val="00A3328A"/>
    <w:rsid w:val="00A35793"/>
    <w:rsid w:val="00A4159C"/>
    <w:rsid w:val="00A420EF"/>
    <w:rsid w:val="00A449C0"/>
    <w:rsid w:val="00A513D0"/>
    <w:rsid w:val="00A54230"/>
    <w:rsid w:val="00A56678"/>
    <w:rsid w:val="00A57DB7"/>
    <w:rsid w:val="00A612AB"/>
    <w:rsid w:val="00A61983"/>
    <w:rsid w:val="00A61D67"/>
    <w:rsid w:val="00A633D8"/>
    <w:rsid w:val="00A63F10"/>
    <w:rsid w:val="00A65C96"/>
    <w:rsid w:val="00A6681C"/>
    <w:rsid w:val="00A7172A"/>
    <w:rsid w:val="00A71EFB"/>
    <w:rsid w:val="00A77EEE"/>
    <w:rsid w:val="00A83203"/>
    <w:rsid w:val="00A83AF6"/>
    <w:rsid w:val="00A84AC4"/>
    <w:rsid w:val="00A858CC"/>
    <w:rsid w:val="00A8781C"/>
    <w:rsid w:val="00A919A0"/>
    <w:rsid w:val="00A92358"/>
    <w:rsid w:val="00A95244"/>
    <w:rsid w:val="00A9636D"/>
    <w:rsid w:val="00A9783F"/>
    <w:rsid w:val="00AA05E8"/>
    <w:rsid w:val="00AA166F"/>
    <w:rsid w:val="00AA3335"/>
    <w:rsid w:val="00AB2AD5"/>
    <w:rsid w:val="00AB460B"/>
    <w:rsid w:val="00AB47B5"/>
    <w:rsid w:val="00AB6A1D"/>
    <w:rsid w:val="00AB7452"/>
    <w:rsid w:val="00AC6D89"/>
    <w:rsid w:val="00AD45E5"/>
    <w:rsid w:val="00AD56E3"/>
    <w:rsid w:val="00AD6AA9"/>
    <w:rsid w:val="00AD7AEB"/>
    <w:rsid w:val="00AE1205"/>
    <w:rsid w:val="00AE3E87"/>
    <w:rsid w:val="00AE630C"/>
    <w:rsid w:val="00AF070E"/>
    <w:rsid w:val="00AF0A95"/>
    <w:rsid w:val="00AF16C4"/>
    <w:rsid w:val="00AF3B01"/>
    <w:rsid w:val="00AF7244"/>
    <w:rsid w:val="00AF75F7"/>
    <w:rsid w:val="00B00551"/>
    <w:rsid w:val="00B01995"/>
    <w:rsid w:val="00B02F2B"/>
    <w:rsid w:val="00B045CF"/>
    <w:rsid w:val="00B04D8E"/>
    <w:rsid w:val="00B1117A"/>
    <w:rsid w:val="00B137A3"/>
    <w:rsid w:val="00B149C6"/>
    <w:rsid w:val="00B17EBE"/>
    <w:rsid w:val="00B26DCE"/>
    <w:rsid w:val="00B27303"/>
    <w:rsid w:val="00B276CA"/>
    <w:rsid w:val="00B35223"/>
    <w:rsid w:val="00B4035A"/>
    <w:rsid w:val="00B413B7"/>
    <w:rsid w:val="00B47934"/>
    <w:rsid w:val="00B53184"/>
    <w:rsid w:val="00B5718D"/>
    <w:rsid w:val="00B5768C"/>
    <w:rsid w:val="00B62262"/>
    <w:rsid w:val="00B627C7"/>
    <w:rsid w:val="00B65AD1"/>
    <w:rsid w:val="00B67EDF"/>
    <w:rsid w:val="00B7504B"/>
    <w:rsid w:val="00B76464"/>
    <w:rsid w:val="00B76B8E"/>
    <w:rsid w:val="00B92019"/>
    <w:rsid w:val="00BA3E06"/>
    <w:rsid w:val="00BB1716"/>
    <w:rsid w:val="00BB3BC3"/>
    <w:rsid w:val="00BB6E12"/>
    <w:rsid w:val="00BC02FC"/>
    <w:rsid w:val="00BC50C3"/>
    <w:rsid w:val="00BC5CD4"/>
    <w:rsid w:val="00BC7937"/>
    <w:rsid w:val="00BD110F"/>
    <w:rsid w:val="00BD3ECF"/>
    <w:rsid w:val="00BD4B9A"/>
    <w:rsid w:val="00BD541E"/>
    <w:rsid w:val="00BD5E48"/>
    <w:rsid w:val="00BE1A44"/>
    <w:rsid w:val="00BE38E0"/>
    <w:rsid w:val="00BE6284"/>
    <w:rsid w:val="00BF1F63"/>
    <w:rsid w:val="00BF50AC"/>
    <w:rsid w:val="00BF6AF1"/>
    <w:rsid w:val="00C001E0"/>
    <w:rsid w:val="00C04B2B"/>
    <w:rsid w:val="00C13BBC"/>
    <w:rsid w:val="00C143C7"/>
    <w:rsid w:val="00C14B2A"/>
    <w:rsid w:val="00C21D8A"/>
    <w:rsid w:val="00C249E9"/>
    <w:rsid w:val="00C31988"/>
    <w:rsid w:val="00C31AD9"/>
    <w:rsid w:val="00C322F5"/>
    <w:rsid w:val="00C4335C"/>
    <w:rsid w:val="00C45153"/>
    <w:rsid w:val="00C46CEE"/>
    <w:rsid w:val="00C47838"/>
    <w:rsid w:val="00C47E47"/>
    <w:rsid w:val="00C50673"/>
    <w:rsid w:val="00C55448"/>
    <w:rsid w:val="00C60CB9"/>
    <w:rsid w:val="00C6329E"/>
    <w:rsid w:val="00C6418D"/>
    <w:rsid w:val="00C65C24"/>
    <w:rsid w:val="00C6660F"/>
    <w:rsid w:val="00C72624"/>
    <w:rsid w:val="00C756BF"/>
    <w:rsid w:val="00C77EDD"/>
    <w:rsid w:val="00C8620C"/>
    <w:rsid w:val="00C9122E"/>
    <w:rsid w:val="00C92564"/>
    <w:rsid w:val="00C961EB"/>
    <w:rsid w:val="00C97F78"/>
    <w:rsid w:val="00CA1DE7"/>
    <w:rsid w:val="00CA25D0"/>
    <w:rsid w:val="00CA43C1"/>
    <w:rsid w:val="00CA5210"/>
    <w:rsid w:val="00CA6A4B"/>
    <w:rsid w:val="00CB002B"/>
    <w:rsid w:val="00CB4ACC"/>
    <w:rsid w:val="00CC114F"/>
    <w:rsid w:val="00CC563C"/>
    <w:rsid w:val="00CC754F"/>
    <w:rsid w:val="00CC79FF"/>
    <w:rsid w:val="00CC7F5C"/>
    <w:rsid w:val="00CD0179"/>
    <w:rsid w:val="00CD234E"/>
    <w:rsid w:val="00CD2537"/>
    <w:rsid w:val="00CD716F"/>
    <w:rsid w:val="00CE49A3"/>
    <w:rsid w:val="00CE4C24"/>
    <w:rsid w:val="00CF1826"/>
    <w:rsid w:val="00CF6F68"/>
    <w:rsid w:val="00D00011"/>
    <w:rsid w:val="00D017B7"/>
    <w:rsid w:val="00D05F79"/>
    <w:rsid w:val="00D122B3"/>
    <w:rsid w:val="00D21BB3"/>
    <w:rsid w:val="00D227A0"/>
    <w:rsid w:val="00D23B31"/>
    <w:rsid w:val="00D37B0D"/>
    <w:rsid w:val="00D41586"/>
    <w:rsid w:val="00D42446"/>
    <w:rsid w:val="00D43F6C"/>
    <w:rsid w:val="00D476F8"/>
    <w:rsid w:val="00D47AD4"/>
    <w:rsid w:val="00D52331"/>
    <w:rsid w:val="00D5320D"/>
    <w:rsid w:val="00D5783D"/>
    <w:rsid w:val="00D57B60"/>
    <w:rsid w:val="00D7063F"/>
    <w:rsid w:val="00D71B50"/>
    <w:rsid w:val="00D7571B"/>
    <w:rsid w:val="00D762C8"/>
    <w:rsid w:val="00D776F7"/>
    <w:rsid w:val="00D8399C"/>
    <w:rsid w:val="00D85408"/>
    <w:rsid w:val="00D860EE"/>
    <w:rsid w:val="00D9140E"/>
    <w:rsid w:val="00D932DF"/>
    <w:rsid w:val="00D95E06"/>
    <w:rsid w:val="00D968F6"/>
    <w:rsid w:val="00D9714B"/>
    <w:rsid w:val="00DA05B6"/>
    <w:rsid w:val="00DA1415"/>
    <w:rsid w:val="00DA1FC1"/>
    <w:rsid w:val="00DA55A0"/>
    <w:rsid w:val="00DA64B7"/>
    <w:rsid w:val="00DB0195"/>
    <w:rsid w:val="00DB56E0"/>
    <w:rsid w:val="00DB69D7"/>
    <w:rsid w:val="00DB6F0A"/>
    <w:rsid w:val="00DB726D"/>
    <w:rsid w:val="00DC3ECA"/>
    <w:rsid w:val="00DC7B80"/>
    <w:rsid w:val="00DD368F"/>
    <w:rsid w:val="00DD4413"/>
    <w:rsid w:val="00DD4600"/>
    <w:rsid w:val="00DD53F9"/>
    <w:rsid w:val="00DE01CF"/>
    <w:rsid w:val="00DE10A3"/>
    <w:rsid w:val="00DE7999"/>
    <w:rsid w:val="00DE79BA"/>
    <w:rsid w:val="00DF17D0"/>
    <w:rsid w:val="00DF2A9B"/>
    <w:rsid w:val="00DF3B6B"/>
    <w:rsid w:val="00DF4AB4"/>
    <w:rsid w:val="00E02CE2"/>
    <w:rsid w:val="00E0554E"/>
    <w:rsid w:val="00E07DDA"/>
    <w:rsid w:val="00E1227A"/>
    <w:rsid w:val="00E12410"/>
    <w:rsid w:val="00E142B7"/>
    <w:rsid w:val="00E2104F"/>
    <w:rsid w:val="00E23A10"/>
    <w:rsid w:val="00E255E5"/>
    <w:rsid w:val="00E30987"/>
    <w:rsid w:val="00E36E4E"/>
    <w:rsid w:val="00E41416"/>
    <w:rsid w:val="00E4145F"/>
    <w:rsid w:val="00E43D19"/>
    <w:rsid w:val="00E44463"/>
    <w:rsid w:val="00E5024F"/>
    <w:rsid w:val="00E5210A"/>
    <w:rsid w:val="00E56A4E"/>
    <w:rsid w:val="00E60D15"/>
    <w:rsid w:val="00E63118"/>
    <w:rsid w:val="00E64C61"/>
    <w:rsid w:val="00E657E2"/>
    <w:rsid w:val="00E66CBC"/>
    <w:rsid w:val="00E670E2"/>
    <w:rsid w:val="00E67148"/>
    <w:rsid w:val="00E740DD"/>
    <w:rsid w:val="00E8017B"/>
    <w:rsid w:val="00E80819"/>
    <w:rsid w:val="00E80F64"/>
    <w:rsid w:val="00E81413"/>
    <w:rsid w:val="00E87B6C"/>
    <w:rsid w:val="00E95CEB"/>
    <w:rsid w:val="00E96236"/>
    <w:rsid w:val="00E96AE4"/>
    <w:rsid w:val="00EA2C5F"/>
    <w:rsid w:val="00EA4C3F"/>
    <w:rsid w:val="00EA6361"/>
    <w:rsid w:val="00EA707B"/>
    <w:rsid w:val="00EB5C5D"/>
    <w:rsid w:val="00EB5E5C"/>
    <w:rsid w:val="00EB6419"/>
    <w:rsid w:val="00EB69EE"/>
    <w:rsid w:val="00EC0158"/>
    <w:rsid w:val="00EC129A"/>
    <w:rsid w:val="00EC184D"/>
    <w:rsid w:val="00EC2AA8"/>
    <w:rsid w:val="00EC2FC1"/>
    <w:rsid w:val="00EC3F33"/>
    <w:rsid w:val="00EC5350"/>
    <w:rsid w:val="00EC7DF1"/>
    <w:rsid w:val="00ED3594"/>
    <w:rsid w:val="00EE6472"/>
    <w:rsid w:val="00EF4C15"/>
    <w:rsid w:val="00EF7DC3"/>
    <w:rsid w:val="00F0088D"/>
    <w:rsid w:val="00F01670"/>
    <w:rsid w:val="00F055E6"/>
    <w:rsid w:val="00F07788"/>
    <w:rsid w:val="00F07B02"/>
    <w:rsid w:val="00F13F62"/>
    <w:rsid w:val="00F159C6"/>
    <w:rsid w:val="00F16759"/>
    <w:rsid w:val="00F17501"/>
    <w:rsid w:val="00F2142B"/>
    <w:rsid w:val="00F216B2"/>
    <w:rsid w:val="00F22B58"/>
    <w:rsid w:val="00F246C1"/>
    <w:rsid w:val="00F2534A"/>
    <w:rsid w:val="00F26585"/>
    <w:rsid w:val="00F272BF"/>
    <w:rsid w:val="00F30F8E"/>
    <w:rsid w:val="00F33052"/>
    <w:rsid w:val="00F34903"/>
    <w:rsid w:val="00F37345"/>
    <w:rsid w:val="00F408B6"/>
    <w:rsid w:val="00F41649"/>
    <w:rsid w:val="00F419A9"/>
    <w:rsid w:val="00F42329"/>
    <w:rsid w:val="00F5287C"/>
    <w:rsid w:val="00F55506"/>
    <w:rsid w:val="00F56200"/>
    <w:rsid w:val="00F606D5"/>
    <w:rsid w:val="00F63AD7"/>
    <w:rsid w:val="00F655E5"/>
    <w:rsid w:val="00F66FE0"/>
    <w:rsid w:val="00F70D0B"/>
    <w:rsid w:val="00F71957"/>
    <w:rsid w:val="00F82C3A"/>
    <w:rsid w:val="00F8716D"/>
    <w:rsid w:val="00F91740"/>
    <w:rsid w:val="00F949F2"/>
    <w:rsid w:val="00F972AB"/>
    <w:rsid w:val="00FA0989"/>
    <w:rsid w:val="00FB25CC"/>
    <w:rsid w:val="00FB4FB3"/>
    <w:rsid w:val="00FB603E"/>
    <w:rsid w:val="00FB7EE1"/>
    <w:rsid w:val="00FC4944"/>
    <w:rsid w:val="00FC4FCA"/>
    <w:rsid w:val="00FC7885"/>
    <w:rsid w:val="00FE1063"/>
    <w:rsid w:val="00FE255C"/>
    <w:rsid w:val="00FE4922"/>
    <w:rsid w:val="00FE4F4D"/>
    <w:rsid w:val="00FE597F"/>
    <w:rsid w:val="00FE658F"/>
    <w:rsid w:val="00FF0333"/>
    <w:rsid w:val="00FF0B46"/>
    <w:rsid w:val="00FF1458"/>
    <w:rsid w:val="01172099"/>
    <w:rsid w:val="014120C7"/>
    <w:rsid w:val="016F059A"/>
    <w:rsid w:val="01C320F6"/>
    <w:rsid w:val="01CE1393"/>
    <w:rsid w:val="01E60081"/>
    <w:rsid w:val="020344E4"/>
    <w:rsid w:val="020816EA"/>
    <w:rsid w:val="02111BDE"/>
    <w:rsid w:val="021A6B98"/>
    <w:rsid w:val="02721654"/>
    <w:rsid w:val="02EF782A"/>
    <w:rsid w:val="032A2FA7"/>
    <w:rsid w:val="0346774D"/>
    <w:rsid w:val="035348A5"/>
    <w:rsid w:val="03694F55"/>
    <w:rsid w:val="03761FE1"/>
    <w:rsid w:val="039110DC"/>
    <w:rsid w:val="03EF4BB5"/>
    <w:rsid w:val="04007D4D"/>
    <w:rsid w:val="04280BDE"/>
    <w:rsid w:val="0474047D"/>
    <w:rsid w:val="04B568C9"/>
    <w:rsid w:val="04C931EE"/>
    <w:rsid w:val="04DE6BDA"/>
    <w:rsid w:val="04F4408C"/>
    <w:rsid w:val="050419EF"/>
    <w:rsid w:val="051B556B"/>
    <w:rsid w:val="053A4F12"/>
    <w:rsid w:val="0544162D"/>
    <w:rsid w:val="056452DA"/>
    <w:rsid w:val="056763A5"/>
    <w:rsid w:val="059A1F08"/>
    <w:rsid w:val="05BC42D0"/>
    <w:rsid w:val="05C308E0"/>
    <w:rsid w:val="06187774"/>
    <w:rsid w:val="062358B3"/>
    <w:rsid w:val="06784980"/>
    <w:rsid w:val="06BA630B"/>
    <w:rsid w:val="06BD1378"/>
    <w:rsid w:val="06DE3E94"/>
    <w:rsid w:val="06E27CAD"/>
    <w:rsid w:val="07204D59"/>
    <w:rsid w:val="07231B68"/>
    <w:rsid w:val="073C3819"/>
    <w:rsid w:val="07717930"/>
    <w:rsid w:val="081D6E6E"/>
    <w:rsid w:val="081E5D9A"/>
    <w:rsid w:val="085733F1"/>
    <w:rsid w:val="08846D72"/>
    <w:rsid w:val="08A63A6C"/>
    <w:rsid w:val="08E030FC"/>
    <w:rsid w:val="09080423"/>
    <w:rsid w:val="09131B19"/>
    <w:rsid w:val="091651B6"/>
    <w:rsid w:val="09264B4D"/>
    <w:rsid w:val="093D6B40"/>
    <w:rsid w:val="09532A47"/>
    <w:rsid w:val="099A08B5"/>
    <w:rsid w:val="09A03EDE"/>
    <w:rsid w:val="09B61747"/>
    <w:rsid w:val="09B926C4"/>
    <w:rsid w:val="09C769D8"/>
    <w:rsid w:val="09F37A49"/>
    <w:rsid w:val="0A1B510C"/>
    <w:rsid w:val="0A2E1F94"/>
    <w:rsid w:val="0A3973F3"/>
    <w:rsid w:val="0A8D24BB"/>
    <w:rsid w:val="0AAA039E"/>
    <w:rsid w:val="0B0052A5"/>
    <w:rsid w:val="0B1F1FCD"/>
    <w:rsid w:val="0B362130"/>
    <w:rsid w:val="0B555C46"/>
    <w:rsid w:val="0B5F0D51"/>
    <w:rsid w:val="0B84410E"/>
    <w:rsid w:val="0B885234"/>
    <w:rsid w:val="0B996B60"/>
    <w:rsid w:val="0BB8764C"/>
    <w:rsid w:val="0BDC4285"/>
    <w:rsid w:val="0BEE28EB"/>
    <w:rsid w:val="0BFB4036"/>
    <w:rsid w:val="0C243604"/>
    <w:rsid w:val="0C4A769D"/>
    <w:rsid w:val="0C683586"/>
    <w:rsid w:val="0C946F52"/>
    <w:rsid w:val="0CB31F07"/>
    <w:rsid w:val="0CD20C0A"/>
    <w:rsid w:val="0CEF2638"/>
    <w:rsid w:val="0D307B12"/>
    <w:rsid w:val="0D331760"/>
    <w:rsid w:val="0D4841F9"/>
    <w:rsid w:val="0D524C9E"/>
    <w:rsid w:val="0D8768DB"/>
    <w:rsid w:val="0D9D0734"/>
    <w:rsid w:val="0DBE21FF"/>
    <w:rsid w:val="0DCB303D"/>
    <w:rsid w:val="0DF47405"/>
    <w:rsid w:val="0E182A2F"/>
    <w:rsid w:val="0E2875AB"/>
    <w:rsid w:val="0E2F2BA4"/>
    <w:rsid w:val="0E3F3762"/>
    <w:rsid w:val="0E4D00C0"/>
    <w:rsid w:val="0E536E29"/>
    <w:rsid w:val="0E5B5086"/>
    <w:rsid w:val="0EB022C6"/>
    <w:rsid w:val="0EB34544"/>
    <w:rsid w:val="0EB81478"/>
    <w:rsid w:val="0ED83D75"/>
    <w:rsid w:val="0EDB43A3"/>
    <w:rsid w:val="0F014F38"/>
    <w:rsid w:val="0F061CEB"/>
    <w:rsid w:val="0F0E7747"/>
    <w:rsid w:val="0FA25B27"/>
    <w:rsid w:val="0FB422F9"/>
    <w:rsid w:val="0FC74F9C"/>
    <w:rsid w:val="0FCD25C3"/>
    <w:rsid w:val="0FFA01EA"/>
    <w:rsid w:val="103F39F0"/>
    <w:rsid w:val="10495056"/>
    <w:rsid w:val="10704089"/>
    <w:rsid w:val="109A3B86"/>
    <w:rsid w:val="10C8222C"/>
    <w:rsid w:val="10CE72F8"/>
    <w:rsid w:val="10D974E3"/>
    <w:rsid w:val="10DA4BD4"/>
    <w:rsid w:val="10DF7955"/>
    <w:rsid w:val="1107089E"/>
    <w:rsid w:val="11337E3C"/>
    <w:rsid w:val="114C7342"/>
    <w:rsid w:val="11952D34"/>
    <w:rsid w:val="119C7A5A"/>
    <w:rsid w:val="11BB1714"/>
    <w:rsid w:val="11C00F00"/>
    <w:rsid w:val="12052847"/>
    <w:rsid w:val="120C170E"/>
    <w:rsid w:val="1225315B"/>
    <w:rsid w:val="122B1E5C"/>
    <w:rsid w:val="123635C4"/>
    <w:rsid w:val="12485CA9"/>
    <w:rsid w:val="128D6F19"/>
    <w:rsid w:val="12905A8D"/>
    <w:rsid w:val="12AB76DE"/>
    <w:rsid w:val="12EE3A35"/>
    <w:rsid w:val="12F85D2B"/>
    <w:rsid w:val="12FF12E0"/>
    <w:rsid w:val="13221A2C"/>
    <w:rsid w:val="132F34E3"/>
    <w:rsid w:val="13453739"/>
    <w:rsid w:val="134F7DB0"/>
    <w:rsid w:val="13541265"/>
    <w:rsid w:val="136117AC"/>
    <w:rsid w:val="136C738C"/>
    <w:rsid w:val="137B4287"/>
    <w:rsid w:val="13A81FD3"/>
    <w:rsid w:val="13B64320"/>
    <w:rsid w:val="13D11886"/>
    <w:rsid w:val="13F709C7"/>
    <w:rsid w:val="14051DD9"/>
    <w:rsid w:val="142017F1"/>
    <w:rsid w:val="143D2374"/>
    <w:rsid w:val="144D4B00"/>
    <w:rsid w:val="14547FEF"/>
    <w:rsid w:val="14651B57"/>
    <w:rsid w:val="14675F92"/>
    <w:rsid w:val="14930AAD"/>
    <w:rsid w:val="150237A4"/>
    <w:rsid w:val="1557618D"/>
    <w:rsid w:val="156C2D77"/>
    <w:rsid w:val="15B9757C"/>
    <w:rsid w:val="15CC58CF"/>
    <w:rsid w:val="15CC786E"/>
    <w:rsid w:val="15D44A7A"/>
    <w:rsid w:val="16130AEE"/>
    <w:rsid w:val="162D59C2"/>
    <w:rsid w:val="163539DE"/>
    <w:rsid w:val="1644465E"/>
    <w:rsid w:val="16687281"/>
    <w:rsid w:val="1679139F"/>
    <w:rsid w:val="167D73BF"/>
    <w:rsid w:val="16893F32"/>
    <w:rsid w:val="16921AF3"/>
    <w:rsid w:val="16B234FA"/>
    <w:rsid w:val="16B55AD8"/>
    <w:rsid w:val="16C61DE9"/>
    <w:rsid w:val="16C85686"/>
    <w:rsid w:val="16EE2AF4"/>
    <w:rsid w:val="17092B03"/>
    <w:rsid w:val="170A0B6B"/>
    <w:rsid w:val="170A613E"/>
    <w:rsid w:val="171E01FE"/>
    <w:rsid w:val="175725D1"/>
    <w:rsid w:val="175C47B0"/>
    <w:rsid w:val="176B6BCE"/>
    <w:rsid w:val="17B73274"/>
    <w:rsid w:val="17C00A87"/>
    <w:rsid w:val="17EC7253"/>
    <w:rsid w:val="17F24003"/>
    <w:rsid w:val="17FD2545"/>
    <w:rsid w:val="1819423B"/>
    <w:rsid w:val="183B0C31"/>
    <w:rsid w:val="184101CA"/>
    <w:rsid w:val="18653E0A"/>
    <w:rsid w:val="18680600"/>
    <w:rsid w:val="187A6127"/>
    <w:rsid w:val="188D6CEA"/>
    <w:rsid w:val="190C0EA1"/>
    <w:rsid w:val="19AB267A"/>
    <w:rsid w:val="19AC7CB6"/>
    <w:rsid w:val="19B220B4"/>
    <w:rsid w:val="19CF7D77"/>
    <w:rsid w:val="19D84E8D"/>
    <w:rsid w:val="1A024B0B"/>
    <w:rsid w:val="1A601179"/>
    <w:rsid w:val="1A69031C"/>
    <w:rsid w:val="1A7A2AE1"/>
    <w:rsid w:val="1A8324B7"/>
    <w:rsid w:val="1AD77605"/>
    <w:rsid w:val="1B114960"/>
    <w:rsid w:val="1B757893"/>
    <w:rsid w:val="1B9B3B80"/>
    <w:rsid w:val="1BCC3362"/>
    <w:rsid w:val="1BD42B13"/>
    <w:rsid w:val="1BF626B2"/>
    <w:rsid w:val="1C0D1A0B"/>
    <w:rsid w:val="1C8324A6"/>
    <w:rsid w:val="1CA17BBB"/>
    <w:rsid w:val="1CA67605"/>
    <w:rsid w:val="1CD9743C"/>
    <w:rsid w:val="1D227DE1"/>
    <w:rsid w:val="1D896D11"/>
    <w:rsid w:val="1E1869A4"/>
    <w:rsid w:val="1E19597D"/>
    <w:rsid w:val="1E40296B"/>
    <w:rsid w:val="1E40489E"/>
    <w:rsid w:val="1E4D1CC5"/>
    <w:rsid w:val="1EAF3E2F"/>
    <w:rsid w:val="1EB92071"/>
    <w:rsid w:val="1EC77AB4"/>
    <w:rsid w:val="1F0A596D"/>
    <w:rsid w:val="1F1C136B"/>
    <w:rsid w:val="1F5E3B1A"/>
    <w:rsid w:val="1F820466"/>
    <w:rsid w:val="1FAE2601"/>
    <w:rsid w:val="1FB6516F"/>
    <w:rsid w:val="1FFB0419"/>
    <w:rsid w:val="200A21D5"/>
    <w:rsid w:val="2032337F"/>
    <w:rsid w:val="2033323C"/>
    <w:rsid w:val="20873677"/>
    <w:rsid w:val="20A774A8"/>
    <w:rsid w:val="20C20673"/>
    <w:rsid w:val="20D52A86"/>
    <w:rsid w:val="210D2C08"/>
    <w:rsid w:val="21105848"/>
    <w:rsid w:val="211308E2"/>
    <w:rsid w:val="21252B13"/>
    <w:rsid w:val="212C1A17"/>
    <w:rsid w:val="21316DFF"/>
    <w:rsid w:val="213B5E42"/>
    <w:rsid w:val="21473FD5"/>
    <w:rsid w:val="214D76EC"/>
    <w:rsid w:val="21674248"/>
    <w:rsid w:val="219847DF"/>
    <w:rsid w:val="219B351A"/>
    <w:rsid w:val="22242FDB"/>
    <w:rsid w:val="223B4F0A"/>
    <w:rsid w:val="22407BB4"/>
    <w:rsid w:val="22DC629C"/>
    <w:rsid w:val="22EC0DCF"/>
    <w:rsid w:val="22F247BD"/>
    <w:rsid w:val="22F30804"/>
    <w:rsid w:val="23006A8B"/>
    <w:rsid w:val="23172525"/>
    <w:rsid w:val="235E08C6"/>
    <w:rsid w:val="235E6E49"/>
    <w:rsid w:val="23815DF8"/>
    <w:rsid w:val="23881667"/>
    <w:rsid w:val="23A85725"/>
    <w:rsid w:val="23A9671C"/>
    <w:rsid w:val="23AE6B9B"/>
    <w:rsid w:val="23CE18C6"/>
    <w:rsid w:val="24320D0F"/>
    <w:rsid w:val="24475FBF"/>
    <w:rsid w:val="244F702F"/>
    <w:rsid w:val="246F01AC"/>
    <w:rsid w:val="247010C0"/>
    <w:rsid w:val="249F4225"/>
    <w:rsid w:val="24AB1157"/>
    <w:rsid w:val="24D834A3"/>
    <w:rsid w:val="24EA3E07"/>
    <w:rsid w:val="257250F7"/>
    <w:rsid w:val="25AB6EFA"/>
    <w:rsid w:val="25D677F3"/>
    <w:rsid w:val="261741DD"/>
    <w:rsid w:val="261924A7"/>
    <w:rsid w:val="261A0EE5"/>
    <w:rsid w:val="262870C7"/>
    <w:rsid w:val="26616541"/>
    <w:rsid w:val="266B2A81"/>
    <w:rsid w:val="26AF12D5"/>
    <w:rsid w:val="26C50688"/>
    <w:rsid w:val="26D7660D"/>
    <w:rsid w:val="26E24F6C"/>
    <w:rsid w:val="270601B5"/>
    <w:rsid w:val="274D4BC8"/>
    <w:rsid w:val="27514B9C"/>
    <w:rsid w:val="277B0C05"/>
    <w:rsid w:val="278641F8"/>
    <w:rsid w:val="27866BAB"/>
    <w:rsid w:val="279348F9"/>
    <w:rsid w:val="279D43E7"/>
    <w:rsid w:val="27B656E3"/>
    <w:rsid w:val="27E70199"/>
    <w:rsid w:val="27FC54E7"/>
    <w:rsid w:val="28156118"/>
    <w:rsid w:val="28242F64"/>
    <w:rsid w:val="2839176B"/>
    <w:rsid w:val="285E166E"/>
    <w:rsid w:val="287C74F6"/>
    <w:rsid w:val="28A75A9F"/>
    <w:rsid w:val="28B84D7F"/>
    <w:rsid w:val="28BA0CCD"/>
    <w:rsid w:val="28C71CCD"/>
    <w:rsid w:val="28E74AF2"/>
    <w:rsid w:val="28FA5372"/>
    <w:rsid w:val="290E3ACB"/>
    <w:rsid w:val="29206796"/>
    <w:rsid w:val="294D698C"/>
    <w:rsid w:val="295E06B9"/>
    <w:rsid w:val="29851FF6"/>
    <w:rsid w:val="29936CBB"/>
    <w:rsid w:val="29B259CF"/>
    <w:rsid w:val="29C9683B"/>
    <w:rsid w:val="29DE24A9"/>
    <w:rsid w:val="2A151926"/>
    <w:rsid w:val="2A2972DB"/>
    <w:rsid w:val="2A32023A"/>
    <w:rsid w:val="2A3B54E3"/>
    <w:rsid w:val="2A4D4CA4"/>
    <w:rsid w:val="2A821200"/>
    <w:rsid w:val="2AAB2783"/>
    <w:rsid w:val="2B0A01C2"/>
    <w:rsid w:val="2B154FC1"/>
    <w:rsid w:val="2B435878"/>
    <w:rsid w:val="2B662B15"/>
    <w:rsid w:val="2B685806"/>
    <w:rsid w:val="2B9B4671"/>
    <w:rsid w:val="2B9D0155"/>
    <w:rsid w:val="2B9E737C"/>
    <w:rsid w:val="2BB44F53"/>
    <w:rsid w:val="2BE041B6"/>
    <w:rsid w:val="2BEC1EF5"/>
    <w:rsid w:val="2C4D1361"/>
    <w:rsid w:val="2C5907A1"/>
    <w:rsid w:val="2C807C27"/>
    <w:rsid w:val="2C893B58"/>
    <w:rsid w:val="2C956D4E"/>
    <w:rsid w:val="2CA544DA"/>
    <w:rsid w:val="2CCD7955"/>
    <w:rsid w:val="2CDF51F9"/>
    <w:rsid w:val="2CE27B85"/>
    <w:rsid w:val="2D132373"/>
    <w:rsid w:val="2D546CEB"/>
    <w:rsid w:val="2D7471B2"/>
    <w:rsid w:val="2D881307"/>
    <w:rsid w:val="2DA010C7"/>
    <w:rsid w:val="2DD43FEA"/>
    <w:rsid w:val="2DE82933"/>
    <w:rsid w:val="2E0A7CEF"/>
    <w:rsid w:val="2E1659F6"/>
    <w:rsid w:val="2E1A197C"/>
    <w:rsid w:val="2F075C9E"/>
    <w:rsid w:val="2F0F2DE8"/>
    <w:rsid w:val="2F311A1C"/>
    <w:rsid w:val="2F801A83"/>
    <w:rsid w:val="2F8274BD"/>
    <w:rsid w:val="2F9257C7"/>
    <w:rsid w:val="2FA3101B"/>
    <w:rsid w:val="2FD00794"/>
    <w:rsid w:val="2FDF1BA5"/>
    <w:rsid w:val="301022D7"/>
    <w:rsid w:val="30154564"/>
    <w:rsid w:val="30244587"/>
    <w:rsid w:val="302E44D0"/>
    <w:rsid w:val="30983AE4"/>
    <w:rsid w:val="30B3365F"/>
    <w:rsid w:val="30CA3071"/>
    <w:rsid w:val="30FD2445"/>
    <w:rsid w:val="311D0350"/>
    <w:rsid w:val="312C1B30"/>
    <w:rsid w:val="31437FEA"/>
    <w:rsid w:val="31AA13FC"/>
    <w:rsid w:val="31F44578"/>
    <w:rsid w:val="32322E2A"/>
    <w:rsid w:val="3281036B"/>
    <w:rsid w:val="329F7FE8"/>
    <w:rsid w:val="32CF531D"/>
    <w:rsid w:val="32D5176F"/>
    <w:rsid w:val="32E52E97"/>
    <w:rsid w:val="32F4216D"/>
    <w:rsid w:val="32F525CA"/>
    <w:rsid w:val="334B0B46"/>
    <w:rsid w:val="33733535"/>
    <w:rsid w:val="33756431"/>
    <w:rsid w:val="337955AD"/>
    <w:rsid w:val="339B2B3B"/>
    <w:rsid w:val="33A14662"/>
    <w:rsid w:val="33A82CBE"/>
    <w:rsid w:val="33C13B5D"/>
    <w:rsid w:val="33F47A3E"/>
    <w:rsid w:val="33FC410D"/>
    <w:rsid w:val="34223859"/>
    <w:rsid w:val="342D259E"/>
    <w:rsid w:val="346050B5"/>
    <w:rsid w:val="34852794"/>
    <w:rsid w:val="34A766C9"/>
    <w:rsid w:val="34CD26C6"/>
    <w:rsid w:val="34FA4D40"/>
    <w:rsid w:val="34FB43EF"/>
    <w:rsid w:val="350E517D"/>
    <w:rsid w:val="35162CD7"/>
    <w:rsid w:val="35751699"/>
    <w:rsid w:val="3591033A"/>
    <w:rsid w:val="35953B59"/>
    <w:rsid w:val="35BF4682"/>
    <w:rsid w:val="35E66C7E"/>
    <w:rsid w:val="35EA51EE"/>
    <w:rsid w:val="35FA6A6E"/>
    <w:rsid w:val="360D0402"/>
    <w:rsid w:val="361909F0"/>
    <w:rsid w:val="36443DC1"/>
    <w:rsid w:val="364D069A"/>
    <w:rsid w:val="368D485C"/>
    <w:rsid w:val="36B8340E"/>
    <w:rsid w:val="374417C1"/>
    <w:rsid w:val="37532D80"/>
    <w:rsid w:val="37743609"/>
    <w:rsid w:val="37991DE9"/>
    <w:rsid w:val="379B1626"/>
    <w:rsid w:val="37EB4362"/>
    <w:rsid w:val="37F415BD"/>
    <w:rsid w:val="38151D36"/>
    <w:rsid w:val="38574E03"/>
    <w:rsid w:val="388F0737"/>
    <w:rsid w:val="38A24FBC"/>
    <w:rsid w:val="38C04007"/>
    <w:rsid w:val="38CB0C09"/>
    <w:rsid w:val="38CC18CF"/>
    <w:rsid w:val="38CD277F"/>
    <w:rsid w:val="38D73128"/>
    <w:rsid w:val="39416A2A"/>
    <w:rsid w:val="396201C9"/>
    <w:rsid w:val="397A6987"/>
    <w:rsid w:val="39893797"/>
    <w:rsid w:val="398B6D19"/>
    <w:rsid w:val="39974106"/>
    <w:rsid w:val="39A05A89"/>
    <w:rsid w:val="3A0B1DCF"/>
    <w:rsid w:val="3A155A27"/>
    <w:rsid w:val="3A5A24D9"/>
    <w:rsid w:val="3A6D7886"/>
    <w:rsid w:val="3A806D9C"/>
    <w:rsid w:val="3A8F5064"/>
    <w:rsid w:val="3A943F5F"/>
    <w:rsid w:val="3AC24D8E"/>
    <w:rsid w:val="3ADA2BCF"/>
    <w:rsid w:val="3AEF7CE8"/>
    <w:rsid w:val="3AFB6128"/>
    <w:rsid w:val="3B366FCD"/>
    <w:rsid w:val="3B4C005C"/>
    <w:rsid w:val="3B5273E0"/>
    <w:rsid w:val="3BCD60D4"/>
    <w:rsid w:val="3BE4223D"/>
    <w:rsid w:val="3BEB24E7"/>
    <w:rsid w:val="3BFC0709"/>
    <w:rsid w:val="3C0542A0"/>
    <w:rsid w:val="3C0550C0"/>
    <w:rsid w:val="3C0E529D"/>
    <w:rsid w:val="3C1859C6"/>
    <w:rsid w:val="3C312C20"/>
    <w:rsid w:val="3C3230F3"/>
    <w:rsid w:val="3C48190C"/>
    <w:rsid w:val="3C4C49F3"/>
    <w:rsid w:val="3C4D6C5D"/>
    <w:rsid w:val="3CAF39F9"/>
    <w:rsid w:val="3CBA6C98"/>
    <w:rsid w:val="3D7E7B25"/>
    <w:rsid w:val="3D874491"/>
    <w:rsid w:val="3DA91CA4"/>
    <w:rsid w:val="3DAC62A9"/>
    <w:rsid w:val="3DB1570D"/>
    <w:rsid w:val="3DD40F59"/>
    <w:rsid w:val="3DD959BD"/>
    <w:rsid w:val="3DEA62BD"/>
    <w:rsid w:val="3DEB4AD0"/>
    <w:rsid w:val="3DEC4C3F"/>
    <w:rsid w:val="3E153186"/>
    <w:rsid w:val="3E375EDB"/>
    <w:rsid w:val="3E3A1504"/>
    <w:rsid w:val="3E4E4C2A"/>
    <w:rsid w:val="3E797014"/>
    <w:rsid w:val="3E944861"/>
    <w:rsid w:val="3E953BBF"/>
    <w:rsid w:val="3E993262"/>
    <w:rsid w:val="3EB767A2"/>
    <w:rsid w:val="3EC74407"/>
    <w:rsid w:val="3EEC5917"/>
    <w:rsid w:val="3EF60D22"/>
    <w:rsid w:val="3F0102C8"/>
    <w:rsid w:val="3F1809C3"/>
    <w:rsid w:val="3F1E277A"/>
    <w:rsid w:val="3F22479B"/>
    <w:rsid w:val="3F2A7AC5"/>
    <w:rsid w:val="3F2A7BD0"/>
    <w:rsid w:val="3F343834"/>
    <w:rsid w:val="3F63499B"/>
    <w:rsid w:val="3F9A720D"/>
    <w:rsid w:val="3FB17845"/>
    <w:rsid w:val="3FBB1FB5"/>
    <w:rsid w:val="404943BA"/>
    <w:rsid w:val="406D0115"/>
    <w:rsid w:val="40977113"/>
    <w:rsid w:val="40CA7DEA"/>
    <w:rsid w:val="411D4D57"/>
    <w:rsid w:val="414900A4"/>
    <w:rsid w:val="416B0A6E"/>
    <w:rsid w:val="419A2A05"/>
    <w:rsid w:val="41CD2721"/>
    <w:rsid w:val="42666234"/>
    <w:rsid w:val="42696A07"/>
    <w:rsid w:val="42742A4E"/>
    <w:rsid w:val="4290581E"/>
    <w:rsid w:val="42DD00E9"/>
    <w:rsid w:val="42E4784F"/>
    <w:rsid w:val="431032C6"/>
    <w:rsid w:val="431E7668"/>
    <w:rsid w:val="43267E79"/>
    <w:rsid w:val="437354F6"/>
    <w:rsid w:val="43A65C26"/>
    <w:rsid w:val="43B05917"/>
    <w:rsid w:val="43C667D0"/>
    <w:rsid w:val="43C75651"/>
    <w:rsid w:val="43D35C08"/>
    <w:rsid w:val="442B440F"/>
    <w:rsid w:val="44404632"/>
    <w:rsid w:val="448B0D35"/>
    <w:rsid w:val="449624EF"/>
    <w:rsid w:val="44D9500D"/>
    <w:rsid w:val="44DE4707"/>
    <w:rsid w:val="44F56185"/>
    <w:rsid w:val="44F752FD"/>
    <w:rsid w:val="44FB288C"/>
    <w:rsid w:val="45016487"/>
    <w:rsid w:val="45336688"/>
    <w:rsid w:val="455E68E6"/>
    <w:rsid w:val="45C06F7C"/>
    <w:rsid w:val="45CA433B"/>
    <w:rsid w:val="45EE4090"/>
    <w:rsid w:val="45F14A62"/>
    <w:rsid w:val="46130FB8"/>
    <w:rsid w:val="4623469C"/>
    <w:rsid w:val="46BE2930"/>
    <w:rsid w:val="46D02669"/>
    <w:rsid w:val="46D21C8C"/>
    <w:rsid w:val="46EB42D7"/>
    <w:rsid w:val="46ED07B6"/>
    <w:rsid w:val="47454EA1"/>
    <w:rsid w:val="475A1FF2"/>
    <w:rsid w:val="478D16B1"/>
    <w:rsid w:val="479B3001"/>
    <w:rsid w:val="47E7735E"/>
    <w:rsid w:val="47EE24DB"/>
    <w:rsid w:val="4805213C"/>
    <w:rsid w:val="48244460"/>
    <w:rsid w:val="486D4D84"/>
    <w:rsid w:val="48775EED"/>
    <w:rsid w:val="48AF22C8"/>
    <w:rsid w:val="48E11FE9"/>
    <w:rsid w:val="490800BC"/>
    <w:rsid w:val="49260C54"/>
    <w:rsid w:val="492642D9"/>
    <w:rsid w:val="495857DC"/>
    <w:rsid w:val="495C7449"/>
    <w:rsid w:val="49733DC5"/>
    <w:rsid w:val="4A0428BB"/>
    <w:rsid w:val="4A1964DE"/>
    <w:rsid w:val="4A5B447B"/>
    <w:rsid w:val="4A7F3F5E"/>
    <w:rsid w:val="4AD35C9A"/>
    <w:rsid w:val="4AE5103A"/>
    <w:rsid w:val="4AF105DE"/>
    <w:rsid w:val="4B1535CD"/>
    <w:rsid w:val="4B254BBF"/>
    <w:rsid w:val="4B29666D"/>
    <w:rsid w:val="4B50024D"/>
    <w:rsid w:val="4B6602E2"/>
    <w:rsid w:val="4B8218C7"/>
    <w:rsid w:val="4B937AD8"/>
    <w:rsid w:val="4BE86E26"/>
    <w:rsid w:val="4BEC2A61"/>
    <w:rsid w:val="4C1C66ED"/>
    <w:rsid w:val="4C212812"/>
    <w:rsid w:val="4C2A7C24"/>
    <w:rsid w:val="4C92155A"/>
    <w:rsid w:val="4C9810ED"/>
    <w:rsid w:val="4CC7105B"/>
    <w:rsid w:val="4CEC58BB"/>
    <w:rsid w:val="4D4557B0"/>
    <w:rsid w:val="4D685AA6"/>
    <w:rsid w:val="4D710BC6"/>
    <w:rsid w:val="4D975B9B"/>
    <w:rsid w:val="4D9F466F"/>
    <w:rsid w:val="4DAF303F"/>
    <w:rsid w:val="4DF2318E"/>
    <w:rsid w:val="4E0F04F9"/>
    <w:rsid w:val="4E266033"/>
    <w:rsid w:val="4E3C5889"/>
    <w:rsid w:val="4E5724A0"/>
    <w:rsid w:val="4E71636B"/>
    <w:rsid w:val="4EA76741"/>
    <w:rsid w:val="4EC679B3"/>
    <w:rsid w:val="4EE364A3"/>
    <w:rsid w:val="4F5B2130"/>
    <w:rsid w:val="4F9E7B71"/>
    <w:rsid w:val="501D1B08"/>
    <w:rsid w:val="502F775F"/>
    <w:rsid w:val="506A4DA1"/>
    <w:rsid w:val="50705F1D"/>
    <w:rsid w:val="507D6E7C"/>
    <w:rsid w:val="50CA76B4"/>
    <w:rsid w:val="50D14CDF"/>
    <w:rsid w:val="50D9727F"/>
    <w:rsid w:val="50F571AB"/>
    <w:rsid w:val="51027A1D"/>
    <w:rsid w:val="51041C40"/>
    <w:rsid w:val="51280DBA"/>
    <w:rsid w:val="513C706D"/>
    <w:rsid w:val="515274E3"/>
    <w:rsid w:val="51673B42"/>
    <w:rsid w:val="51770E8C"/>
    <w:rsid w:val="517B1B42"/>
    <w:rsid w:val="519F4DD8"/>
    <w:rsid w:val="51B841B8"/>
    <w:rsid w:val="51BD627C"/>
    <w:rsid w:val="51C010C1"/>
    <w:rsid w:val="521D0129"/>
    <w:rsid w:val="522C6B5E"/>
    <w:rsid w:val="525706D9"/>
    <w:rsid w:val="52900DC3"/>
    <w:rsid w:val="53317855"/>
    <w:rsid w:val="538F20F8"/>
    <w:rsid w:val="53CB47A8"/>
    <w:rsid w:val="53CF238C"/>
    <w:rsid w:val="53D604E3"/>
    <w:rsid w:val="53E779DA"/>
    <w:rsid w:val="54315013"/>
    <w:rsid w:val="5441077A"/>
    <w:rsid w:val="54781A30"/>
    <w:rsid w:val="5478524F"/>
    <w:rsid w:val="54AB750A"/>
    <w:rsid w:val="54C52CA1"/>
    <w:rsid w:val="54CA6A31"/>
    <w:rsid w:val="54D16038"/>
    <w:rsid w:val="54DC2731"/>
    <w:rsid w:val="54E127F4"/>
    <w:rsid w:val="54EF1575"/>
    <w:rsid w:val="55054CF5"/>
    <w:rsid w:val="55283B29"/>
    <w:rsid w:val="552A3D4C"/>
    <w:rsid w:val="55376634"/>
    <w:rsid w:val="558304C7"/>
    <w:rsid w:val="558A419F"/>
    <w:rsid w:val="55C52948"/>
    <w:rsid w:val="55E40305"/>
    <w:rsid w:val="560A2FD8"/>
    <w:rsid w:val="562B40FC"/>
    <w:rsid w:val="565040C0"/>
    <w:rsid w:val="56540C7C"/>
    <w:rsid w:val="56A34464"/>
    <w:rsid w:val="56AF5F4A"/>
    <w:rsid w:val="56CC4756"/>
    <w:rsid w:val="56EC4A2F"/>
    <w:rsid w:val="56F63AE6"/>
    <w:rsid w:val="5709553F"/>
    <w:rsid w:val="572C3407"/>
    <w:rsid w:val="573A5D9A"/>
    <w:rsid w:val="578378D9"/>
    <w:rsid w:val="578816A8"/>
    <w:rsid w:val="578D0643"/>
    <w:rsid w:val="57A73B88"/>
    <w:rsid w:val="57BD76BB"/>
    <w:rsid w:val="57C85778"/>
    <w:rsid w:val="57F00C84"/>
    <w:rsid w:val="58012C72"/>
    <w:rsid w:val="58941062"/>
    <w:rsid w:val="58A74BA0"/>
    <w:rsid w:val="58D13376"/>
    <w:rsid w:val="58E83EA8"/>
    <w:rsid w:val="5917565E"/>
    <w:rsid w:val="592E44F7"/>
    <w:rsid w:val="59741916"/>
    <w:rsid w:val="597E0D54"/>
    <w:rsid w:val="598F7D32"/>
    <w:rsid w:val="59A179CE"/>
    <w:rsid w:val="59AC65F8"/>
    <w:rsid w:val="59B1237D"/>
    <w:rsid w:val="59CE6D87"/>
    <w:rsid w:val="59DD0BAB"/>
    <w:rsid w:val="5A2B66C1"/>
    <w:rsid w:val="5A3262EE"/>
    <w:rsid w:val="5A5230EC"/>
    <w:rsid w:val="5A8C6551"/>
    <w:rsid w:val="5A9A1850"/>
    <w:rsid w:val="5A9E2C67"/>
    <w:rsid w:val="5AC96703"/>
    <w:rsid w:val="5AD03D41"/>
    <w:rsid w:val="5AD50B17"/>
    <w:rsid w:val="5AD840C6"/>
    <w:rsid w:val="5B422B12"/>
    <w:rsid w:val="5B452999"/>
    <w:rsid w:val="5B484485"/>
    <w:rsid w:val="5B501F0F"/>
    <w:rsid w:val="5BAC35E9"/>
    <w:rsid w:val="5BBB27F5"/>
    <w:rsid w:val="5BD22CB9"/>
    <w:rsid w:val="5C260CD3"/>
    <w:rsid w:val="5C390C80"/>
    <w:rsid w:val="5C4E241A"/>
    <w:rsid w:val="5C56771B"/>
    <w:rsid w:val="5C624E98"/>
    <w:rsid w:val="5CBC43B9"/>
    <w:rsid w:val="5D181006"/>
    <w:rsid w:val="5D2734D5"/>
    <w:rsid w:val="5D360418"/>
    <w:rsid w:val="5D4249EB"/>
    <w:rsid w:val="5D4F0CFB"/>
    <w:rsid w:val="5D587B6E"/>
    <w:rsid w:val="5D5A6605"/>
    <w:rsid w:val="5D6966DF"/>
    <w:rsid w:val="5D751D21"/>
    <w:rsid w:val="5D982496"/>
    <w:rsid w:val="5D9D2FD9"/>
    <w:rsid w:val="5D9F2C98"/>
    <w:rsid w:val="5E104CEC"/>
    <w:rsid w:val="5E23390B"/>
    <w:rsid w:val="5E653099"/>
    <w:rsid w:val="5E966B24"/>
    <w:rsid w:val="5EC77F75"/>
    <w:rsid w:val="5EDB4D02"/>
    <w:rsid w:val="5F5D64D2"/>
    <w:rsid w:val="5F684CEC"/>
    <w:rsid w:val="5F6D5AC3"/>
    <w:rsid w:val="5F7D7140"/>
    <w:rsid w:val="5FE81554"/>
    <w:rsid w:val="5FEC03CD"/>
    <w:rsid w:val="5FF84BB7"/>
    <w:rsid w:val="60084CED"/>
    <w:rsid w:val="600B62B8"/>
    <w:rsid w:val="601C3073"/>
    <w:rsid w:val="605327E7"/>
    <w:rsid w:val="609408D3"/>
    <w:rsid w:val="60BB1585"/>
    <w:rsid w:val="60ED35ED"/>
    <w:rsid w:val="60F37CFB"/>
    <w:rsid w:val="610A6620"/>
    <w:rsid w:val="61245173"/>
    <w:rsid w:val="61275E0C"/>
    <w:rsid w:val="61797C79"/>
    <w:rsid w:val="61985B41"/>
    <w:rsid w:val="61C12BAA"/>
    <w:rsid w:val="61F75127"/>
    <w:rsid w:val="623120B9"/>
    <w:rsid w:val="62725FBE"/>
    <w:rsid w:val="62A64F0C"/>
    <w:rsid w:val="62A9062D"/>
    <w:rsid w:val="62B84AB1"/>
    <w:rsid w:val="62C16BCB"/>
    <w:rsid w:val="62CC0A9C"/>
    <w:rsid w:val="62D70EC7"/>
    <w:rsid w:val="62ED6111"/>
    <w:rsid w:val="62EE6B2C"/>
    <w:rsid w:val="62F74433"/>
    <w:rsid w:val="632F4F3D"/>
    <w:rsid w:val="634D5352"/>
    <w:rsid w:val="636B527B"/>
    <w:rsid w:val="63A06FBB"/>
    <w:rsid w:val="63A36E7F"/>
    <w:rsid w:val="63DC56C6"/>
    <w:rsid w:val="64110EB3"/>
    <w:rsid w:val="642359FB"/>
    <w:rsid w:val="647A5CAE"/>
    <w:rsid w:val="64844831"/>
    <w:rsid w:val="64B452BD"/>
    <w:rsid w:val="651261F7"/>
    <w:rsid w:val="6514000A"/>
    <w:rsid w:val="65166549"/>
    <w:rsid w:val="65521C72"/>
    <w:rsid w:val="65581461"/>
    <w:rsid w:val="656D1DA1"/>
    <w:rsid w:val="6587589A"/>
    <w:rsid w:val="65B512EC"/>
    <w:rsid w:val="65E56E3A"/>
    <w:rsid w:val="6615291A"/>
    <w:rsid w:val="661C3D8F"/>
    <w:rsid w:val="66453CFC"/>
    <w:rsid w:val="66925AD1"/>
    <w:rsid w:val="66AA39F1"/>
    <w:rsid w:val="66DB65EE"/>
    <w:rsid w:val="670A6427"/>
    <w:rsid w:val="672E57FA"/>
    <w:rsid w:val="67306415"/>
    <w:rsid w:val="67731B54"/>
    <w:rsid w:val="679C4576"/>
    <w:rsid w:val="67E6499A"/>
    <w:rsid w:val="681E5FD4"/>
    <w:rsid w:val="68432DF3"/>
    <w:rsid w:val="68D54E63"/>
    <w:rsid w:val="68E04066"/>
    <w:rsid w:val="69341197"/>
    <w:rsid w:val="698F2EA5"/>
    <w:rsid w:val="69C54CE1"/>
    <w:rsid w:val="69F45908"/>
    <w:rsid w:val="69F67F87"/>
    <w:rsid w:val="69F87575"/>
    <w:rsid w:val="6A1607AC"/>
    <w:rsid w:val="6A4D0AD4"/>
    <w:rsid w:val="6A583053"/>
    <w:rsid w:val="6A7B5ACB"/>
    <w:rsid w:val="6A9B3B22"/>
    <w:rsid w:val="6AA57351"/>
    <w:rsid w:val="6ABE43DD"/>
    <w:rsid w:val="6AC319A2"/>
    <w:rsid w:val="6ACF0123"/>
    <w:rsid w:val="6B0F0193"/>
    <w:rsid w:val="6B1E4C1A"/>
    <w:rsid w:val="6B380F73"/>
    <w:rsid w:val="6B543360"/>
    <w:rsid w:val="6B6468D9"/>
    <w:rsid w:val="6B9B1A6E"/>
    <w:rsid w:val="6BCE70FF"/>
    <w:rsid w:val="6BD85D25"/>
    <w:rsid w:val="6C05483B"/>
    <w:rsid w:val="6C1617AB"/>
    <w:rsid w:val="6C2A451B"/>
    <w:rsid w:val="6C4822C1"/>
    <w:rsid w:val="6C591700"/>
    <w:rsid w:val="6C5D1BA6"/>
    <w:rsid w:val="6C724379"/>
    <w:rsid w:val="6C9A1976"/>
    <w:rsid w:val="6CBE6DD2"/>
    <w:rsid w:val="6CD52720"/>
    <w:rsid w:val="6CDF0F01"/>
    <w:rsid w:val="6D426807"/>
    <w:rsid w:val="6D742987"/>
    <w:rsid w:val="6D883025"/>
    <w:rsid w:val="6DA751E3"/>
    <w:rsid w:val="6E406ECA"/>
    <w:rsid w:val="6E454C34"/>
    <w:rsid w:val="6EA1613D"/>
    <w:rsid w:val="6EAB7F8A"/>
    <w:rsid w:val="6EFF3FE8"/>
    <w:rsid w:val="6F234F4B"/>
    <w:rsid w:val="6F5002D8"/>
    <w:rsid w:val="6F88502F"/>
    <w:rsid w:val="6FA81579"/>
    <w:rsid w:val="6FE03293"/>
    <w:rsid w:val="701B3E61"/>
    <w:rsid w:val="701B5072"/>
    <w:rsid w:val="701B5F36"/>
    <w:rsid w:val="7049639E"/>
    <w:rsid w:val="709B778B"/>
    <w:rsid w:val="70AD1C6D"/>
    <w:rsid w:val="70AF78C3"/>
    <w:rsid w:val="70CA08BA"/>
    <w:rsid w:val="711426F0"/>
    <w:rsid w:val="71294F39"/>
    <w:rsid w:val="717F78EF"/>
    <w:rsid w:val="718E7020"/>
    <w:rsid w:val="719426FE"/>
    <w:rsid w:val="719C2399"/>
    <w:rsid w:val="71C05FAD"/>
    <w:rsid w:val="71C730ED"/>
    <w:rsid w:val="71DF0765"/>
    <w:rsid w:val="72305DDD"/>
    <w:rsid w:val="725A1FDD"/>
    <w:rsid w:val="72656A31"/>
    <w:rsid w:val="727763F3"/>
    <w:rsid w:val="72894782"/>
    <w:rsid w:val="7297045A"/>
    <w:rsid w:val="729A2BCE"/>
    <w:rsid w:val="72B312A9"/>
    <w:rsid w:val="72DD137A"/>
    <w:rsid w:val="73605055"/>
    <w:rsid w:val="738706DD"/>
    <w:rsid w:val="739764BB"/>
    <w:rsid w:val="73A168FE"/>
    <w:rsid w:val="73C56603"/>
    <w:rsid w:val="73C830E1"/>
    <w:rsid w:val="73EA3589"/>
    <w:rsid w:val="74022CF0"/>
    <w:rsid w:val="740E7F6C"/>
    <w:rsid w:val="741A0233"/>
    <w:rsid w:val="742747AE"/>
    <w:rsid w:val="74377F30"/>
    <w:rsid w:val="746E5675"/>
    <w:rsid w:val="74875761"/>
    <w:rsid w:val="748E7A56"/>
    <w:rsid w:val="74900AEB"/>
    <w:rsid w:val="74A92964"/>
    <w:rsid w:val="74C029FB"/>
    <w:rsid w:val="74F06A95"/>
    <w:rsid w:val="74F16A23"/>
    <w:rsid w:val="75300FA8"/>
    <w:rsid w:val="75494436"/>
    <w:rsid w:val="754A4447"/>
    <w:rsid w:val="755D5C2B"/>
    <w:rsid w:val="75725C76"/>
    <w:rsid w:val="757560F4"/>
    <w:rsid w:val="75CE7CD9"/>
    <w:rsid w:val="75D707F9"/>
    <w:rsid w:val="75DF0668"/>
    <w:rsid w:val="75E9473F"/>
    <w:rsid w:val="75F82DBF"/>
    <w:rsid w:val="760D1BDD"/>
    <w:rsid w:val="762871A9"/>
    <w:rsid w:val="7652283B"/>
    <w:rsid w:val="76A95616"/>
    <w:rsid w:val="76C603EB"/>
    <w:rsid w:val="76DA18D4"/>
    <w:rsid w:val="76E232D4"/>
    <w:rsid w:val="76E66F6B"/>
    <w:rsid w:val="76F141A8"/>
    <w:rsid w:val="76F33A93"/>
    <w:rsid w:val="77326155"/>
    <w:rsid w:val="773A486A"/>
    <w:rsid w:val="77631BBC"/>
    <w:rsid w:val="77651017"/>
    <w:rsid w:val="776614E6"/>
    <w:rsid w:val="778C0352"/>
    <w:rsid w:val="77DF7DEC"/>
    <w:rsid w:val="77E32D64"/>
    <w:rsid w:val="77E833EE"/>
    <w:rsid w:val="783C0006"/>
    <w:rsid w:val="78647342"/>
    <w:rsid w:val="786A77EE"/>
    <w:rsid w:val="78C064C7"/>
    <w:rsid w:val="78C45322"/>
    <w:rsid w:val="78CB4B22"/>
    <w:rsid w:val="78F040AE"/>
    <w:rsid w:val="79144124"/>
    <w:rsid w:val="79207982"/>
    <w:rsid w:val="793C5C36"/>
    <w:rsid w:val="7943529E"/>
    <w:rsid w:val="79670403"/>
    <w:rsid w:val="79687E1E"/>
    <w:rsid w:val="797B425D"/>
    <w:rsid w:val="79AA43B2"/>
    <w:rsid w:val="79C7431A"/>
    <w:rsid w:val="79D43B93"/>
    <w:rsid w:val="79DC7521"/>
    <w:rsid w:val="7A136600"/>
    <w:rsid w:val="7A3A1A0A"/>
    <w:rsid w:val="7A4C31F8"/>
    <w:rsid w:val="7A6C201A"/>
    <w:rsid w:val="7AEB4907"/>
    <w:rsid w:val="7B023332"/>
    <w:rsid w:val="7B212125"/>
    <w:rsid w:val="7B3044C9"/>
    <w:rsid w:val="7B580444"/>
    <w:rsid w:val="7B960DD4"/>
    <w:rsid w:val="7B997FD9"/>
    <w:rsid w:val="7BC36BA9"/>
    <w:rsid w:val="7BCC20F6"/>
    <w:rsid w:val="7BF0114A"/>
    <w:rsid w:val="7C0E1623"/>
    <w:rsid w:val="7C3E1C6B"/>
    <w:rsid w:val="7C3F6B33"/>
    <w:rsid w:val="7C720770"/>
    <w:rsid w:val="7C750F15"/>
    <w:rsid w:val="7C7C48F2"/>
    <w:rsid w:val="7C86053F"/>
    <w:rsid w:val="7CEF6912"/>
    <w:rsid w:val="7D0470F3"/>
    <w:rsid w:val="7D116BB3"/>
    <w:rsid w:val="7D7971DC"/>
    <w:rsid w:val="7DAA5B1F"/>
    <w:rsid w:val="7DAF7935"/>
    <w:rsid w:val="7DB54DFC"/>
    <w:rsid w:val="7DDB5DA2"/>
    <w:rsid w:val="7DDF668F"/>
    <w:rsid w:val="7DEC3312"/>
    <w:rsid w:val="7E0C6D01"/>
    <w:rsid w:val="7E0E7645"/>
    <w:rsid w:val="7E0F236C"/>
    <w:rsid w:val="7E3A4506"/>
    <w:rsid w:val="7E45593B"/>
    <w:rsid w:val="7E4E1E86"/>
    <w:rsid w:val="7E5A2945"/>
    <w:rsid w:val="7E6D55FC"/>
    <w:rsid w:val="7E9428C2"/>
    <w:rsid w:val="7EAA76E7"/>
    <w:rsid w:val="7EB621CF"/>
    <w:rsid w:val="7EC021ED"/>
    <w:rsid w:val="7ECF4EEA"/>
    <w:rsid w:val="7F484AB9"/>
    <w:rsid w:val="7F5014A5"/>
    <w:rsid w:val="7F6011FB"/>
    <w:rsid w:val="7F93746A"/>
    <w:rsid w:val="7FA23108"/>
    <w:rsid w:val="7FD5197E"/>
    <w:rsid w:val="7FEA40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640" w:firstLineChars="200"/>
      <w:jc w:val="both"/>
    </w:pPr>
    <w:rPr>
      <w:rFonts w:ascii="Times New Roman" w:hAnsi="Times New Roman" w:eastAsia="宋体" w:cs="Times New Roman"/>
      <w:kern w:val="2"/>
      <w:sz w:val="27"/>
      <w:szCs w:val="24"/>
      <w:lang w:val="en-US" w:eastAsia="zh-CN" w:bidi="ar-SA"/>
    </w:rPr>
  </w:style>
  <w:style w:type="paragraph" w:styleId="3">
    <w:name w:val="heading 1"/>
    <w:basedOn w:val="4"/>
    <w:next w:val="1"/>
    <w:qFormat/>
    <w:uiPriority w:val="0"/>
    <w:pPr>
      <w:keepNext/>
      <w:keepLines/>
      <w:pageBreakBefore/>
      <w:ind w:firstLine="200"/>
      <w:outlineLvl w:val="0"/>
    </w:pPr>
    <w:rPr>
      <w:rFonts w:eastAsia="黑体"/>
      <w:kern w:val="44"/>
      <w:sz w:val="30"/>
    </w:rPr>
  </w:style>
  <w:style w:type="paragraph" w:styleId="5">
    <w:name w:val="heading 2"/>
    <w:basedOn w:val="1"/>
    <w:next w:val="1"/>
    <w:link w:val="27"/>
    <w:unhideWhenUsed/>
    <w:qFormat/>
    <w:uiPriority w:val="0"/>
    <w:pPr>
      <w:keepNext/>
      <w:keepLines/>
      <w:outlineLvl w:val="1"/>
    </w:pPr>
    <w:rPr>
      <w:rFonts w:ascii="Arial" w:hAnsi="Arial"/>
      <w:b/>
      <w:sz w:val="28"/>
    </w:rPr>
  </w:style>
  <w:style w:type="paragraph" w:styleId="6">
    <w:name w:val="heading 3"/>
    <w:basedOn w:val="1"/>
    <w:next w:val="1"/>
    <w:unhideWhenUsed/>
    <w:qFormat/>
    <w:uiPriority w:val="0"/>
    <w:pPr>
      <w:keepNext/>
      <w:keepLines/>
      <w:ind w:firstLine="200"/>
      <w:outlineLvl w:val="2"/>
    </w:pPr>
    <w:rPr>
      <w:rFonts w:eastAsia="楷体"/>
      <w:b/>
      <w:sz w:val="28"/>
    </w:rPr>
  </w:style>
  <w:style w:type="paragraph" w:styleId="7">
    <w:name w:val="heading 4"/>
    <w:basedOn w:val="1"/>
    <w:next w:val="1"/>
    <w:unhideWhenUsed/>
    <w:qFormat/>
    <w:uiPriority w:val="0"/>
    <w:pPr>
      <w:keepNext/>
      <w:keepLines/>
      <w:outlineLvl w:val="3"/>
    </w:pPr>
    <w:rPr>
      <w:rFonts w:ascii="Arial" w:hAnsi="Arial" w:eastAsia="楷体"/>
      <w:b/>
      <w:sz w:val="28"/>
    </w:rPr>
  </w:style>
  <w:style w:type="paragraph" w:styleId="8">
    <w:name w:val="heading 5"/>
    <w:basedOn w:val="1"/>
    <w:next w:val="1"/>
    <w:link w:val="28"/>
    <w:unhideWhenUsed/>
    <w:qFormat/>
    <w:uiPriority w:val="0"/>
    <w:pPr>
      <w:keepNext/>
      <w:keepLines/>
      <w:ind w:firstLine="200"/>
      <w:outlineLvl w:val="4"/>
    </w:pPr>
    <w:rPr>
      <w:rFonts w:eastAsia="楷体"/>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4">
    <w:name w:val="p0"/>
    <w:basedOn w:val="1"/>
    <w:qFormat/>
    <w:uiPriority w:val="0"/>
    <w:pPr>
      <w:widowControl/>
    </w:pPr>
    <w:rPr>
      <w:kern w:val="0"/>
      <w:szCs w:val="21"/>
    </w:rPr>
  </w:style>
  <w:style w:type="paragraph" w:styleId="9">
    <w:name w:val="Normal Indent"/>
    <w:qFormat/>
    <w:uiPriority w:val="0"/>
    <w:pPr>
      <w:widowControl w:val="0"/>
      <w:spacing w:line="360" w:lineRule="auto"/>
      <w:ind w:firstLine="200" w:firstLineChars="200"/>
      <w:jc w:val="both"/>
    </w:pPr>
    <w:rPr>
      <w:rFonts w:ascii="Calibri" w:hAnsi="Calibri" w:eastAsia="宋体" w:cs="Times New Roman"/>
      <w:kern w:val="2"/>
      <w:sz w:val="24"/>
      <w:szCs w:val="24"/>
      <w:lang w:val="en-US" w:eastAsia="zh-CN" w:bidi="ar-SA"/>
    </w:rPr>
  </w:style>
  <w:style w:type="paragraph" w:styleId="10">
    <w:name w:val="caption"/>
    <w:basedOn w:val="1"/>
    <w:next w:val="1"/>
    <w:unhideWhenUsed/>
    <w:qFormat/>
    <w:uiPriority w:val="0"/>
    <w:pPr>
      <w:keepNext/>
    </w:pPr>
    <w:rPr>
      <w:rFonts w:ascii="Arial" w:hAnsi="Arial" w:eastAsia="黑体"/>
      <w:sz w:val="20"/>
    </w:rPr>
  </w:style>
  <w:style w:type="paragraph" w:styleId="11">
    <w:name w:val="annotation text"/>
    <w:basedOn w:val="1"/>
    <w:link w:val="29"/>
    <w:qFormat/>
    <w:uiPriority w:val="0"/>
    <w:pPr>
      <w:jc w:val="left"/>
    </w:pPr>
  </w:style>
  <w:style w:type="paragraph" w:styleId="12">
    <w:name w:val="Body Text"/>
    <w:basedOn w:val="1"/>
    <w:unhideWhenUsed/>
    <w:qFormat/>
    <w:uiPriority w:val="99"/>
    <w:pPr>
      <w:spacing w:after="120"/>
    </w:pPr>
  </w:style>
  <w:style w:type="paragraph" w:styleId="13">
    <w:name w:val="toc 3"/>
    <w:basedOn w:val="1"/>
    <w:next w:val="1"/>
    <w:qFormat/>
    <w:uiPriority w:val="39"/>
    <w:pPr>
      <w:ind w:left="840" w:leftChars="400"/>
    </w:pPr>
  </w:style>
  <w:style w:type="paragraph" w:styleId="14">
    <w:name w:val="Balloon Text"/>
    <w:basedOn w:val="1"/>
    <w:link w:val="30"/>
    <w:qFormat/>
    <w:uiPriority w:val="0"/>
    <w:rPr>
      <w:sz w:val="18"/>
      <w:szCs w:val="18"/>
    </w:rPr>
  </w:style>
  <w:style w:type="paragraph" w:styleId="15">
    <w:name w:val="footer"/>
    <w:basedOn w:val="1"/>
    <w:link w:val="31"/>
    <w:qFormat/>
    <w:uiPriority w:val="99"/>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7">
    <w:name w:val="Subtitle"/>
    <w:basedOn w:val="1"/>
    <w:next w:val="1"/>
    <w:link w:val="32"/>
    <w:qFormat/>
    <w:uiPriority w:val="0"/>
    <w:pPr>
      <w:ind w:firstLine="200"/>
      <w:outlineLvl w:val="1"/>
    </w:pPr>
    <w:rPr>
      <w:rFonts w:eastAsiaTheme="majorEastAsia" w:cstheme="minorBidi"/>
      <w:b/>
      <w:bCs/>
      <w:kern w:val="28"/>
      <w:sz w:val="28"/>
      <w:szCs w:val="32"/>
    </w:rPr>
  </w:style>
  <w:style w:type="paragraph" w:styleId="18">
    <w:name w:val="footnote text"/>
    <w:basedOn w:val="1"/>
    <w:qFormat/>
    <w:uiPriority w:val="0"/>
    <w:pPr>
      <w:snapToGrid w:val="0"/>
      <w:jc w:val="left"/>
    </w:pPr>
    <w:rPr>
      <w:sz w:val="18"/>
    </w:rPr>
  </w:style>
  <w:style w:type="paragraph" w:styleId="19">
    <w:name w:val="toc 2"/>
    <w:basedOn w:val="1"/>
    <w:next w:val="1"/>
    <w:qFormat/>
    <w:uiPriority w:val="39"/>
    <w:pPr>
      <w:ind w:left="420" w:leftChars="200"/>
    </w:pPr>
  </w:style>
  <w:style w:type="paragraph" w:styleId="20">
    <w:name w:val="annotation subject"/>
    <w:basedOn w:val="11"/>
    <w:next w:val="11"/>
    <w:link w:val="33"/>
    <w:qFormat/>
    <w:uiPriority w:val="0"/>
    <w:rPr>
      <w:b/>
      <w:bCs/>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563C1" w:themeColor="hyperlink"/>
      <w:u w:val="single"/>
      <w14:textFill>
        <w14:solidFill>
          <w14:schemeClr w14:val="hlink"/>
        </w14:solidFill>
      </w14:textFill>
    </w:rPr>
  </w:style>
  <w:style w:type="character" w:styleId="25">
    <w:name w:val="annotation reference"/>
    <w:basedOn w:val="23"/>
    <w:qFormat/>
    <w:uiPriority w:val="0"/>
    <w:rPr>
      <w:sz w:val="21"/>
      <w:szCs w:val="21"/>
    </w:rPr>
  </w:style>
  <w:style w:type="character" w:styleId="26">
    <w:name w:val="footnote reference"/>
    <w:basedOn w:val="23"/>
    <w:qFormat/>
    <w:uiPriority w:val="0"/>
    <w:rPr>
      <w:vertAlign w:val="superscript"/>
    </w:rPr>
  </w:style>
  <w:style w:type="character" w:customStyle="1" w:styleId="27">
    <w:name w:val="标题 2 字符"/>
    <w:link w:val="5"/>
    <w:qFormat/>
    <w:uiPriority w:val="0"/>
    <w:rPr>
      <w:rFonts w:ascii="Arial" w:hAnsi="Arial" w:eastAsia="宋体"/>
      <w:b/>
      <w:sz w:val="28"/>
    </w:rPr>
  </w:style>
  <w:style w:type="character" w:customStyle="1" w:styleId="28">
    <w:name w:val="标题 5 字符"/>
    <w:basedOn w:val="23"/>
    <w:link w:val="8"/>
    <w:qFormat/>
    <w:uiPriority w:val="0"/>
    <w:rPr>
      <w:rFonts w:eastAsia="楷体"/>
      <w:b/>
      <w:bCs/>
      <w:kern w:val="2"/>
      <w:sz w:val="28"/>
      <w:szCs w:val="28"/>
    </w:rPr>
  </w:style>
  <w:style w:type="character" w:customStyle="1" w:styleId="29">
    <w:name w:val="批注文字 字符"/>
    <w:basedOn w:val="23"/>
    <w:link w:val="11"/>
    <w:qFormat/>
    <w:uiPriority w:val="0"/>
    <w:rPr>
      <w:kern w:val="2"/>
      <w:sz w:val="27"/>
      <w:szCs w:val="24"/>
    </w:rPr>
  </w:style>
  <w:style w:type="character" w:customStyle="1" w:styleId="30">
    <w:name w:val="批注框文本 字符"/>
    <w:basedOn w:val="23"/>
    <w:link w:val="14"/>
    <w:qFormat/>
    <w:uiPriority w:val="0"/>
    <w:rPr>
      <w:kern w:val="2"/>
      <w:sz w:val="18"/>
      <w:szCs w:val="18"/>
    </w:rPr>
  </w:style>
  <w:style w:type="character" w:customStyle="1" w:styleId="31">
    <w:name w:val="页脚 字符"/>
    <w:basedOn w:val="23"/>
    <w:link w:val="15"/>
    <w:qFormat/>
    <w:uiPriority w:val="99"/>
    <w:rPr>
      <w:kern w:val="2"/>
      <w:sz w:val="18"/>
      <w:szCs w:val="24"/>
    </w:rPr>
  </w:style>
  <w:style w:type="character" w:customStyle="1" w:styleId="32">
    <w:name w:val="副标题 字符"/>
    <w:basedOn w:val="23"/>
    <w:link w:val="17"/>
    <w:qFormat/>
    <w:uiPriority w:val="0"/>
    <w:rPr>
      <w:rFonts w:eastAsiaTheme="majorEastAsia" w:cstheme="minorBidi"/>
      <w:b/>
      <w:bCs/>
      <w:kern w:val="28"/>
      <w:sz w:val="28"/>
      <w:szCs w:val="32"/>
    </w:rPr>
  </w:style>
  <w:style w:type="character" w:customStyle="1" w:styleId="33">
    <w:name w:val="批注主题 字符"/>
    <w:basedOn w:val="29"/>
    <w:link w:val="20"/>
    <w:qFormat/>
    <w:uiPriority w:val="0"/>
    <w:rPr>
      <w:b/>
      <w:bCs/>
      <w:kern w:val="2"/>
      <w:sz w:val="27"/>
      <w:szCs w:val="24"/>
    </w:rPr>
  </w:style>
  <w:style w:type="paragraph" w:styleId="34">
    <w:name w:val="List Paragraph"/>
    <w:basedOn w:val="1"/>
    <w:qFormat/>
    <w:uiPriority w:val="34"/>
    <w:pPr>
      <w:ind w:firstLine="420"/>
    </w:pPr>
  </w:style>
  <w:style w:type="character" w:customStyle="1" w:styleId="35">
    <w:name w:val="font31"/>
    <w:basedOn w:val="23"/>
    <w:qFormat/>
    <w:uiPriority w:val="0"/>
    <w:rPr>
      <w:rFonts w:hint="default" w:ascii="Times New Roman" w:hAnsi="Times New Roman" w:cs="Times New Roman"/>
      <w:color w:val="000000"/>
      <w:sz w:val="20"/>
      <w:szCs w:val="20"/>
      <w:u w:val="none"/>
    </w:rPr>
  </w:style>
  <w:style w:type="character" w:customStyle="1" w:styleId="36">
    <w:name w:val="font01"/>
    <w:basedOn w:val="23"/>
    <w:qFormat/>
    <w:uiPriority w:val="0"/>
    <w:rPr>
      <w:rFonts w:hint="eastAsia" w:ascii="宋体" w:hAnsi="宋体" w:eastAsia="宋体" w:cs="宋体"/>
      <w:color w:val="000000"/>
      <w:sz w:val="20"/>
      <w:szCs w:val="20"/>
      <w:u w:val="none"/>
    </w:rPr>
  </w:style>
  <w:style w:type="paragraph" w:customStyle="1" w:styleId="37">
    <w:name w:val="WPSOffice手动目录 1"/>
    <w:qFormat/>
    <w:uiPriority w:val="0"/>
    <w:rPr>
      <w:rFonts w:asciiTheme="minorHAnsi" w:hAnsiTheme="minorHAnsi" w:eastAsiaTheme="minorEastAsia" w:cstheme="minorBidi"/>
      <w:lang w:val="en-US" w:eastAsia="zh-CN" w:bidi="ar-SA"/>
    </w:rPr>
  </w:style>
  <w:style w:type="paragraph" w:customStyle="1" w:styleId="38">
    <w:name w:val="WPSOffice手动目录 2"/>
    <w:qFormat/>
    <w:uiPriority w:val="0"/>
    <w:pPr>
      <w:ind w:left="200" w:leftChars="200"/>
    </w:pPr>
    <w:rPr>
      <w:rFonts w:asciiTheme="minorHAnsi" w:hAnsiTheme="minorHAnsi" w:eastAsiaTheme="minorEastAsia" w:cstheme="minorBidi"/>
      <w:lang w:val="en-US" w:eastAsia="zh-CN" w:bidi="ar-SA"/>
    </w:rPr>
  </w:style>
  <w:style w:type="character" w:customStyle="1" w:styleId="39">
    <w:name w:val="font11"/>
    <w:basedOn w:val="23"/>
    <w:qFormat/>
    <w:uiPriority w:val="0"/>
    <w:rPr>
      <w:rFonts w:hint="eastAsia" w:ascii="宋体" w:hAnsi="宋体" w:eastAsia="宋体" w:cs="宋体"/>
      <w:color w:val="000000"/>
      <w:sz w:val="20"/>
      <w:szCs w:val="20"/>
      <w:u w:val="none"/>
    </w:rPr>
  </w:style>
  <w:style w:type="paragraph" w:customStyle="1" w:styleId="40">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41">
    <w:name w:val="font21"/>
    <w:basedOn w:val="23"/>
    <w:qFormat/>
    <w:uiPriority w:val="0"/>
    <w:rPr>
      <w:rFonts w:hint="default" w:ascii="Times New Roman" w:hAnsi="Times New Roman" w:cs="Times New Roman"/>
      <w:color w:val="000000"/>
      <w:sz w:val="20"/>
      <w:szCs w:val="20"/>
      <w:u w:val="none"/>
    </w:rPr>
  </w:style>
  <w:style w:type="paragraph" w:customStyle="1" w:styleId="42">
    <w:name w:val="TOC 标题1"/>
    <w:basedOn w:val="3"/>
    <w:next w:val="1"/>
    <w:unhideWhenUsed/>
    <w:qFormat/>
    <w:uiPriority w:val="39"/>
    <w:pPr>
      <w:pageBreakBefore w:val="0"/>
      <w:spacing w:before="240" w:line="259" w:lineRule="auto"/>
      <w:ind w:firstLine="0" w:firstLineChars="0"/>
      <w:jc w:val="left"/>
      <w:outlineLvl w:val="9"/>
    </w:pPr>
    <w:rPr>
      <w:rFonts w:asciiTheme="majorHAnsi" w:hAnsiTheme="majorHAnsi" w:eastAsiaTheme="majorEastAsia" w:cstheme="majorBidi"/>
      <w:color w:val="2E75B6" w:themeColor="accent1" w:themeShade="BF"/>
      <w:kern w:val="0"/>
      <w:sz w:val="32"/>
      <w:szCs w:val="32"/>
    </w:rPr>
  </w:style>
  <w:style w:type="paragraph" w:customStyle="1" w:styleId="43">
    <w:name w:val="Body text|2"/>
    <w:basedOn w:val="1"/>
    <w:qFormat/>
    <w:uiPriority w:val="0"/>
    <w:pPr>
      <w:spacing w:after="4360"/>
      <w:jc w:val="center"/>
    </w:pPr>
    <w:rPr>
      <w:b/>
      <w:bCs/>
      <w:sz w:val="32"/>
      <w:szCs w:val="32"/>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png"/><Relationship Id="rId17" Type="http://schemas.openxmlformats.org/officeDocument/2006/relationships/theme" Target="theme/theme1.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0B86CE-54D2-45E4-8E83-C5545F14B46D}">
  <ds:schemaRefs/>
</ds:datastoreItem>
</file>

<file path=docProps/app.xml><?xml version="1.0" encoding="utf-8"?>
<Properties xmlns="http://schemas.openxmlformats.org/officeDocument/2006/extended-properties" xmlns:vt="http://schemas.openxmlformats.org/officeDocument/2006/docPropsVTypes">
  <Template>Normal.dotm</Template>
  <Pages>55</Pages>
  <Words>22972</Words>
  <Characters>24767</Characters>
  <Lines>175</Lines>
  <Paragraphs>49</Paragraphs>
  <TotalTime>0</TotalTime>
  <ScaleCrop>false</ScaleCrop>
  <LinksUpToDate>false</LinksUpToDate>
  <CharactersWithSpaces>24915</CharactersWithSpaces>
  <Application>WPS Office_11.1.0.13607_F1E327BC-269C-435d-A152-05C5408002CA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2019-12-15T14:37:00Z</dcterms:created>
  <dc:creator>ljq</dc:creator>
  <cp:lastModifiedBy>Administrator</cp:lastModifiedBy>
  <cp:lastPrinted>2022-12-06T12:02:00Z</cp:lastPrinted>
  <dcterms:modified xsi:type="dcterms:W3CDTF">2022-12-19T07:41:38Z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F5D840C605424B15830F2202DC569971</vt:lpwstr>
  </property>
</Properties>
</file>