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240" w:lineRule="auto"/>
        <w:ind w:firstLine="0" w:firstLineChars="0"/>
        <w:jc w:val="left"/>
        <w:rPr>
          <w:rFonts w:hint="default" w:ascii="Times New Roman" w:hAnsi="Times New Roman" w:cs="Times New Roman"/>
          <w:b w:val="0"/>
          <w:bCs w:val="0"/>
        </w:rPr>
      </w:pPr>
    </w:p>
    <w:p>
      <w:pPr>
        <w:pStyle w:val="2"/>
        <w:ind w:firstLine="540"/>
        <w:rPr>
          <w:rFonts w:hint="default" w:ascii="Times New Roman" w:hAnsi="Times New Roman" w:cs="Times New Roman"/>
          <w:b w:val="0"/>
          <w:bCs w:val="0"/>
        </w:rPr>
      </w:pPr>
    </w:p>
    <w:p>
      <w:pPr>
        <w:pStyle w:val="2"/>
        <w:ind w:firstLine="540"/>
        <w:rPr>
          <w:rFonts w:hint="default" w:ascii="Times New Roman" w:hAnsi="Times New Roman" w:cs="Times New Roman"/>
          <w:b w:val="0"/>
          <w:bCs w:val="0"/>
        </w:rPr>
      </w:pPr>
    </w:p>
    <w:p>
      <w:pPr>
        <w:ind w:firstLine="540"/>
        <w:rPr>
          <w:rFonts w:hint="default" w:ascii="Times New Roman" w:hAnsi="Times New Roman" w:cs="Times New Roman"/>
          <w:b w:val="0"/>
          <w:bCs w:val="0"/>
        </w:rPr>
      </w:pPr>
    </w:p>
    <w:p>
      <w:pPr>
        <w:pStyle w:val="2"/>
        <w:ind w:firstLine="540"/>
        <w:rPr>
          <w:rFonts w:hint="default" w:ascii="Times New Roman" w:hAnsi="Times New Roman" w:cs="Times New Roman"/>
          <w:b w:val="0"/>
          <w:bCs w:val="0"/>
        </w:rPr>
      </w:pPr>
    </w:p>
    <w:p>
      <w:pPr>
        <w:keepNext w:val="0"/>
        <w:keepLines w:val="0"/>
        <w:pageBreakBefore w:val="0"/>
        <w:widowControl w:val="0"/>
        <w:kinsoku/>
        <w:wordWrap/>
        <w:overflowPunct/>
        <w:topLinePunct w:val="0"/>
        <w:autoSpaceDE/>
        <w:autoSpaceDN/>
        <w:bidi w:val="0"/>
        <w:adjustRightInd/>
        <w:snapToGrid w:val="0"/>
        <w:spacing w:line="600" w:lineRule="exact"/>
        <w:ind w:firstLine="0" w:firstLineChars="0"/>
        <w:jc w:val="center"/>
        <w:textAlignment w:val="auto"/>
        <w:rPr>
          <w:rFonts w:hint="default" w:ascii="Times New Roman" w:hAnsi="Times New Roman" w:eastAsia="方正小标宋_GBK" w:cs="Times New Roman"/>
          <w:b w:val="0"/>
          <w:bCs w:val="0"/>
          <w:sz w:val="44"/>
          <w:szCs w:val="44"/>
        </w:rPr>
      </w:pPr>
      <w:r>
        <w:rPr>
          <w:rFonts w:hint="default" w:ascii="Times New Roman" w:hAnsi="Times New Roman" w:eastAsia="方正小标宋_GBK" w:cs="Times New Roman"/>
          <w:b w:val="0"/>
          <w:bCs w:val="0"/>
          <w:sz w:val="44"/>
          <w:szCs w:val="44"/>
        </w:rPr>
        <w:t>兖州区2021年机关事业单位基本养老保险基金支出项目绩效评价报告</w:t>
      </w:r>
    </w:p>
    <w:p>
      <w:pPr>
        <w:snapToGrid w:val="0"/>
        <w:spacing w:before="183" w:beforeLines="50"/>
        <w:ind w:firstLine="964"/>
        <w:rPr>
          <w:rFonts w:hint="default" w:ascii="Times New Roman" w:hAnsi="Times New Roman" w:eastAsia="黑体" w:cs="Times New Roman"/>
          <w:b w:val="0"/>
          <w:bCs w:val="0"/>
          <w:sz w:val="48"/>
        </w:rPr>
      </w:pPr>
    </w:p>
    <w:p>
      <w:pPr>
        <w:snapToGrid w:val="0"/>
        <w:spacing w:before="183" w:beforeLines="50"/>
        <w:ind w:firstLine="964"/>
        <w:rPr>
          <w:rFonts w:hint="default" w:ascii="Times New Roman" w:hAnsi="Times New Roman" w:eastAsia="黑体" w:cs="Times New Roman"/>
          <w:b w:val="0"/>
          <w:bCs w:val="0"/>
          <w:sz w:val="48"/>
        </w:rPr>
      </w:pPr>
    </w:p>
    <w:p>
      <w:pPr>
        <w:spacing w:before="183" w:beforeLines="50" w:after="183" w:afterLines="50"/>
        <w:ind w:firstLine="0" w:firstLineChars="0"/>
        <w:rPr>
          <w:rFonts w:hint="default" w:ascii="Times New Roman" w:hAnsi="Times New Roman" w:eastAsia="仿宋_GB2312" w:cs="Times New Roman"/>
          <w:b w:val="0"/>
          <w:bCs w:val="0"/>
          <w:sz w:val="30"/>
        </w:rPr>
      </w:pPr>
    </w:p>
    <w:p>
      <w:pPr>
        <w:spacing w:before="183" w:beforeLines="50" w:after="183" w:afterLines="50"/>
        <w:ind w:left="0" w:leftChars="0" w:firstLine="0" w:firstLineChars="0"/>
        <w:rPr>
          <w:rFonts w:hint="default" w:ascii="Times New Roman" w:hAnsi="Times New Roman" w:eastAsia="方正小标宋_GBK" w:cs="Times New Roman"/>
          <w:b w:val="0"/>
          <w:bCs w:val="0"/>
          <w:sz w:val="32"/>
          <w:szCs w:val="32"/>
        </w:rPr>
      </w:pPr>
    </w:p>
    <w:p>
      <w:pPr>
        <w:pStyle w:val="2"/>
        <w:rPr>
          <w:rFonts w:hint="default" w:ascii="Times New Roman" w:hAnsi="Times New Roman" w:eastAsia="方正小标宋_GBK" w:cs="Times New Roman"/>
          <w:b w:val="0"/>
          <w:bCs w:val="0"/>
          <w:sz w:val="32"/>
          <w:szCs w:val="32"/>
        </w:rPr>
      </w:pPr>
    </w:p>
    <w:p>
      <w:pPr>
        <w:rPr>
          <w:rFonts w:hint="default" w:ascii="Times New Roman" w:hAnsi="Times New Roman" w:cs="Times New Roman"/>
          <w:b w:val="0"/>
          <w:bCs w:val="0"/>
        </w:rPr>
      </w:pPr>
    </w:p>
    <w:p>
      <w:pPr>
        <w:spacing w:before="183" w:beforeLines="50" w:after="183" w:afterLines="50"/>
        <w:ind w:left="0" w:leftChars="0" w:firstLine="640" w:firstLineChars="200"/>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委托单位：</w:t>
      </w:r>
      <w:r>
        <w:rPr>
          <w:rFonts w:hint="default" w:ascii="Times New Roman" w:hAnsi="Times New Roman" w:eastAsia="黑体" w:cs="Times New Roman"/>
          <w:b w:val="0"/>
          <w:bCs w:val="0"/>
          <w:sz w:val="32"/>
          <w:szCs w:val="32"/>
          <w:u w:val="single"/>
        </w:rPr>
        <w:t>济宁市兖州区财政局</w:t>
      </w:r>
    </w:p>
    <w:p>
      <w:pPr>
        <w:spacing w:before="183" w:beforeLines="50" w:after="183" w:afterLines="50"/>
        <w:ind w:left="0" w:leftChars="0" w:firstLine="640" w:firstLineChars="200"/>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主管部门：</w:t>
      </w:r>
      <w:r>
        <w:rPr>
          <w:rFonts w:hint="default" w:ascii="Times New Roman" w:hAnsi="Times New Roman" w:eastAsia="黑体" w:cs="Times New Roman"/>
          <w:b w:val="0"/>
          <w:bCs w:val="0"/>
          <w:sz w:val="32"/>
          <w:szCs w:val="32"/>
          <w:u w:val="single"/>
        </w:rPr>
        <w:t>济宁市兖州区人力资源和社会保障局</w:t>
      </w:r>
    </w:p>
    <w:p>
      <w:pPr>
        <w:spacing w:before="183" w:beforeLines="50" w:after="183" w:afterLines="50"/>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评价机构：</w:t>
      </w:r>
      <w:r>
        <w:rPr>
          <w:rFonts w:hint="default" w:ascii="Times New Roman" w:hAnsi="Times New Roman" w:eastAsia="黑体" w:cs="Times New Roman"/>
          <w:b w:val="0"/>
          <w:bCs w:val="0"/>
          <w:sz w:val="32"/>
          <w:szCs w:val="32"/>
          <w:u w:val="single"/>
        </w:rPr>
        <w:t>山东德睿融投资咨询有限公司</w:t>
      </w:r>
    </w:p>
    <w:p>
      <w:pPr>
        <w:ind w:left="0" w:leftChars="0" w:firstLine="0" w:firstLineChars="0"/>
        <w:rPr>
          <w:rFonts w:hint="default" w:ascii="Times New Roman" w:hAnsi="Times New Roman" w:cs="Times New Roman"/>
          <w:b w:val="0"/>
          <w:bCs w:val="0"/>
        </w:rPr>
      </w:pPr>
    </w:p>
    <w:p>
      <w:pPr>
        <w:pStyle w:val="2"/>
        <w:rPr>
          <w:rFonts w:hint="default" w:ascii="Times New Roman" w:hAnsi="Times New Roman" w:cs="Times New Roman"/>
          <w:b w:val="0"/>
          <w:bCs w:val="0"/>
        </w:rPr>
      </w:pPr>
    </w:p>
    <w:p>
      <w:pPr>
        <w:tabs>
          <w:tab w:val="left" w:pos="2685"/>
        </w:tabs>
        <w:ind w:left="0" w:leftChars="0" w:firstLine="0" w:firstLineChars="0"/>
        <w:jc w:val="center"/>
        <w:rPr>
          <w:rFonts w:hint="default" w:ascii="Times New Roman" w:hAnsi="Times New Roman" w:cs="Times New Roman"/>
          <w:b w:val="0"/>
          <w:bCs w:val="0"/>
        </w:rPr>
      </w:pPr>
      <w:r>
        <w:rPr>
          <w:rFonts w:hint="default" w:ascii="Times New Roman" w:hAnsi="Times New Roman" w:eastAsia="方正小标宋_GBK" w:cs="Times New Roman"/>
          <w:b w:val="0"/>
          <w:bCs w:val="0"/>
          <w:sz w:val="30"/>
        </w:rPr>
        <w:t>2022年</w:t>
      </w:r>
      <w:r>
        <w:rPr>
          <w:rFonts w:hint="default" w:ascii="Times New Roman" w:hAnsi="Times New Roman" w:eastAsia="方正小标宋_GBK" w:cs="Times New Roman"/>
          <w:b w:val="0"/>
          <w:bCs w:val="0"/>
          <w:sz w:val="30"/>
          <w:lang w:val="en-US" w:eastAsia="zh-CN"/>
        </w:rPr>
        <w:t>9</w:t>
      </w:r>
      <w:r>
        <w:rPr>
          <w:rFonts w:hint="default" w:ascii="Times New Roman" w:hAnsi="Times New Roman" w:eastAsia="方正小标宋_GBK" w:cs="Times New Roman"/>
          <w:b w:val="0"/>
          <w:bCs w:val="0"/>
          <w:sz w:val="30"/>
        </w:rPr>
        <w:t>月</w:t>
      </w:r>
    </w:p>
    <w:p>
      <w:pPr>
        <w:ind w:firstLine="540"/>
        <w:rPr>
          <w:rFonts w:hint="default" w:ascii="Times New Roman" w:hAnsi="Times New Roman" w:cs="Times New Roman"/>
          <w:b w:val="0"/>
          <w:bCs w:val="0"/>
        </w:rPr>
        <w:sectPr>
          <w:headerReference r:id="rId7" w:type="first"/>
          <w:footerReference r:id="rId10" w:type="first"/>
          <w:headerReference r:id="rId5" w:type="default"/>
          <w:footerReference r:id="rId8" w:type="default"/>
          <w:headerReference r:id="rId6" w:type="even"/>
          <w:footerReference r:id="rId9" w:type="even"/>
          <w:footnotePr>
            <w:numFmt w:val="decimalEnclosedCircleChinese"/>
            <w:numRestart w:val="eachPage"/>
          </w:footnotePr>
          <w:pgSz w:w="11905" w:h="16838"/>
          <w:pgMar w:top="1587" w:right="1587" w:bottom="1587" w:left="1587" w:header="851" w:footer="992" w:gutter="0"/>
          <w:pgNumType w:fmt="numberInDash" w:start="1"/>
          <w:cols w:space="0" w:num="1"/>
          <w:titlePg/>
          <w:rtlGutter w:val="0"/>
          <w:docGrid w:type="lines" w:linePitch="367" w:charSpace="0"/>
        </w:sectPr>
      </w:pPr>
    </w:p>
    <w:sdt>
      <w:sdtPr>
        <w:rPr>
          <w:rFonts w:hint="default" w:ascii="Times New Roman" w:hAnsi="Times New Roman" w:eastAsia="方正小标宋简体" w:cs="Times New Roman"/>
          <w:b w:val="0"/>
          <w:bCs w:val="0"/>
          <w:kern w:val="0"/>
          <w:sz w:val="44"/>
          <w:szCs w:val="44"/>
          <w:lang w:val="en-US" w:eastAsia="zh-CN"/>
        </w:rPr>
        <w:id w:val="147464281"/>
        <w15:color w:val="DBDBDB"/>
        <w:docPartObj>
          <w:docPartGallery w:val="Table of Contents"/>
          <w:docPartUnique/>
        </w:docPartObj>
      </w:sdtPr>
      <w:sdtEndPr>
        <w:rPr>
          <w:rFonts w:hint="default" w:ascii="Times New Roman" w:hAnsi="Times New Roman" w:eastAsia="宋体" w:cs="Times New Roman"/>
          <w:b w:val="0"/>
          <w:bCs w:val="0"/>
          <w:kern w:val="2"/>
          <w:sz w:val="27"/>
          <w:szCs w:val="24"/>
          <w:lang w:val="en-US" w:eastAsia="zh-CN" w:bidi="ar-SA"/>
        </w:rPr>
      </w:sdtEndPr>
      <w:sdtContent>
        <w:p>
          <w:pPr>
            <w:widowControl/>
            <w:overflowPunct w:val="0"/>
            <w:autoSpaceDE w:val="0"/>
            <w:autoSpaceDN w:val="0"/>
            <w:adjustRightInd w:val="0"/>
            <w:spacing w:line="600" w:lineRule="exact"/>
            <w:ind w:firstLine="0" w:firstLineChars="0"/>
            <w:jc w:val="center"/>
            <w:textAlignment w:val="baseline"/>
            <w:rPr>
              <w:rFonts w:hint="default" w:ascii="Times New Roman" w:hAnsi="Times New Roman" w:eastAsia="方正小标宋简体" w:cs="Times New Roman"/>
              <w:b w:val="0"/>
              <w:bCs w:val="0"/>
              <w:kern w:val="0"/>
              <w:sz w:val="44"/>
              <w:szCs w:val="44"/>
            </w:rPr>
          </w:pPr>
          <w:r>
            <w:rPr>
              <w:rFonts w:hint="default" w:ascii="Times New Roman" w:hAnsi="Times New Roman" w:eastAsia="方正小标宋简体" w:cs="Times New Roman"/>
              <w:b w:val="0"/>
              <w:bCs w:val="0"/>
              <w:kern w:val="0"/>
              <w:sz w:val="44"/>
              <w:szCs w:val="44"/>
            </w:rPr>
            <w:t>目</w:t>
          </w:r>
          <w:r>
            <w:rPr>
              <w:rFonts w:hint="default" w:ascii="Times New Roman" w:hAnsi="Times New Roman" w:eastAsia="方正小标宋简体" w:cs="Times New Roman"/>
              <w:b w:val="0"/>
              <w:bCs w:val="0"/>
              <w:kern w:val="0"/>
              <w:sz w:val="44"/>
              <w:szCs w:val="44"/>
              <w:lang w:val="en-US" w:eastAsia="zh-CN"/>
            </w:rPr>
            <w:t xml:space="preserve">  </w:t>
          </w:r>
          <w:r>
            <w:rPr>
              <w:rFonts w:hint="default" w:ascii="Times New Roman" w:hAnsi="Times New Roman" w:eastAsia="方正小标宋简体" w:cs="Times New Roman"/>
              <w:b w:val="0"/>
              <w:bCs w:val="0"/>
              <w:kern w:val="0"/>
              <w:sz w:val="44"/>
              <w:szCs w:val="44"/>
            </w:rPr>
            <w:t>录</w:t>
          </w:r>
        </w:p>
        <w:p>
          <w:pPr>
            <w:pStyle w:val="2"/>
            <w:tabs>
              <w:tab w:val="right" w:leader="dot" w:pos="8732"/>
            </w:tabs>
            <w:rPr>
              <w:rFonts w:hint="default" w:ascii="Times New Roman" w:hAnsi="Times New Roman" w:eastAsia="黑体" w:cs="Times New Roman"/>
              <w:b w:val="0"/>
              <w:bCs w:val="0"/>
              <w:kern w:val="0"/>
              <w:sz w:val="32"/>
              <w:szCs w:val="32"/>
              <w:lang w:val="zh-CN" w:eastAsia="zh-CN" w:bidi="ar-SA"/>
            </w:rPr>
          </w:pP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TOC \o "1-2" \h \u </w:instrText>
          </w:r>
          <w:r>
            <w:rPr>
              <w:rFonts w:hint="default" w:ascii="Times New Roman" w:hAnsi="Times New Roman" w:cs="Times New Roman"/>
              <w:b w:val="0"/>
              <w:bCs w:val="0"/>
            </w:rPr>
            <w:fldChar w:fldCharType="separate"/>
          </w:r>
          <w:r>
            <w:rPr>
              <w:rFonts w:hint="default" w:ascii="Times New Roman" w:hAnsi="Times New Roman" w:eastAsia="黑体" w:cs="Times New Roman"/>
              <w:b w:val="0"/>
              <w:bCs w:val="0"/>
              <w:kern w:val="0"/>
              <w:sz w:val="32"/>
              <w:szCs w:val="32"/>
              <w:lang w:val="zh-CN" w:eastAsia="zh-CN" w:bidi="ar-SA"/>
            </w:rPr>
            <w:fldChar w:fldCharType="begin"/>
          </w:r>
          <w:r>
            <w:rPr>
              <w:rFonts w:hint="default" w:ascii="Times New Roman" w:hAnsi="Times New Roman" w:eastAsia="黑体" w:cs="Times New Roman"/>
              <w:b w:val="0"/>
              <w:bCs w:val="0"/>
              <w:kern w:val="0"/>
              <w:sz w:val="32"/>
              <w:szCs w:val="32"/>
              <w:lang w:val="zh-CN" w:eastAsia="zh-CN" w:bidi="ar-SA"/>
            </w:rPr>
            <w:instrText xml:space="preserve"> HYPERLINK \l _Toc21635 </w:instrText>
          </w:r>
          <w:r>
            <w:rPr>
              <w:rFonts w:hint="default" w:ascii="Times New Roman" w:hAnsi="Times New Roman" w:eastAsia="黑体" w:cs="Times New Roman"/>
              <w:b w:val="0"/>
              <w:bCs w:val="0"/>
              <w:kern w:val="0"/>
              <w:sz w:val="32"/>
              <w:szCs w:val="32"/>
              <w:lang w:val="zh-CN" w:eastAsia="zh-CN" w:bidi="ar-SA"/>
            </w:rPr>
            <w:fldChar w:fldCharType="separate"/>
          </w:r>
          <w:r>
            <w:rPr>
              <w:rFonts w:hint="default" w:ascii="Times New Roman" w:hAnsi="Times New Roman" w:eastAsia="黑体" w:cs="Times New Roman"/>
              <w:b w:val="0"/>
              <w:bCs w:val="0"/>
              <w:kern w:val="0"/>
              <w:sz w:val="32"/>
              <w:szCs w:val="32"/>
              <w:lang w:val="zh-CN" w:eastAsia="zh-CN" w:bidi="ar-SA"/>
            </w:rPr>
            <w:t>摘  要</w:t>
          </w:r>
          <w:r>
            <w:rPr>
              <w:rFonts w:hint="default" w:ascii="Times New Roman" w:hAnsi="Times New Roman" w:eastAsia="黑体" w:cs="Times New Roman"/>
              <w:b w:val="0"/>
              <w:bCs w:val="0"/>
              <w:kern w:val="0"/>
              <w:sz w:val="32"/>
              <w:szCs w:val="32"/>
              <w:lang w:val="en-US" w:eastAsia="zh-CN" w:bidi="ar-SA"/>
            </w:rPr>
            <w:tab/>
          </w:r>
          <w:r>
            <w:rPr>
              <w:rFonts w:hint="default" w:ascii="Times New Roman" w:hAnsi="Times New Roman" w:eastAsia="黑体" w:cs="Times New Roman"/>
              <w:b w:val="0"/>
              <w:bCs w:val="0"/>
              <w:kern w:val="0"/>
              <w:sz w:val="32"/>
              <w:szCs w:val="32"/>
              <w:lang w:val="en-US" w:eastAsia="zh-CN" w:bidi="ar-SA"/>
            </w:rPr>
            <w:t>1</w:t>
          </w:r>
          <w:r>
            <w:rPr>
              <w:rFonts w:hint="default" w:ascii="Times New Roman" w:hAnsi="Times New Roman" w:eastAsia="黑体" w:cs="Times New Roman"/>
              <w:b w:val="0"/>
              <w:bCs w:val="0"/>
              <w:kern w:val="0"/>
              <w:sz w:val="32"/>
              <w:szCs w:val="32"/>
              <w:lang w:val="zh-CN" w:eastAsia="zh-CN" w:bidi="ar-SA"/>
            </w:rPr>
            <w:fldChar w:fldCharType="end"/>
          </w:r>
        </w:p>
        <w:p>
          <w:pPr>
            <w:pStyle w:val="2"/>
            <w:tabs>
              <w:tab w:val="right" w:leader="dot" w:pos="8732"/>
            </w:tabs>
            <w:rPr>
              <w:rFonts w:hint="default" w:ascii="Times New Roman" w:hAnsi="Times New Roman" w:eastAsia="黑体" w:cs="Times New Roman"/>
              <w:b w:val="0"/>
              <w:bCs w:val="0"/>
              <w:kern w:val="0"/>
              <w:sz w:val="32"/>
              <w:szCs w:val="32"/>
              <w:lang w:val="zh-CN" w:eastAsia="zh-CN" w:bidi="ar-SA"/>
            </w:rPr>
          </w:pPr>
          <w:r>
            <w:rPr>
              <w:rFonts w:hint="default" w:ascii="Times New Roman" w:hAnsi="Times New Roman" w:eastAsia="黑体" w:cs="Times New Roman"/>
              <w:b w:val="0"/>
              <w:bCs w:val="0"/>
              <w:kern w:val="0"/>
              <w:sz w:val="32"/>
              <w:szCs w:val="32"/>
              <w:lang w:val="zh-CN" w:eastAsia="zh-CN" w:bidi="ar-SA"/>
            </w:rPr>
            <w:fldChar w:fldCharType="begin"/>
          </w:r>
          <w:r>
            <w:rPr>
              <w:rFonts w:hint="default" w:ascii="Times New Roman" w:hAnsi="Times New Roman" w:eastAsia="黑体" w:cs="Times New Roman"/>
              <w:b w:val="0"/>
              <w:bCs w:val="0"/>
              <w:kern w:val="0"/>
              <w:sz w:val="32"/>
              <w:szCs w:val="32"/>
              <w:lang w:val="zh-CN" w:eastAsia="zh-CN" w:bidi="ar-SA"/>
            </w:rPr>
            <w:instrText xml:space="preserve"> HYPERLINK \l _Toc28479 </w:instrText>
          </w:r>
          <w:r>
            <w:rPr>
              <w:rFonts w:hint="default" w:ascii="Times New Roman" w:hAnsi="Times New Roman" w:eastAsia="黑体" w:cs="Times New Roman"/>
              <w:b w:val="0"/>
              <w:bCs w:val="0"/>
              <w:kern w:val="0"/>
              <w:sz w:val="32"/>
              <w:szCs w:val="32"/>
              <w:lang w:val="zh-CN" w:eastAsia="zh-CN" w:bidi="ar-SA"/>
            </w:rPr>
            <w:fldChar w:fldCharType="separate"/>
          </w:r>
          <w:r>
            <w:rPr>
              <w:rFonts w:hint="default" w:ascii="Times New Roman" w:hAnsi="Times New Roman" w:eastAsia="黑体" w:cs="Times New Roman"/>
              <w:b w:val="0"/>
              <w:bCs w:val="0"/>
              <w:kern w:val="0"/>
              <w:sz w:val="32"/>
              <w:szCs w:val="32"/>
              <w:lang w:val="zh-CN" w:eastAsia="zh-CN" w:bidi="ar-SA"/>
            </w:rPr>
            <w:t>一、项目基本情况</w:t>
          </w:r>
          <w:r>
            <w:rPr>
              <w:rFonts w:hint="default" w:ascii="Times New Roman" w:hAnsi="Times New Roman" w:eastAsia="黑体" w:cs="Times New Roman"/>
              <w:b w:val="0"/>
              <w:bCs w:val="0"/>
              <w:kern w:val="0"/>
              <w:sz w:val="32"/>
              <w:szCs w:val="32"/>
              <w:lang w:val="en-US" w:eastAsia="zh-CN" w:bidi="ar-SA"/>
            </w:rPr>
            <w:tab/>
          </w:r>
          <w:r>
            <w:rPr>
              <w:rFonts w:hint="default" w:ascii="Times New Roman" w:hAnsi="Times New Roman" w:eastAsia="黑体" w:cs="Times New Roman"/>
              <w:b w:val="0"/>
              <w:bCs w:val="0"/>
              <w:kern w:val="0"/>
              <w:sz w:val="32"/>
              <w:szCs w:val="32"/>
              <w:lang w:val="en-US" w:eastAsia="zh-CN" w:bidi="ar-SA"/>
            </w:rPr>
            <w:t>1</w:t>
          </w:r>
          <w:r>
            <w:rPr>
              <w:rFonts w:hint="default" w:ascii="Times New Roman" w:hAnsi="Times New Roman" w:eastAsia="黑体" w:cs="Times New Roman"/>
              <w:b w:val="0"/>
              <w:bCs w:val="0"/>
              <w:kern w:val="0"/>
              <w:sz w:val="32"/>
              <w:szCs w:val="32"/>
              <w:lang w:val="zh-CN" w:eastAsia="zh-CN" w:bidi="ar-SA"/>
            </w:rPr>
            <w:fldChar w:fldCharType="end"/>
          </w:r>
        </w:p>
        <w:p>
          <w:pPr>
            <w:pStyle w:val="19"/>
            <w:tabs>
              <w:tab w:val="right" w:leader="dot" w:pos="8732"/>
            </w:tabs>
            <w:rPr>
              <w:rFonts w:hint="default" w:ascii="Times New Roman" w:hAnsi="Times New Roman" w:eastAsia="楷体_GB2312" w:cs="Times New Roman"/>
              <w:b w:val="0"/>
              <w:bCs w:val="0"/>
              <w:kern w:val="0"/>
              <w:sz w:val="32"/>
              <w:szCs w:val="32"/>
              <w:lang w:val="en-US" w:eastAsia="zh-CN" w:bidi="ar-SA"/>
            </w:rPr>
          </w:pPr>
          <w:r>
            <w:rPr>
              <w:rFonts w:hint="default" w:ascii="Times New Roman" w:hAnsi="Times New Roman" w:eastAsia="楷体_GB2312" w:cs="Times New Roman"/>
              <w:b w:val="0"/>
              <w:bCs w:val="0"/>
              <w:kern w:val="0"/>
              <w:sz w:val="32"/>
              <w:szCs w:val="32"/>
              <w:lang w:val="en-US" w:eastAsia="zh-CN" w:bidi="ar-SA"/>
            </w:rPr>
            <w:fldChar w:fldCharType="begin"/>
          </w:r>
          <w:r>
            <w:rPr>
              <w:rFonts w:hint="default" w:ascii="Times New Roman" w:hAnsi="Times New Roman" w:eastAsia="楷体_GB2312" w:cs="Times New Roman"/>
              <w:b w:val="0"/>
              <w:bCs w:val="0"/>
              <w:kern w:val="0"/>
              <w:sz w:val="32"/>
              <w:szCs w:val="32"/>
              <w:lang w:val="en-US" w:eastAsia="zh-CN" w:bidi="ar-SA"/>
            </w:rPr>
            <w:instrText xml:space="preserve"> HYPERLINK \l _Toc1694 </w:instrText>
          </w:r>
          <w:r>
            <w:rPr>
              <w:rFonts w:hint="default" w:ascii="Times New Roman" w:hAnsi="Times New Roman" w:eastAsia="楷体_GB2312" w:cs="Times New Roman"/>
              <w:b w:val="0"/>
              <w:bCs w:val="0"/>
              <w:kern w:val="0"/>
              <w:sz w:val="32"/>
              <w:szCs w:val="32"/>
              <w:lang w:val="en-US" w:eastAsia="zh-CN" w:bidi="ar-SA"/>
            </w:rPr>
            <w:fldChar w:fldCharType="separate"/>
          </w:r>
          <w:r>
            <w:rPr>
              <w:rFonts w:hint="default" w:ascii="Times New Roman" w:hAnsi="Times New Roman" w:eastAsia="楷体_GB2312" w:cs="Times New Roman"/>
              <w:b w:val="0"/>
              <w:bCs w:val="0"/>
              <w:kern w:val="0"/>
              <w:sz w:val="32"/>
              <w:szCs w:val="32"/>
              <w:lang w:val="en-US" w:eastAsia="zh-CN" w:bidi="ar-SA"/>
            </w:rPr>
            <w:t>（一）项目立项</w:t>
          </w:r>
          <w:r>
            <w:rPr>
              <w:rFonts w:hint="default" w:ascii="Times New Roman" w:hAnsi="Times New Roman" w:eastAsia="楷体_GB2312" w:cs="Times New Roman"/>
              <w:b w:val="0"/>
              <w:bCs w:val="0"/>
              <w:kern w:val="0"/>
              <w:sz w:val="32"/>
              <w:szCs w:val="32"/>
              <w:lang w:val="en-US" w:eastAsia="zh-CN" w:bidi="ar-SA"/>
            </w:rPr>
            <w:tab/>
          </w:r>
          <w:r>
            <w:rPr>
              <w:rFonts w:hint="default" w:ascii="Times New Roman" w:hAnsi="Times New Roman" w:eastAsia="楷体_GB2312" w:cs="Times New Roman"/>
              <w:b w:val="0"/>
              <w:bCs w:val="0"/>
              <w:kern w:val="0"/>
              <w:sz w:val="32"/>
              <w:szCs w:val="32"/>
              <w:lang w:val="en-US" w:eastAsia="zh-CN" w:bidi="ar-SA"/>
            </w:rPr>
            <w:t>1</w:t>
          </w:r>
          <w:r>
            <w:rPr>
              <w:rFonts w:hint="default" w:ascii="Times New Roman" w:hAnsi="Times New Roman" w:eastAsia="楷体_GB2312" w:cs="Times New Roman"/>
              <w:b w:val="0"/>
              <w:bCs w:val="0"/>
              <w:kern w:val="0"/>
              <w:sz w:val="32"/>
              <w:szCs w:val="32"/>
              <w:lang w:val="en-US" w:eastAsia="zh-CN" w:bidi="ar-SA"/>
            </w:rPr>
            <w:fldChar w:fldCharType="end"/>
          </w:r>
        </w:p>
        <w:p>
          <w:pPr>
            <w:pStyle w:val="19"/>
            <w:tabs>
              <w:tab w:val="right" w:leader="dot" w:pos="8732"/>
            </w:tabs>
            <w:rPr>
              <w:rFonts w:hint="default" w:ascii="Times New Roman" w:hAnsi="Times New Roman" w:eastAsia="楷体_GB2312" w:cs="Times New Roman"/>
              <w:b w:val="0"/>
              <w:bCs w:val="0"/>
              <w:kern w:val="0"/>
              <w:sz w:val="32"/>
              <w:szCs w:val="32"/>
              <w:lang w:val="en-US" w:eastAsia="zh-CN" w:bidi="ar-SA"/>
            </w:rPr>
          </w:pPr>
          <w:r>
            <w:rPr>
              <w:rFonts w:hint="default" w:ascii="Times New Roman" w:hAnsi="Times New Roman" w:eastAsia="楷体_GB2312" w:cs="Times New Roman"/>
              <w:b w:val="0"/>
              <w:bCs w:val="0"/>
              <w:kern w:val="0"/>
              <w:sz w:val="32"/>
              <w:szCs w:val="32"/>
              <w:lang w:val="en-US" w:eastAsia="zh-CN" w:bidi="ar-SA"/>
            </w:rPr>
            <w:fldChar w:fldCharType="begin"/>
          </w:r>
          <w:r>
            <w:rPr>
              <w:rFonts w:hint="default" w:ascii="Times New Roman" w:hAnsi="Times New Roman" w:eastAsia="楷体_GB2312" w:cs="Times New Roman"/>
              <w:b w:val="0"/>
              <w:bCs w:val="0"/>
              <w:kern w:val="0"/>
              <w:sz w:val="32"/>
              <w:szCs w:val="32"/>
              <w:lang w:val="en-US" w:eastAsia="zh-CN" w:bidi="ar-SA"/>
            </w:rPr>
            <w:instrText xml:space="preserve"> HYPERLINK \l _Toc12109 </w:instrText>
          </w:r>
          <w:r>
            <w:rPr>
              <w:rFonts w:hint="default" w:ascii="Times New Roman" w:hAnsi="Times New Roman" w:eastAsia="楷体_GB2312" w:cs="Times New Roman"/>
              <w:b w:val="0"/>
              <w:bCs w:val="0"/>
              <w:kern w:val="0"/>
              <w:sz w:val="32"/>
              <w:szCs w:val="32"/>
              <w:lang w:val="en-US" w:eastAsia="zh-CN" w:bidi="ar-SA"/>
            </w:rPr>
            <w:fldChar w:fldCharType="separate"/>
          </w:r>
          <w:r>
            <w:rPr>
              <w:rFonts w:hint="default" w:ascii="Times New Roman" w:hAnsi="Times New Roman" w:eastAsia="楷体_GB2312" w:cs="Times New Roman"/>
              <w:b w:val="0"/>
              <w:bCs w:val="0"/>
              <w:kern w:val="0"/>
              <w:sz w:val="32"/>
              <w:szCs w:val="32"/>
              <w:lang w:val="en-US" w:eastAsia="zh-CN" w:bidi="ar-SA"/>
            </w:rPr>
            <w:t>（二）项目预算</w:t>
          </w:r>
          <w:r>
            <w:rPr>
              <w:rFonts w:hint="default" w:ascii="Times New Roman" w:hAnsi="Times New Roman" w:eastAsia="楷体_GB2312" w:cs="Times New Roman"/>
              <w:b w:val="0"/>
              <w:bCs w:val="0"/>
              <w:kern w:val="0"/>
              <w:sz w:val="32"/>
              <w:szCs w:val="32"/>
              <w:lang w:val="en-US" w:eastAsia="zh-CN" w:bidi="ar-SA"/>
            </w:rPr>
            <w:tab/>
          </w:r>
          <w:r>
            <w:rPr>
              <w:rFonts w:hint="default" w:ascii="Times New Roman" w:hAnsi="Times New Roman" w:eastAsia="楷体_GB2312" w:cs="Times New Roman"/>
              <w:b w:val="0"/>
              <w:bCs w:val="0"/>
              <w:kern w:val="0"/>
              <w:sz w:val="32"/>
              <w:szCs w:val="32"/>
              <w:lang w:val="en-US" w:eastAsia="zh-CN" w:bidi="ar-SA"/>
            </w:rPr>
            <w:t>3</w:t>
          </w:r>
          <w:r>
            <w:rPr>
              <w:rFonts w:hint="default" w:ascii="Times New Roman" w:hAnsi="Times New Roman" w:eastAsia="楷体_GB2312" w:cs="Times New Roman"/>
              <w:b w:val="0"/>
              <w:bCs w:val="0"/>
              <w:kern w:val="0"/>
              <w:sz w:val="32"/>
              <w:szCs w:val="32"/>
              <w:lang w:val="en-US" w:eastAsia="zh-CN" w:bidi="ar-SA"/>
            </w:rPr>
            <w:fldChar w:fldCharType="end"/>
          </w:r>
        </w:p>
        <w:p>
          <w:pPr>
            <w:pStyle w:val="19"/>
            <w:tabs>
              <w:tab w:val="right" w:leader="dot" w:pos="8732"/>
            </w:tabs>
            <w:rPr>
              <w:rFonts w:hint="default" w:ascii="Times New Roman" w:hAnsi="Times New Roman" w:eastAsia="楷体_GB2312" w:cs="Times New Roman"/>
              <w:b w:val="0"/>
              <w:bCs w:val="0"/>
              <w:kern w:val="0"/>
              <w:sz w:val="32"/>
              <w:szCs w:val="32"/>
              <w:lang w:val="en-US" w:eastAsia="zh-CN" w:bidi="ar-SA"/>
            </w:rPr>
          </w:pPr>
          <w:r>
            <w:rPr>
              <w:rFonts w:hint="default" w:ascii="Times New Roman" w:hAnsi="Times New Roman" w:eastAsia="楷体_GB2312" w:cs="Times New Roman"/>
              <w:b w:val="0"/>
              <w:bCs w:val="0"/>
              <w:kern w:val="0"/>
              <w:sz w:val="32"/>
              <w:szCs w:val="32"/>
              <w:lang w:val="en-US" w:eastAsia="zh-CN" w:bidi="ar-SA"/>
            </w:rPr>
            <w:fldChar w:fldCharType="begin"/>
          </w:r>
          <w:r>
            <w:rPr>
              <w:rFonts w:hint="default" w:ascii="Times New Roman" w:hAnsi="Times New Roman" w:eastAsia="楷体_GB2312" w:cs="Times New Roman"/>
              <w:b w:val="0"/>
              <w:bCs w:val="0"/>
              <w:kern w:val="0"/>
              <w:sz w:val="32"/>
              <w:szCs w:val="32"/>
              <w:lang w:val="en-US" w:eastAsia="zh-CN" w:bidi="ar-SA"/>
            </w:rPr>
            <w:instrText xml:space="preserve"> HYPERLINK \l _Toc3664 </w:instrText>
          </w:r>
          <w:r>
            <w:rPr>
              <w:rFonts w:hint="default" w:ascii="Times New Roman" w:hAnsi="Times New Roman" w:eastAsia="楷体_GB2312" w:cs="Times New Roman"/>
              <w:b w:val="0"/>
              <w:bCs w:val="0"/>
              <w:kern w:val="0"/>
              <w:sz w:val="32"/>
              <w:szCs w:val="32"/>
              <w:lang w:val="en-US" w:eastAsia="zh-CN" w:bidi="ar-SA"/>
            </w:rPr>
            <w:fldChar w:fldCharType="separate"/>
          </w:r>
          <w:r>
            <w:rPr>
              <w:rFonts w:hint="default" w:ascii="Times New Roman" w:hAnsi="Times New Roman" w:eastAsia="楷体_GB2312" w:cs="Times New Roman"/>
              <w:b w:val="0"/>
              <w:bCs w:val="0"/>
              <w:kern w:val="0"/>
              <w:sz w:val="32"/>
              <w:szCs w:val="32"/>
              <w:lang w:val="en-US" w:eastAsia="zh-CN" w:bidi="ar-SA"/>
            </w:rPr>
            <w:t>（三）项目计划实施内容</w:t>
          </w:r>
          <w:r>
            <w:rPr>
              <w:rFonts w:hint="default" w:ascii="Times New Roman" w:hAnsi="Times New Roman" w:eastAsia="楷体_GB2312" w:cs="Times New Roman"/>
              <w:b w:val="0"/>
              <w:bCs w:val="0"/>
              <w:kern w:val="0"/>
              <w:sz w:val="32"/>
              <w:szCs w:val="32"/>
              <w:lang w:val="en-US" w:eastAsia="zh-CN" w:bidi="ar-SA"/>
            </w:rPr>
            <w:tab/>
          </w:r>
          <w:r>
            <w:rPr>
              <w:rFonts w:hint="default" w:ascii="Times New Roman" w:hAnsi="Times New Roman" w:eastAsia="楷体_GB2312" w:cs="Times New Roman"/>
              <w:b w:val="0"/>
              <w:bCs w:val="0"/>
              <w:kern w:val="0"/>
              <w:sz w:val="32"/>
              <w:szCs w:val="32"/>
              <w:lang w:val="en-US" w:eastAsia="zh-CN" w:bidi="ar-SA"/>
            </w:rPr>
            <w:t>3</w:t>
          </w:r>
          <w:r>
            <w:rPr>
              <w:rFonts w:hint="default" w:ascii="Times New Roman" w:hAnsi="Times New Roman" w:eastAsia="楷体_GB2312" w:cs="Times New Roman"/>
              <w:b w:val="0"/>
              <w:bCs w:val="0"/>
              <w:kern w:val="0"/>
              <w:sz w:val="32"/>
              <w:szCs w:val="32"/>
              <w:lang w:val="en-US" w:eastAsia="zh-CN" w:bidi="ar-SA"/>
            </w:rPr>
            <w:fldChar w:fldCharType="end"/>
          </w:r>
        </w:p>
        <w:p>
          <w:pPr>
            <w:pStyle w:val="19"/>
            <w:tabs>
              <w:tab w:val="right" w:leader="dot" w:pos="8732"/>
            </w:tabs>
            <w:rPr>
              <w:rFonts w:hint="default" w:ascii="Times New Roman" w:hAnsi="Times New Roman" w:eastAsia="楷体_GB2312" w:cs="Times New Roman"/>
              <w:b w:val="0"/>
              <w:bCs w:val="0"/>
              <w:kern w:val="0"/>
              <w:sz w:val="32"/>
              <w:szCs w:val="32"/>
              <w:lang w:val="en-US" w:eastAsia="zh-CN" w:bidi="ar-SA"/>
            </w:rPr>
          </w:pPr>
          <w:r>
            <w:rPr>
              <w:rFonts w:hint="default" w:ascii="Times New Roman" w:hAnsi="Times New Roman" w:eastAsia="楷体_GB2312" w:cs="Times New Roman"/>
              <w:b w:val="0"/>
              <w:bCs w:val="0"/>
              <w:kern w:val="0"/>
              <w:sz w:val="32"/>
              <w:szCs w:val="32"/>
              <w:lang w:val="en-US" w:eastAsia="zh-CN" w:bidi="ar-SA"/>
            </w:rPr>
            <w:fldChar w:fldCharType="begin"/>
          </w:r>
          <w:r>
            <w:rPr>
              <w:rFonts w:hint="default" w:ascii="Times New Roman" w:hAnsi="Times New Roman" w:eastAsia="楷体_GB2312" w:cs="Times New Roman"/>
              <w:b w:val="0"/>
              <w:bCs w:val="0"/>
              <w:kern w:val="0"/>
              <w:sz w:val="32"/>
              <w:szCs w:val="32"/>
              <w:lang w:val="en-US" w:eastAsia="zh-CN" w:bidi="ar-SA"/>
            </w:rPr>
            <w:instrText xml:space="preserve"> HYPERLINK \l _Toc13765 </w:instrText>
          </w:r>
          <w:r>
            <w:rPr>
              <w:rFonts w:hint="default" w:ascii="Times New Roman" w:hAnsi="Times New Roman" w:eastAsia="楷体_GB2312" w:cs="Times New Roman"/>
              <w:b w:val="0"/>
              <w:bCs w:val="0"/>
              <w:kern w:val="0"/>
              <w:sz w:val="32"/>
              <w:szCs w:val="32"/>
              <w:lang w:val="en-US" w:eastAsia="zh-CN" w:bidi="ar-SA"/>
            </w:rPr>
            <w:fldChar w:fldCharType="separate"/>
          </w:r>
          <w:r>
            <w:rPr>
              <w:rFonts w:hint="default" w:ascii="Times New Roman" w:hAnsi="Times New Roman" w:eastAsia="楷体_GB2312" w:cs="Times New Roman"/>
              <w:b w:val="0"/>
              <w:bCs w:val="0"/>
              <w:kern w:val="0"/>
              <w:sz w:val="32"/>
              <w:szCs w:val="32"/>
              <w:lang w:val="en-US" w:eastAsia="zh-CN" w:bidi="ar-SA"/>
            </w:rPr>
            <w:t>（四）项目组织管理</w:t>
          </w:r>
          <w:r>
            <w:rPr>
              <w:rFonts w:hint="default" w:ascii="Times New Roman" w:hAnsi="Times New Roman" w:eastAsia="楷体_GB2312" w:cs="Times New Roman"/>
              <w:b w:val="0"/>
              <w:bCs w:val="0"/>
              <w:kern w:val="0"/>
              <w:sz w:val="32"/>
              <w:szCs w:val="32"/>
              <w:lang w:val="en-US" w:eastAsia="zh-CN" w:bidi="ar-SA"/>
            </w:rPr>
            <w:tab/>
          </w:r>
          <w:r>
            <w:rPr>
              <w:rFonts w:hint="default" w:ascii="Times New Roman" w:hAnsi="Times New Roman" w:eastAsia="楷体_GB2312" w:cs="Times New Roman"/>
              <w:b w:val="0"/>
              <w:bCs w:val="0"/>
              <w:kern w:val="0"/>
              <w:sz w:val="32"/>
              <w:szCs w:val="32"/>
              <w:lang w:val="en-US" w:eastAsia="zh-CN" w:bidi="ar-SA"/>
            </w:rPr>
            <w:t>4</w:t>
          </w:r>
          <w:r>
            <w:rPr>
              <w:rFonts w:hint="default" w:ascii="Times New Roman" w:hAnsi="Times New Roman" w:eastAsia="楷体_GB2312" w:cs="Times New Roman"/>
              <w:b w:val="0"/>
              <w:bCs w:val="0"/>
              <w:kern w:val="0"/>
              <w:sz w:val="32"/>
              <w:szCs w:val="32"/>
              <w:lang w:val="en-US" w:eastAsia="zh-CN" w:bidi="ar-SA"/>
            </w:rPr>
            <w:fldChar w:fldCharType="end"/>
          </w:r>
        </w:p>
        <w:p>
          <w:pPr>
            <w:pStyle w:val="2"/>
            <w:tabs>
              <w:tab w:val="right" w:leader="dot" w:pos="8732"/>
            </w:tabs>
            <w:rPr>
              <w:rFonts w:hint="default" w:ascii="Times New Roman" w:hAnsi="Times New Roman" w:eastAsia="黑体" w:cs="Times New Roman"/>
              <w:b w:val="0"/>
              <w:bCs w:val="0"/>
              <w:kern w:val="0"/>
              <w:sz w:val="32"/>
              <w:szCs w:val="32"/>
              <w:lang w:val="en-US" w:eastAsia="zh-CN" w:bidi="ar-SA"/>
            </w:rPr>
          </w:pPr>
          <w:r>
            <w:rPr>
              <w:rFonts w:hint="default" w:ascii="Times New Roman" w:hAnsi="Times New Roman" w:eastAsia="黑体" w:cs="Times New Roman"/>
              <w:b w:val="0"/>
              <w:bCs w:val="0"/>
              <w:kern w:val="0"/>
              <w:sz w:val="32"/>
              <w:szCs w:val="32"/>
              <w:lang w:val="en-US" w:eastAsia="zh-CN" w:bidi="ar-SA"/>
            </w:rPr>
            <w:fldChar w:fldCharType="begin"/>
          </w:r>
          <w:r>
            <w:rPr>
              <w:rFonts w:hint="default" w:ascii="Times New Roman" w:hAnsi="Times New Roman" w:eastAsia="黑体" w:cs="Times New Roman"/>
              <w:b w:val="0"/>
              <w:bCs w:val="0"/>
              <w:kern w:val="0"/>
              <w:sz w:val="32"/>
              <w:szCs w:val="32"/>
              <w:lang w:val="en-US" w:eastAsia="zh-CN" w:bidi="ar-SA"/>
            </w:rPr>
            <w:instrText xml:space="preserve"> HYPERLINK \l _Toc17113 </w:instrText>
          </w:r>
          <w:r>
            <w:rPr>
              <w:rFonts w:hint="default" w:ascii="Times New Roman" w:hAnsi="Times New Roman" w:eastAsia="黑体" w:cs="Times New Roman"/>
              <w:b w:val="0"/>
              <w:bCs w:val="0"/>
              <w:kern w:val="0"/>
              <w:sz w:val="32"/>
              <w:szCs w:val="32"/>
              <w:lang w:val="en-US" w:eastAsia="zh-CN" w:bidi="ar-SA"/>
            </w:rPr>
            <w:fldChar w:fldCharType="separate"/>
          </w:r>
          <w:r>
            <w:rPr>
              <w:rFonts w:hint="default" w:ascii="Times New Roman" w:hAnsi="Times New Roman" w:eastAsia="黑体" w:cs="Times New Roman"/>
              <w:b w:val="0"/>
              <w:bCs w:val="0"/>
              <w:kern w:val="0"/>
              <w:sz w:val="32"/>
              <w:szCs w:val="32"/>
              <w:lang w:val="en-US" w:eastAsia="zh-CN" w:bidi="ar-SA"/>
            </w:rPr>
            <w:t>二、项目绩效目标</w:t>
          </w:r>
          <w:r>
            <w:rPr>
              <w:rFonts w:hint="default" w:ascii="Times New Roman" w:hAnsi="Times New Roman" w:eastAsia="黑体" w:cs="Times New Roman"/>
              <w:b w:val="0"/>
              <w:bCs w:val="0"/>
              <w:kern w:val="0"/>
              <w:sz w:val="32"/>
              <w:szCs w:val="32"/>
              <w:lang w:val="en-US" w:eastAsia="zh-CN" w:bidi="ar-SA"/>
            </w:rPr>
            <w:tab/>
          </w:r>
          <w:r>
            <w:rPr>
              <w:rFonts w:hint="default" w:ascii="Times New Roman" w:hAnsi="Times New Roman" w:eastAsia="黑体" w:cs="Times New Roman"/>
              <w:b w:val="0"/>
              <w:bCs w:val="0"/>
              <w:kern w:val="0"/>
              <w:sz w:val="32"/>
              <w:szCs w:val="32"/>
              <w:lang w:val="en-US" w:eastAsia="zh-CN" w:bidi="ar-SA"/>
            </w:rPr>
            <w:t>6</w:t>
          </w:r>
          <w:r>
            <w:rPr>
              <w:rFonts w:hint="default" w:ascii="Times New Roman" w:hAnsi="Times New Roman" w:eastAsia="黑体" w:cs="Times New Roman"/>
              <w:b w:val="0"/>
              <w:bCs w:val="0"/>
              <w:kern w:val="0"/>
              <w:sz w:val="32"/>
              <w:szCs w:val="32"/>
              <w:lang w:val="en-US" w:eastAsia="zh-CN" w:bidi="ar-SA"/>
            </w:rPr>
            <w:fldChar w:fldCharType="end"/>
          </w:r>
        </w:p>
        <w:p>
          <w:pPr>
            <w:pStyle w:val="19"/>
            <w:tabs>
              <w:tab w:val="right" w:leader="dot" w:pos="8732"/>
            </w:tabs>
            <w:rPr>
              <w:rFonts w:hint="default" w:ascii="Times New Roman" w:hAnsi="Times New Roman" w:eastAsia="楷体_GB2312" w:cs="Times New Roman"/>
              <w:b w:val="0"/>
              <w:bCs w:val="0"/>
              <w:kern w:val="0"/>
              <w:sz w:val="32"/>
              <w:szCs w:val="32"/>
              <w:lang w:val="en-US" w:eastAsia="zh-CN" w:bidi="ar-SA"/>
            </w:rPr>
          </w:pPr>
          <w:r>
            <w:rPr>
              <w:rFonts w:hint="default" w:ascii="Times New Roman" w:hAnsi="Times New Roman" w:eastAsia="楷体_GB2312" w:cs="Times New Roman"/>
              <w:b w:val="0"/>
              <w:bCs w:val="0"/>
              <w:kern w:val="0"/>
              <w:sz w:val="32"/>
              <w:szCs w:val="32"/>
              <w:lang w:val="en-US" w:eastAsia="zh-CN" w:bidi="ar-SA"/>
            </w:rPr>
            <w:fldChar w:fldCharType="begin"/>
          </w:r>
          <w:r>
            <w:rPr>
              <w:rFonts w:hint="default" w:ascii="Times New Roman" w:hAnsi="Times New Roman" w:eastAsia="楷体_GB2312" w:cs="Times New Roman"/>
              <w:b w:val="0"/>
              <w:bCs w:val="0"/>
              <w:kern w:val="0"/>
              <w:sz w:val="32"/>
              <w:szCs w:val="32"/>
              <w:lang w:val="en-US" w:eastAsia="zh-CN" w:bidi="ar-SA"/>
            </w:rPr>
            <w:instrText xml:space="preserve"> HYPERLINK \l _Toc24182 </w:instrText>
          </w:r>
          <w:r>
            <w:rPr>
              <w:rFonts w:hint="default" w:ascii="Times New Roman" w:hAnsi="Times New Roman" w:eastAsia="楷体_GB2312" w:cs="Times New Roman"/>
              <w:b w:val="0"/>
              <w:bCs w:val="0"/>
              <w:kern w:val="0"/>
              <w:sz w:val="32"/>
              <w:szCs w:val="32"/>
              <w:lang w:val="en-US" w:eastAsia="zh-CN" w:bidi="ar-SA"/>
            </w:rPr>
            <w:fldChar w:fldCharType="separate"/>
          </w:r>
          <w:r>
            <w:rPr>
              <w:rFonts w:hint="default" w:ascii="Times New Roman" w:hAnsi="Times New Roman" w:eastAsia="楷体_GB2312" w:cs="Times New Roman"/>
              <w:b w:val="0"/>
              <w:bCs w:val="0"/>
              <w:kern w:val="0"/>
              <w:sz w:val="32"/>
              <w:szCs w:val="32"/>
              <w:lang w:val="en-US" w:eastAsia="zh-CN" w:bidi="ar-SA"/>
            </w:rPr>
            <w:t>（一）总体绩效目标</w:t>
          </w:r>
          <w:r>
            <w:rPr>
              <w:rFonts w:hint="default" w:ascii="Times New Roman" w:hAnsi="Times New Roman" w:eastAsia="楷体_GB2312" w:cs="Times New Roman"/>
              <w:b w:val="0"/>
              <w:bCs w:val="0"/>
              <w:kern w:val="0"/>
              <w:sz w:val="32"/>
              <w:szCs w:val="32"/>
              <w:lang w:val="en-US" w:eastAsia="zh-CN" w:bidi="ar-SA"/>
            </w:rPr>
            <w:tab/>
          </w:r>
          <w:r>
            <w:rPr>
              <w:rFonts w:hint="default" w:ascii="Times New Roman" w:hAnsi="Times New Roman" w:eastAsia="楷体_GB2312" w:cs="Times New Roman"/>
              <w:b w:val="0"/>
              <w:bCs w:val="0"/>
              <w:kern w:val="0"/>
              <w:sz w:val="32"/>
              <w:szCs w:val="32"/>
              <w:lang w:val="en-US" w:eastAsia="zh-CN" w:bidi="ar-SA"/>
            </w:rPr>
            <w:t>6</w:t>
          </w:r>
          <w:r>
            <w:rPr>
              <w:rFonts w:hint="default" w:ascii="Times New Roman" w:hAnsi="Times New Roman" w:eastAsia="楷体_GB2312" w:cs="Times New Roman"/>
              <w:b w:val="0"/>
              <w:bCs w:val="0"/>
              <w:kern w:val="0"/>
              <w:sz w:val="32"/>
              <w:szCs w:val="32"/>
              <w:lang w:val="en-US" w:eastAsia="zh-CN" w:bidi="ar-SA"/>
            </w:rPr>
            <w:fldChar w:fldCharType="end"/>
          </w:r>
        </w:p>
        <w:p>
          <w:pPr>
            <w:pStyle w:val="19"/>
            <w:tabs>
              <w:tab w:val="right" w:leader="dot" w:pos="8732"/>
            </w:tabs>
            <w:rPr>
              <w:rFonts w:hint="default" w:ascii="Times New Roman" w:hAnsi="Times New Roman" w:eastAsia="楷体_GB2312" w:cs="Times New Roman"/>
              <w:b w:val="0"/>
              <w:bCs w:val="0"/>
              <w:kern w:val="0"/>
              <w:sz w:val="32"/>
              <w:szCs w:val="32"/>
              <w:lang w:val="en-US" w:eastAsia="zh-CN" w:bidi="ar-SA"/>
            </w:rPr>
          </w:pPr>
          <w:r>
            <w:rPr>
              <w:rFonts w:hint="default" w:ascii="Times New Roman" w:hAnsi="Times New Roman" w:eastAsia="楷体_GB2312" w:cs="Times New Roman"/>
              <w:b w:val="0"/>
              <w:bCs w:val="0"/>
              <w:kern w:val="0"/>
              <w:sz w:val="32"/>
              <w:szCs w:val="32"/>
              <w:lang w:val="en-US" w:eastAsia="zh-CN" w:bidi="ar-SA"/>
            </w:rPr>
            <w:fldChar w:fldCharType="begin"/>
          </w:r>
          <w:r>
            <w:rPr>
              <w:rFonts w:hint="default" w:ascii="Times New Roman" w:hAnsi="Times New Roman" w:eastAsia="楷体_GB2312" w:cs="Times New Roman"/>
              <w:b w:val="0"/>
              <w:bCs w:val="0"/>
              <w:kern w:val="0"/>
              <w:sz w:val="32"/>
              <w:szCs w:val="32"/>
              <w:lang w:val="en-US" w:eastAsia="zh-CN" w:bidi="ar-SA"/>
            </w:rPr>
            <w:instrText xml:space="preserve"> HYPERLINK \l _Toc7038 </w:instrText>
          </w:r>
          <w:r>
            <w:rPr>
              <w:rFonts w:hint="default" w:ascii="Times New Roman" w:hAnsi="Times New Roman" w:eastAsia="楷体_GB2312" w:cs="Times New Roman"/>
              <w:b w:val="0"/>
              <w:bCs w:val="0"/>
              <w:kern w:val="0"/>
              <w:sz w:val="32"/>
              <w:szCs w:val="32"/>
              <w:lang w:val="en-US" w:eastAsia="zh-CN" w:bidi="ar-SA"/>
            </w:rPr>
            <w:fldChar w:fldCharType="separate"/>
          </w:r>
          <w:r>
            <w:rPr>
              <w:rFonts w:hint="default" w:ascii="Times New Roman" w:hAnsi="Times New Roman" w:eastAsia="楷体_GB2312" w:cs="Times New Roman"/>
              <w:b w:val="0"/>
              <w:bCs w:val="0"/>
              <w:kern w:val="0"/>
              <w:sz w:val="32"/>
              <w:szCs w:val="32"/>
              <w:lang w:val="en-US" w:eastAsia="zh-CN" w:bidi="ar-SA"/>
            </w:rPr>
            <w:t>（二）年度绩效目标</w:t>
          </w:r>
          <w:r>
            <w:rPr>
              <w:rFonts w:hint="default" w:ascii="Times New Roman" w:hAnsi="Times New Roman" w:eastAsia="楷体_GB2312" w:cs="Times New Roman"/>
              <w:b w:val="0"/>
              <w:bCs w:val="0"/>
              <w:kern w:val="0"/>
              <w:sz w:val="32"/>
              <w:szCs w:val="32"/>
              <w:lang w:val="en-US" w:eastAsia="zh-CN" w:bidi="ar-SA"/>
            </w:rPr>
            <w:tab/>
          </w:r>
          <w:r>
            <w:rPr>
              <w:rFonts w:hint="default" w:ascii="Times New Roman" w:hAnsi="Times New Roman" w:eastAsia="楷体_GB2312" w:cs="Times New Roman"/>
              <w:b w:val="0"/>
              <w:bCs w:val="0"/>
              <w:kern w:val="0"/>
              <w:sz w:val="32"/>
              <w:szCs w:val="32"/>
              <w:lang w:val="en-US" w:eastAsia="zh-CN" w:bidi="ar-SA"/>
            </w:rPr>
            <w:t>6</w:t>
          </w:r>
          <w:r>
            <w:rPr>
              <w:rFonts w:hint="default" w:ascii="Times New Roman" w:hAnsi="Times New Roman" w:eastAsia="楷体_GB2312" w:cs="Times New Roman"/>
              <w:b w:val="0"/>
              <w:bCs w:val="0"/>
              <w:kern w:val="0"/>
              <w:sz w:val="32"/>
              <w:szCs w:val="32"/>
              <w:lang w:val="en-US" w:eastAsia="zh-CN" w:bidi="ar-SA"/>
            </w:rPr>
            <w:fldChar w:fldCharType="end"/>
          </w:r>
        </w:p>
        <w:p>
          <w:pPr>
            <w:pStyle w:val="2"/>
            <w:tabs>
              <w:tab w:val="right" w:leader="dot" w:pos="8732"/>
            </w:tabs>
            <w:rPr>
              <w:rFonts w:hint="default" w:ascii="Times New Roman" w:hAnsi="Times New Roman" w:eastAsia="黑体" w:cs="Times New Roman"/>
              <w:b w:val="0"/>
              <w:bCs w:val="0"/>
              <w:kern w:val="0"/>
              <w:sz w:val="32"/>
              <w:szCs w:val="32"/>
              <w:lang w:val="en-US" w:eastAsia="zh-CN" w:bidi="ar-SA"/>
            </w:rPr>
          </w:pPr>
          <w:r>
            <w:rPr>
              <w:rFonts w:hint="default" w:ascii="Times New Roman" w:hAnsi="Times New Roman" w:eastAsia="黑体" w:cs="Times New Roman"/>
              <w:b w:val="0"/>
              <w:bCs w:val="0"/>
              <w:kern w:val="0"/>
              <w:sz w:val="32"/>
              <w:szCs w:val="32"/>
              <w:lang w:val="en-US" w:eastAsia="zh-CN" w:bidi="ar-SA"/>
            </w:rPr>
            <w:fldChar w:fldCharType="begin"/>
          </w:r>
          <w:r>
            <w:rPr>
              <w:rFonts w:hint="default" w:ascii="Times New Roman" w:hAnsi="Times New Roman" w:eastAsia="黑体" w:cs="Times New Roman"/>
              <w:b w:val="0"/>
              <w:bCs w:val="0"/>
              <w:kern w:val="0"/>
              <w:sz w:val="32"/>
              <w:szCs w:val="32"/>
              <w:lang w:val="en-US" w:eastAsia="zh-CN" w:bidi="ar-SA"/>
            </w:rPr>
            <w:instrText xml:space="preserve"> HYPERLINK \l _Toc27516 </w:instrText>
          </w:r>
          <w:r>
            <w:rPr>
              <w:rFonts w:hint="default" w:ascii="Times New Roman" w:hAnsi="Times New Roman" w:eastAsia="黑体" w:cs="Times New Roman"/>
              <w:b w:val="0"/>
              <w:bCs w:val="0"/>
              <w:kern w:val="0"/>
              <w:sz w:val="32"/>
              <w:szCs w:val="32"/>
              <w:lang w:val="en-US" w:eastAsia="zh-CN" w:bidi="ar-SA"/>
            </w:rPr>
            <w:fldChar w:fldCharType="separate"/>
          </w:r>
          <w:r>
            <w:rPr>
              <w:rFonts w:hint="default" w:ascii="Times New Roman" w:hAnsi="Times New Roman" w:eastAsia="黑体" w:cs="Times New Roman"/>
              <w:b w:val="0"/>
              <w:bCs w:val="0"/>
              <w:kern w:val="0"/>
              <w:sz w:val="32"/>
              <w:szCs w:val="32"/>
              <w:lang w:val="en-US" w:eastAsia="zh-CN" w:bidi="ar-SA"/>
            </w:rPr>
            <w:t>三、评价基本情况</w:t>
          </w:r>
          <w:r>
            <w:rPr>
              <w:rFonts w:hint="default" w:ascii="Times New Roman" w:hAnsi="Times New Roman" w:eastAsia="黑体" w:cs="Times New Roman"/>
              <w:b w:val="0"/>
              <w:bCs w:val="0"/>
              <w:kern w:val="0"/>
              <w:sz w:val="32"/>
              <w:szCs w:val="32"/>
              <w:lang w:val="en-US" w:eastAsia="zh-CN" w:bidi="ar-SA"/>
            </w:rPr>
            <w:tab/>
          </w:r>
          <w:r>
            <w:rPr>
              <w:rFonts w:hint="default" w:ascii="Times New Roman" w:hAnsi="Times New Roman" w:eastAsia="黑体" w:cs="Times New Roman"/>
              <w:b w:val="0"/>
              <w:bCs w:val="0"/>
              <w:kern w:val="0"/>
              <w:sz w:val="32"/>
              <w:szCs w:val="32"/>
              <w:lang w:val="en-US" w:eastAsia="zh-CN" w:bidi="ar-SA"/>
            </w:rPr>
            <w:t>6</w:t>
          </w:r>
          <w:r>
            <w:rPr>
              <w:rFonts w:hint="default" w:ascii="Times New Roman" w:hAnsi="Times New Roman" w:eastAsia="黑体" w:cs="Times New Roman"/>
              <w:b w:val="0"/>
              <w:bCs w:val="0"/>
              <w:kern w:val="0"/>
              <w:sz w:val="32"/>
              <w:szCs w:val="32"/>
              <w:lang w:val="en-US" w:eastAsia="zh-CN" w:bidi="ar-SA"/>
            </w:rPr>
            <w:fldChar w:fldCharType="end"/>
          </w:r>
        </w:p>
        <w:p>
          <w:pPr>
            <w:pStyle w:val="19"/>
            <w:tabs>
              <w:tab w:val="right" w:leader="dot" w:pos="8732"/>
            </w:tabs>
            <w:rPr>
              <w:rFonts w:hint="default" w:ascii="Times New Roman" w:hAnsi="Times New Roman" w:eastAsia="楷体_GB2312" w:cs="Times New Roman"/>
              <w:b w:val="0"/>
              <w:bCs w:val="0"/>
              <w:kern w:val="0"/>
              <w:sz w:val="32"/>
              <w:szCs w:val="32"/>
              <w:lang w:val="en-US" w:eastAsia="zh-CN" w:bidi="ar-SA"/>
            </w:rPr>
          </w:pPr>
          <w:r>
            <w:rPr>
              <w:rFonts w:hint="default" w:ascii="Times New Roman" w:hAnsi="Times New Roman" w:eastAsia="楷体_GB2312" w:cs="Times New Roman"/>
              <w:b w:val="0"/>
              <w:bCs w:val="0"/>
              <w:kern w:val="0"/>
              <w:sz w:val="32"/>
              <w:szCs w:val="32"/>
              <w:lang w:val="en-US" w:eastAsia="zh-CN" w:bidi="ar-SA"/>
            </w:rPr>
            <w:fldChar w:fldCharType="begin"/>
          </w:r>
          <w:r>
            <w:rPr>
              <w:rFonts w:hint="default" w:ascii="Times New Roman" w:hAnsi="Times New Roman" w:eastAsia="楷体_GB2312" w:cs="Times New Roman"/>
              <w:b w:val="0"/>
              <w:bCs w:val="0"/>
              <w:kern w:val="0"/>
              <w:sz w:val="32"/>
              <w:szCs w:val="32"/>
              <w:lang w:val="en-US" w:eastAsia="zh-CN" w:bidi="ar-SA"/>
            </w:rPr>
            <w:instrText xml:space="preserve"> HYPERLINK \l _Toc559 </w:instrText>
          </w:r>
          <w:r>
            <w:rPr>
              <w:rFonts w:hint="default" w:ascii="Times New Roman" w:hAnsi="Times New Roman" w:eastAsia="楷体_GB2312" w:cs="Times New Roman"/>
              <w:b w:val="0"/>
              <w:bCs w:val="0"/>
              <w:kern w:val="0"/>
              <w:sz w:val="32"/>
              <w:szCs w:val="32"/>
              <w:lang w:val="en-US" w:eastAsia="zh-CN" w:bidi="ar-SA"/>
            </w:rPr>
            <w:fldChar w:fldCharType="separate"/>
          </w:r>
          <w:r>
            <w:rPr>
              <w:rFonts w:hint="default" w:ascii="Times New Roman" w:hAnsi="Times New Roman" w:eastAsia="楷体_GB2312" w:cs="Times New Roman"/>
              <w:b w:val="0"/>
              <w:bCs w:val="0"/>
              <w:kern w:val="0"/>
              <w:sz w:val="32"/>
              <w:szCs w:val="32"/>
              <w:lang w:val="en-US" w:eastAsia="zh-CN" w:bidi="ar-SA"/>
            </w:rPr>
            <w:t>（一）评价目的</w:t>
          </w:r>
          <w:r>
            <w:rPr>
              <w:rFonts w:hint="default" w:ascii="Times New Roman" w:hAnsi="Times New Roman" w:eastAsia="楷体_GB2312" w:cs="Times New Roman"/>
              <w:b w:val="0"/>
              <w:bCs w:val="0"/>
              <w:kern w:val="0"/>
              <w:sz w:val="32"/>
              <w:szCs w:val="32"/>
              <w:lang w:val="en-US" w:eastAsia="zh-CN" w:bidi="ar-SA"/>
            </w:rPr>
            <w:tab/>
          </w:r>
          <w:r>
            <w:rPr>
              <w:rFonts w:hint="default" w:ascii="Times New Roman" w:hAnsi="Times New Roman" w:eastAsia="楷体_GB2312" w:cs="Times New Roman"/>
              <w:b w:val="0"/>
              <w:bCs w:val="0"/>
              <w:kern w:val="0"/>
              <w:sz w:val="32"/>
              <w:szCs w:val="32"/>
              <w:lang w:val="en-US" w:eastAsia="zh-CN" w:bidi="ar-SA"/>
            </w:rPr>
            <w:t>6</w:t>
          </w:r>
          <w:r>
            <w:rPr>
              <w:rFonts w:hint="default" w:ascii="Times New Roman" w:hAnsi="Times New Roman" w:eastAsia="楷体_GB2312" w:cs="Times New Roman"/>
              <w:b w:val="0"/>
              <w:bCs w:val="0"/>
              <w:kern w:val="0"/>
              <w:sz w:val="32"/>
              <w:szCs w:val="32"/>
              <w:lang w:val="en-US" w:eastAsia="zh-CN" w:bidi="ar-SA"/>
            </w:rPr>
            <w:fldChar w:fldCharType="end"/>
          </w:r>
        </w:p>
        <w:p>
          <w:pPr>
            <w:pStyle w:val="19"/>
            <w:tabs>
              <w:tab w:val="right" w:leader="dot" w:pos="8732"/>
            </w:tabs>
            <w:rPr>
              <w:rFonts w:hint="default" w:ascii="Times New Roman" w:hAnsi="Times New Roman" w:eastAsia="楷体_GB2312" w:cs="Times New Roman"/>
              <w:b w:val="0"/>
              <w:bCs w:val="0"/>
              <w:kern w:val="0"/>
              <w:sz w:val="32"/>
              <w:szCs w:val="32"/>
              <w:lang w:val="en-US" w:eastAsia="zh-CN" w:bidi="ar-SA"/>
            </w:rPr>
          </w:pPr>
          <w:r>
            <w:rPr>
              <w:rFonts w:hint="default" w:ascii="Times New Roman" w:hAnsi="Times New Roman" w:eastAsia="楷体_GB2312" w:cs="Times New Roman"/>
              <w:b w:val="0"/>
              <w:bCs w:val="0"/>
              <w:kern w:val="0"/>
              <w:sz w:val="32"/>
              <w:szCs w:val="32"/>
              <w:lang w:val="en-US" w:eastAsia="zh-CN" w:bidi="ar-SA"/>
            </w:rPr>
            <w:fldChar w:fldCharType="begin"/>
          </w:r>
          <w:r>
            <w:rPr>
              <w:rFonts w:hint="default" w:ascii="Times New Roman" w:hAnsi="Times New Roman" w:eastAsia="楷体_GB2312" w:cs="Times New Roman"/>
              <w:b w:val="0"/>
              <w:bCs w:val="0"/>
              <w:kern w:val="0"/>
              <w:sz w:val="32"/>
              <w:szCs w:val="32"/>
              <w:lang w:val="en-US" w:eastAsia="zh-CN" w:bidi="ar-SA"/>
            </w:rPr>
            <w:instrText xml:space="preserve"> HYPERLINK \l _Toc5696 </w:instrText>
          </w:r>
          <w:r>
            <w:rPr>
              <w:rFonts w:hint="default" w:ascii="Times New Roman" w:hAnsi="Times New Roman" w:eastAsia="楷体_GB2312" w:cs="Times New Roman"/>
              <w:b w:val="0"/>
              <w:bCs w:val="0"/>
              <w:kern w:val="0"/>
              <w:sz w:val="32"/>
              <w:szCs w:val="32"/>
              <w:lang w:val="en-US" w:eastAsia="zh-CN" w:bidi="ar-SA"/>
            </w:rPr>
            <w:fldChar w:fldCharType="separate"/>
          </w:r>
          <w:r>
            <w:rPr>
              <w:rFonts w:hint="default" w:ascii="Times New Roman" w:hAnsi="Times New Roman" w:eastAsia="楷体_GB2312" w:cs="Times New Roman"/>
              <w:b w:val="0"/>
              <w:bCs w:val="0"/>
              <w:kern w:val="0"/>
              <w:sz w:val="32"/>
              <w:szCs w:val="32"/>
              <w:lang w:val="en-US" w:eastAsia="zh-CN" w:bidi="ar-SA"/>
            </w:rPr>
            <w:t>（二）评价对象与范围</w:t>
          </w:r>
          <w:r>
            <w:rPr>
              <w:rFonts w:hint="default" w:ascii="Times New Roman" w:hAnsi="Times New Roman" w:eastAsia="楷体_GB2312" w:cs="Times New Roman"/>
              <w:b w:val="0"/>
              <w:bCs w:val="0"/>
              <w:kern w:val="0"/>
              <w:sz w:val="32"/>
              <w:szCs w:val="32"/>
              <w:lang w:val="en-US" w:eastAsia="zh-CN" w:bidi="ar-SA"/>
            </w:rPr>
            <w:tab/>
          </w:r>
          <w:r>
            <w:rPr>
              <w:rFonts w:hint="default" w:ascii="Times New Roman" w:hAnsi="Times New Roman" w:eastAsia="楷体_GB2312" w:cs="Times New Roman"/>
              <w:b w:val="0"/>
              <w:bCs w:val="0"/>
              <w:kern w:val="0"/>
              <w:sz w:val="32"/>
              <w:szCs w:val="32"/>
              <w:lang w:val="en-US" w:eastAsia="zh-CN" w:bidi="ar-SA"/>
            </w:rPr>
            <w:t>7</w:t>
          </w:r>
          <w:r>
            <w:rPr>
              <w:rFonts w:hint="default" w:ascii="Times New Roman" w:hAnsi="Times New Roman" w:eastAsia="楷体_GB2312" w:cs="Times New Roman"/>
              <w:b w:val="0"/>
              <w:bCs w:val="0"/>
              <w:kern w:val="0"/>
              <w:sz w:val="32"/>
              <w:szCs w:val="32"/>
              <w:lang w:val="en-US" w:eastAsia="zh-CN" w:bidi="ar-SA"/>
            </w:rPr>
            <w:fldChar w:fldCharType="end"/>
          </w:r>
        </w:p>
        <w:p>
          <w:pPr>
            <w:pStyle w:val="19"/>
            <w:tabs>
              <w:tab w:val="right" w:leader="dot" w:pos="8732"/>
            </w:tabs>
            <w:rPr>
              <w:rFonts w:hint="default" w:ascii="Times New Roman" w:hAnsi="Times New Roman" w:eastAsia="楷体_GB2312" w:cs="Times New Roman"/>
              <w:b w:val="0"/>
              <w:bCs w:val="0"/>
              <w:kern w:val="0"/>
              <w:sz w:val="32"/>
              <w:szCs w:val="32"/>
              <w:lang w:val="en-US" w:eastAsia="zh-CN" w:bidi="ar-SA"/>
            </w:rPr>
          </w:pPr>
          <w:r>
            <w:rPr>
              <w:rFonts w:hint="default" w:ascii="Times New Roman" w:hAnsi="Times New Roman" w:eastAsia="楷体_GB2312" w:cs="Times New Roman"/>
              <w:b w:val="0"/>
              <w:bCs w:val="0"/>
              <w:kern w:val="0"/>
              <w:sz w:val="32"/>
              <w:szCs w:val="32"/>
              <w:lang w:val="en-US" w:eastAsia="zh-CN" w:bidi="ar-SA"/>
            </w:rPr>
            <w:fldChar w:fldCharType="begin"/>
          </w:r>
          <w:r>
            <w:rPr>
              <w:rFonts w:hint="default" w:ascii="Times New Roman" w:hAnsi="Times New Roman" w:eastAsia="楷体_GB2312" w:cs="Times New Roman"/>
              <w:b w:val="0"/>
              <w:bCs w:val="0"/>
              <w:kern w:val="0"/>
              <w:sz w:val="32"/>
              <w:szCs w:val="32"/>
              <w:lang w:val="en-US" w:eastAsia="zh-CN" w:bidi="ar-SA"/>
            </w:rPr>
            <w:instrText xml:space="preserve"> HYPERLINK \l _Toc19716 </w:instrText>
          </w:r>
          <w:r>
            <w:rPr>
              <w:rFonts w:hint="default" w:ascii="Times New Roman" w:hAnsi="Times New Roman" w:eastAsia="楷体_GB2312" w:cs="Times New Roman"/>
              <w:b w:val="0"/>
              <w:bCs w:val="0"/>
              <w:kern w:val="0"/>
              <w:sz w:val="32"/>
              <w:szCs w:val="32"/>
              <w:lang w:val="en-US" w:eastAsia="zh-CN" w:bidi="ar-SA"/>
            </w:rPr>
            <w:fldChar w:fldCharType="separate"/>
          </w:r>
          <w:r>
            <w:rPr>
              <w:rFonts w:hint="default" w:ascii="Times New Roman" w:hAnsi="Times New Roman" w:eastAsia="楷体_GB2312" w:cs="Times New Roman"/>
              <w:b w:val="0"/>
              <w:bCs w:val="0"/>
              <w:kern w:val="0"/>
              <w:sz w:val="32"/>
              <w:szCs w:val="32"/>
              <w:lang w:val="en-US" w:eastAsia="zh-CN" w:bidi="ar-SA"/>
            </w:rPr>
            <w:t>（三）评价依据</w:t>
          </w:r>
          <w:r>
            <w:rPr>
              <w:rFonts w:hint="default" w:ascii="Times New Roman" w:hAnsi="Times New Roman" w:eastAsia="楷体_GB2312" w:cs="Times New Roman"/>
              <w:b w:val="0"/>
              <w:bCs w:val="0"/>
              <w:kern w:val="0"/>
              <w:sz w:val="32"/>
              <w:szCs w:val="32"/>
              <w:lang w:val="en-US" w:eastAsia="zh-CN" w:bidi="ar-SA"/>
            </w:rPr>
            <w:tab/>
          </w:r>
          <w:r>
            <w:rPr>
              <w:rFonts w:hint="default" w:ascii="Times New Roman" w:hAnsi="Times New Roman" w:eastAsia="楷体_GB2312" w:cs="Times New Roman"/>
              <w:b w:val="0"/>
              <w:bCs w:val="0"/>
              <w:kern w:val="0"/>
              <w:sz w:val="32"/>
              <w:szCs w:val="32"/>
              <w:lang w:val="en-US" w:eastAsia="zh-CN" w:bidi="ar-SA"/>
            </w:rPr>
            <w:fldChar w:fldCharType="end"/>
          </w:r>
          <w:r>
            <w:rPr>
              <w:rFonts w:hint="default" w:ascii="Times New Roman" w:hAnsi="Times New Roman" w:eastAsia="楷体_GB2312" w:cs="Times New Roman"/>
              <w:b w:val="0"/>
              <w:bCs w:val="0"/>
              <w:kern w:val="0"/>
              <w:sz w:val="32"/>
              <w:szCs w:val="32"/>
              <w:lang w:val="en-US" w:eastAsia="zh-CN" w:bidi="ar-SA"/>
            </w:rPr>
            <w:t>7</w:t>
          </w:r>
        </w:p>
        <w:p>
          <w:pPr>
            <w:pStyle w:val="19"/>
            <w:tabs>
              <w:tab w:val="right" w:leader="dot" w:pos="8732"/>
            </w:tabs>
            <w:rPr>
              <w:rFonts w:hint="default" w:ascii="Times New Roman" w:hAnsi="Times New Roman" w:eastAsia="楷体_GB2312" w:cs="Times New Roman"/>
              <w:b w:val="0"/>
              <w:bCs w:val="0"/>
              <w:kern w:val="0"/>
              <w:sz w:val="32"/>
              <w:szCs w:val="32"/>
              <w:lang w:val="en-US" w:eastAsia="zh-CN" w:bidi="ar-SA"/>
            </w:rPr>
          </w:pPr>
          <w:r>
            <w:rPr>
              <w:rFonts w:hint="default" w:ascii="Times New Roman" w:hAnsi="Times New Roman" w:eastAsia="楷体_GB2312" w:cs="Times New Roman"/>
              <w:b w:val="0"/>
              <w:bCs w:val="0"/>
              <w:kern w:val="0"/>
              <w:sz w:val="32"/>
              <w:szCs w:val="32"/>
              <w:lang w:val="en-US" w:eastAsia="zh-CN" w:bidi="ar-SA"/>
            </w:rPr>
            <w:fldChar w:fldCharType="begin"/>
          </w:r>
          <w:r>
            <w:rPr>
              <w:rFonts w:hint="default" w:ascii="Times New Roman" w:hAnsi="Times New Roman" w:eastAsia="楷体_GB2312" w:cs="Times New Roman"/>
              <w:b w:val="0"/>
              <w:bCs w:val="0"/>
              <w:kern w:val="0"/>
              <w:sz w:val="32"/>
              <w:szCs w:val="32"/>
              <w:lang w:val="en-US" w:eastAsia="zh-CN" w:bidi="ar-SA"/>
            </w:rPr>
            <w:instrText xml:space="preserve"> HYPERLINK \l _Toc7552 </w:instrText>
          </w:r>
          <w:r>
            <w:rPr>
              <w:rFonts w:hint="default" w:ascii="Times New Roman" w:hAnsi="Times New Roman" w:eastAsia="楷体_GB2312" w:cs="Times New Roman"/>
              <w:b w:val="0"/>
              <w:bCs w:val="0"/>
              <w:kern w:val="0"/>
              <w:sz w:val="32"/>
              <w:szCs w:val="32"/>
              <w:lang w:val="en-US" w:eastAsia="zh-CN" w:bidi="ar-SA"/>
            </w:rPr>
            <w:fldChar w:fldCharType="separate"/>
          </w:r>
          <w:r>
            <w:rPr>
              <w:rFonts w:hint="default" w:ascii="Times New Roman" w:hAnsi="Times New Roman" w:eastAsia="楷体_GB2312" w:cs="Times New Roman"/>
              <w:b w:val="0"/>
              <w:bCs w:val="0"/>
              <w:kern w:val="0"/>
              <w:sz w:val="32"/>
              <w:szCs w:val="32"/>
              <w:lang w:val="en-US" w:eastAsia="zh-CN" w:bidi="ar-SA"/>
            </w:rPr>
            <w:t>（四）评价原则、评价方法</w:t>
          </w:r>
          <w:r>
            <w:rPr>
              <w:rFonts w:hint="default" w:ascii="Times New Roman" w:hAnsi="Times New Roman" w:eastAsia="楷体_GB2312" w:cs="Times New Roman"/>
              <w:b w:val="0"/>
              <w:bCs w:val="0"/>
              <w:kern w:val="0"/>
              <w:sz w:val="32"/>
              <w:szCs w:val="32"/>
              <w:lang w:val="en-US" w:eastAsia="zh-CN" w:bidi="ar-SA"/>
            </w:rPr>
            <w:tab/>
          </w:r>
          <w:r>
            <w:rPr>
              <w:rFonts w:hint="default" w:ascii="Times New Roman" w:hAnsi="Times New Roman" w:eastAsia="楷体_GB2312" w:cs="Times New Roman"/>
              <w:b w:val="0"/>
              <w:bCs w:val="0"/>
              <w:kern w:val="0"/>
              <w:sz w:val="32"/>
              <w:szCs w:val="32"/>
              <w:lang w:val="en-US" w:eastAsia="zh-CN" w:bidi="ar-SA"/>
            </w:rPr>
            <w:fldChar w:fldCharType="end"/>
          </w:r>
          <w:r>
            <w:rPr>
              <w:rFonts w:hint="default" w:ascii="Times New Roman" w:hAnsi="Times New Roman" w:eastAsia="楷体_GB2312" w:cs="Times New Roman"/>
              <w:b w:val="0"/>
              <w:bCs w:val="0"/>
              <w:kern w:val="0"/>
              <w:sz w:val="32"/>
              <w:szCs w:val="32"/>
              <w:lang w:val="en-US" w:eastAsia="zh-CN" w:bidi="ar-SA"/>
            </w:rPr>
            <w:t>9</w:t>
          </w:r>
        </w:p>
        <w:p>
          <w:pPr>
            <w:pStyle w:val="19"/>
            <w:tabs>
              <w:tab w:val="right" w:leader="dot" w:pos="8732"/>
            </w:tabs>
            <w:rPr>
              <w:rFonts w:hint="default" w:ascii="Times New Roman" w:hAnsi="Times New Roman" w:eastAsia="楷体_GB2312" w:cs="Times New Roman"/>
              <w:b w:val="0"/>
              <w:bCs w:val="0"/>
              <w:kern w:val="0"/>
              <w:sz w:val="32"/>
              <w:szCs w:val="32"/>
              <w:lang w:val="en-US" w:eastAsia="zh-CN" w:bidi="ar-SA"/>
            </w:rPr>
          </w:pPr>
          <w:r>
            <w:rPr>
              <w:rFonts w:hint="default" w:ascii="Times New Roman" w:hAnsi="Times New Roman" w:eastAsia="楷体_GB2312" w:cs="Times New Roman"/>
              <w:b w:val="0"/>
              <w:bCs w:val="0"/>
              <w:kern w:val="0"/>
              <w:sz w:val="32"/>
              <w:szCs w:val="32"/>
              <w:lang w:val="en-US" w:eastAsia="zh-CN" w:bidi="ar-SA"/>
            </w:rPr>
            <w:fldChar w:fldCharType="begin"/>
          </w:r>
          <w:r>
            <w:rPr>
              <w:rFonts w:hint="default" w:ascii="Times New Roman" w:hAnsi="Times New Roman" w:eastAsia="楷体_GB2312" w:cs="Times New Roman"/>
              <w:b w:val="0"/>
              <w:bCs w:val="0"/>
              <w:kern w:val="0"/>
              <w:sz w:val="32"/>
              <w:szCs w:val="32"/>
              <w:lang w:val="en-US" w:eastAsia="zh-CN" w:bidi="ar-SA"/>
            </w:rPr>
            <w:instrText xml:space="preserve"> HYPERLINK \l _Toc16312 </w:instrText>
          </w:r>
          <w:r>
            <w:rPr>
              <w:rFonts w:hint="default" w:ascii="Times New Roman" w:hAnsi="Times New Roman" w:eastAsia="楷体_GB2312" w:cs="Times New Roman"/>
              <w:b w:val="0"/>
              <w:bCs w:val="0"/>
              <w:kern w:val="0"/>
              <w:sz w:val="32"/>
              <w:szCs w:val="32"/>
              <w:lang w:val="en-US" w:eastAsia="zh-CN" w:bidi="ar-SA"/>
            </w:rPr>
            <w:fldChar w:fldCharType="separate"/>
          </w:r>
          <w:r>
            <w:rPr>
              <w:rFonts w:hint="default" w:ascii="Times New Roman" w:hAnsi="Times New Roman" w:eastAsia="楷体_GB2312" w:cs="Times New Roman"/>
              <w:b w:val="0"/>
              <w:bCs w:val="0"/>
              <w:kern w:val="0"/>
              <w:sz w:val="32"/>
              <w:szCs w:val="32"/>
              <w:lang w:val="en-US" w:eastAsia="zh-CN" w:bidi="ar-SA"/>
            </w:rPr>
            <w:t>（五）绩效评价指标体系</w:t>
          </w:r>
          <w:r>
            <w:rPr>
              <w:rFonts w:hint="default" w:ascii="Times New Roman" w:hAnsi="Times New Roman" w:eastAsia="楷体_GB2312" w:cs="Times New Roman"/>
              <w:b w:val="0"/>
              <w:bCs w:val="0"/>
              <w:kern w:val="0"/>
              <w:sz w:val="32"/>
              <w:szCs w:val="32"/>
              <w:lang w:val="en-US" w:eastAsia="zh-CN" w:bidi="ar-SA"/>
            </w:rPr>
            <w:tab/>
          </w:r>
          <w:r>
            <w:rPr>
              <w:rFonts w:hint="default" w:ascii="Times New Roman" w:hAnsi="Times New Roman" w:eastAsia="楷体_GB2312" w:cs="Times New Roman"/>
              <w:b w:val="0"/>
              <w:bCs w:val="0"/>
              <w:kern w:val="0"/>
              <w:sz w:val="32"/>
              <w:szCs w:val="32"/>
              <w:lang w:val="en-US" w:eastAsia="zh-CN" w:bidi="ar-SA"/>
            </w:rPr>
            <w:t>1</w:t>
          </w:r>
          <w:r>
            <w:rPr>
              <w:rFonts w:hint="default" w:ascii="Times New Roman" w:hAnsi="Times New Roman" w:eastAsia="楷体_GB2312" w:cs="Times New Roman"/>
              <w:b w:val="0"/>
              <w:bCs w:val="0"/>
              <w:kern w:val="0"/>
              <w:sz w:val="32"/>
              <w:szCs w:val="32"/>
              <w:lang w:val="en-US" w:eastAsia="zh-CN" w:bidi="ar-SA"/>
            </w:rPr>
            <w:fldChar w:fldCharType="end"/>
          </w:r>
          <w:r>
            <w:rPr>
              <w:rFonts w:hint="default" w:ascii="Times New Roman" w:hAnsi="Times New Roman" w:eastAsia="楷体_GB2312" w:cs="Times New Roman"/>
              <w:b w:val="0"/>
              <w:bCs w:val="0"/>
              <w:kern w:val="0"/>
              <w:sz w:val="32"/>
              <w:szCs w:val="32"/>
              <w:lang w:val="en-US" w:eastAsia="zh-CN" w:bidi="ar-SA"/>
            </w:rPr>
            <w:t>1</w:t>
          </w:r>
        </w:p>
        <w:p>
          <w:pPr>
            <w:pStyle w:val="19"/>
            <w:tabs>
              <w:tab w:val="right" w:leader="dot" w:pos="8732"/>
            </w:tabs>
            <w:rPr>
              <w:rFonts w:hint="default" w:ascii="Times New Roman" w:hAnsi="Times New Roman" w:eastAsia="楷体_GB2312" w:cs="Times New Roman"/>
              <w:b w:val="0"/>
              <w:bCs w:val="0"/>
              <w:kern w:val="0"/>
              <w:sz w:val="32"/>
              <w:szCs w:val="32"/>
              <w:lang w:val="en-US" w:eastAsia="zh-CN" w:bidi="ar-SA"/>
            </w:rPr>
          </w:pPr>
          <w:r>
            <w:rPr>
              <w:rFonts w:hint="default" w:ascii="Times New Roman" w:hAnsi="Times New Roman" w:eastAsia="楷体_GB2312" w:cs="Times New Roman"/>
              <w:b w:val="0"/>
              <w:bCs w:val="0"/>
              <w:kern w:val="0"/>
              <w:sz w:val="32"/>
              <w:szCs w:val="32"/>
              <w:lang w:val="en-US" w:eastAsia="zh-CN" w:bidi="ar-SA"/>
            </w:rPr>
            <w:fldChar w:fldCharType="begin"/>
          </w:r>
          <w:r>
            <w:rPr>
              <w:rFonts w:hint="default" w:ascii="Times New Roman" w:hAnsi="Times New Roman" w:eastAsia="楷体_GB2312" w:cs="Times New Roman"/>
              <w:b w:val="0"/>
              <w:bCs w:val="0"/>
              <w:kern w:val="0"/>
              <w:sz w:val="32"/>
              <w:szCs w:val="32"/>
              <w:lang w:val="en-US" w:eastAsia="zh-CN" w:bidi="ar-SA"/>
            </w:rPr>
            <w:instrText xml:space="preserve"> HYPERLINK \l _Toc29519 </w:instrText>
          </w:r>
          <w:r>
            <w:rPr>
              <w:rFonts w:hint="default" w:ascii="Times New Roman" w:hAnsi="Times New Roman" w:eastAsia="楷体_GB2312" w:cs="Times New Roman"/>
              <w:b w:val="0"/>
              <w:bCs w:val="0"/>
              <w:kern w:val="0"/>
              <w:sz w:val="32"/>
              <w:szCs w:val="32"/>
              <w:lang w:val="en-US" w:eastAsia="zh-CN" w:bidi="ar-SA"/>
            </w:rPr>
            <w:fldChar w:fldCharType="separate"/>
          </w:r>
          <w:r>
            <w:rPr>
              <w:rFonts w:hint="default" w:ascii="Times New Roman" w:hAnsi="Times New Roman" w:eastAsia="楷体_GB2312" w:cs="Times New Roman"/>
              <w:b w:val="0"/>
              <w:bCs w:val="0"/>
              <w:kern w:val="0"/>
              <w:sz w:val="32"/>
              <w:szCs w:val="32"/>
              <w:lang w:val="en-US" w:eastAsia="zh-CN" w:bidi="ar-SA"/>
            </w:rPr>
            <w:t>（六）评价人员组成</w:t>
          </w:r>
          <w:r>
            <w:rPr>
              <w:rFonts w:hint="default" w:ascii="Times New Roman" w:hAnsi="Times New Roman" w:eastAsia="楷体_GB2312" w:cs="Times New Roman"/>
              <w:b w:val="0"/>
              <w:bCs w:val="0"/>
              <w:kern w:val="0"/>
              <w:sz w:val="32"/>
              <w:szCs w:val="32"/>
              <w:lang w:val="en-US" w:eastAsia="zh-CN" w:bidi="ar-SA"/>
            </w:rPr>
            <w:tab/>
          </w:r>
          <w:r>
            <w:rPr>
              <w:rFonts w:hint="default" w:ascii="Times New Roman" w:hAnsi="Times New Roman" w:eastAsia="楷体_GB2312" w:cs="Times New Roman"/>
              <w:b w:val="0"/>
              <w:bCs w:val="0"/>
              <w:kern w:val="0"/>
              <w:sz w:val="32"/>
              <w:szCs w:val="32"/>
              <w:lang w:val="en-US" w:eastAsia="zh-CN" w:bidi="ar-SA"/>
            </w:rPr>
            <w:t>1</w:t>
          </w:r>
          <w:r>
            <w:rPr>
              <w:rFonts w:hint="default" w:ascii="Times New Roman" w:hAnsi="Times New Roman" w:eastAsia="楷体_GB2312" w:cs="Times New Roman"/>
              <w:b w:val="0"/>
              <w:bCs w:val="0"/>
              <w:kern w:val="0"/>
              <w:sz w:val="32"/>
              <w:szCs w:val="32"/>
              <w:lang w:val="en-US" w:eastAsia="zh-CN" w:bidi="ar-SA"/>
            </w:rPr>
            <w:fldChar w:fldCharType="end"/>
          </w:r>
          <w:r>
            <w:rPr>
              <w:rFonts w:hint="default" w:ascii="Times New Roman" w:hAnsi="Times New Roman" w:eastAsia="楷体_GB2312" w:cs="Times New Roman"/>
              <w:b w:val="0"/>
              <w:bCs w:val="0"/>
              <w:kern w:val="0"/>
              <w:sz w:val="32"/>
              <w:szCs w:val="32"/>
              <w:lang w:val="en-US" w:eastAsia="zh-CN" w:bidi="ar-SA"/>
            </w:rPr>
            <w:t>2</w:t>
          </w:r>
        </w:p>
        <w:p>
          <w:pPr>
            <w:pStyle w:val="19"/>
            <w:tabs>
              <w:tab w:val="right" w:leader="dot" w:pos="8732"/>
            </w:tabs>
            <w:rPr>
              <w:rFonts w:hint="default" w:ascii="Times New Roman" w:hAnsi="Times New Roman" w:eastAsia="楷体_GB2312" w:cs="Times New Roman"/>
              <w:b w:val="0"/>
              <w:bCs w:val="0"/>
              <w:kern w:val="0"/>
              <w:sz w:val="32"/>
              <w:szCs w:val="32"/>
              <w:lang w:val="en-US" w:eastAsia="zh-CN" w:bidi="ar-SA"/>
            </w:rPr>
          </w:pPr>
          <w:r>
            <w:rPr>
              <w:rFonts w:hint="default" w:ascii="Times New Roman" w:hAnsi="Times New Roman" w:eastAsia="楷体_GB2312" w:cs="Times New Roman"/>
              <w:b w:val="0"/>
              <w:bCs w:val="0"/>
              <w:kern w:val="0"/>
              <w:sz w:val="32"/>
              <w:szCs w:val="32"/>
              <w:lang w:val="en-US" w:eastAsia="zh-CN" w:bidi="ar-SA"/>
            </w:rPr>
            <w:fldChar w:fldCharType="begin"/>
          </w:r>
          <w:r>
            <w:rPr>
              <w:rFonts w:hint="default" w:ascii="Times New Roman" w:hAnsi="Times New Roman" w:eastAsia="楷体_GB2312" w:cs="Times New Roman"/>
              <w:b w:val="0"/>
              <w:bCs w:val="0"/>
              <w:kern w:val="0"/>
              <w:sz w:val="32"/>
              <w:szCs w:val="32"/>
              <w:lang w:val="en-US" w:eastAsia="zh-CN" w:bidi="ar-SA"/>
            </w:rPr>
            <w:instrText xml:space="preserve"> HYPERLINK \l _Toc4727 </w:instrText>
          </w:r>
          <w:r>
            <w:rPr>
              <w:rFonts w:hint="default" w:ascii="Times New Roman" w:hAnsi="Times New Roman" w:eastAsia="楷体_GB2312" w:cs="Times New Roman"/>
              <w:b w:val="0"/>
              <w:bCs w:val="0"/>
              <w:kern w:val="0"/>
              <w:sz w:val="32"/>
              <w:szCs w:val="32"/>
              <w:lang w:val="en-US" w:eastAsia="zh-CN" w:bidi="ar-SA"/>
            </w:rPr>
            <w:fldChar w:fldCharType="separate"/>
          </w:r>
          <w:r>
            <w:rPr>
              <w:rFonts w:hint="default" w:ascii="Times New Roman" w:hAnsi="Times New Roman" w:eastAsia="楷体_GB2312" w:cs="Times New Roman"/>
              <w:b w:val="0"/>
              <w:bCs w:val="0"/>
              <w:kern w:val="0"/>
              <w:sz w:val="32"/>
              <w:szCs w:val="32"/>
              <w:lang w:val="en-US" w:eastAsia="zh-CN" w:bidi="ar-SA"/>
            </w:rPr>
            <w:t>（七）绩效评价工作流程</w:t>
          </w:r>
          <w:r>
            <w:rPr>
              <w:rFonts w:hint="default" w:ascii="Times New Roman" w:hAnsi="Times New Roman" w:eastAsia="楷体_GB2312" w:cs="Times New Roman"/>
              <w:b w:val="0"/>
              <w:bCs w:val="0"/>
              <w:kern w:val="0"/>
              <w:sz w:val="32"/>
              <w:szCs w:val="32"/>
              <w:lang w:val="en-US" w:eastAsia="zh-CN" w:bidi="ar-SA"/>
            </w:rPr>
            <w:tab/>
          </w:r>
          <w:r>
            <w:rPr>
              <w:rFonts w:hint="default" w:ascii="Times New Roman" w:hAnsi="Times New Roman" w:eastAsia="楷体_GB2312" w:cs="Times New Roman"/>
              <w:b w:val="0"/>
              <w:bCs w:val="0"/>
              <w:kern w:val="0"/>
              <w:sz w:val="32"/>
              <w:szCs w:val="32"/>
              <w:lang w:val="en-US" w:eastAsia="zh-CN" w:bidi="ar-SA"/>
            </w:rPr>
            <w:t>1</w:t>
          </w:r>
          <w:r>
            <w:rPr>
              <w:rFonts w:hint="default" w:ascii="Times New Roman" w:hAnsi="Times New Roman" w:eastAsia="楷体_GB2312" w:cs="Times New Roman"/>
              <w:b w:val="0"/>
              <w:bCs w:val="0"/>
              <w:kern w:val="0"/>
              <w:sz w:val="32"/>
              <w:szCs w:val="32"/>
              <w:lang w:val="en-US" w:eastAsia="zh-CN" w:bidi="ar-SA"/>
            </w:rPr>
            <w:fldChar w:fldCharType="end"/>
          </w:r>
          <w:r>
            <w:rPr>
              <w:rFonts w:hint="default" w:ascii="Times New Roman" w:hAnsi="Times New Roman" w:eastAsia="楷体_GB2312" w:cs="Times New Roman"/>
              <w:b w:val="0"/>
              <w:bCs w:val="0"/>
              <w:kern w:val="0"/>
              <w:sz w:val="32"/>
              <w:szCs w:val="32"/>
              <w:lang w:val="en-US" w:eastAsia="zh-CN" w:bidi="ar-SA"/>
            </w:rPr>
            <w:t>3</w:t>
          </w:r>
        </w:p>
        <w:p>
          <w:pPr>
            <w:pStyle w:val="2"/>
            <w:tabs>
              <w:tab w:val="right" w:leader="dot" w:pos="8732"/>
            </w:tabs>
            <w:rPr>
              <w:rFonts w:hint="default" w:ascii="Times New Roman" w:hAnsi="Times New Roman" w:eastAsia="黑体" w:cs="Times New Roman"/>
              <w:b w:val="0"/>
              <w:bCs w:val="0"/>
              <w:kern w:val="0"/>
              <w:sz w:val="32"/>
              <w:szCs w:val="32"/>
              <w:lang w:val="en-US" w:eastAsia="zh-CN" w:bidi="ar-SA"/>
            </w:rPr>
          </w:pPr>
          <w:r>
            <w:rPr>
              <w:rFonts w:hint="default" w:ascii="Times New Roman" w:hAnsi="Times New Roman" w:eastAsia="黑体" w:cs="Times New Roman"/>
              <w:b w:val="0"/>
              <w:bCs w:val="0"/>
              <w:kern w:val="0"/>
              <w:sz w:val="32"/>
              <w:szCs w:val="32"/>
              <w:lang w:val="en-US" w:eastAsia="zh-CN" w:bidi="ar-SA"/>
            </w:rPr>
            <w:fldChar w:fldCharType="begin"/>
          </w:r>
          <w:r>
            <w:rPr>
              <w:rFonts w:hint="default" w:ascii="Times New Roman" w:hAnsi="Times New Roman" w:eastAsia="黑体" w:cs="Times New Roman"/>
              <w:b w:val="0"/>
              <w:bCs w:val="0"/>
              <w:kern w:val="0"/>
              <w:sz w:val="32"/>
              <w:szCs w:val="32"/>
              <w:lang w:val="en-US" w:eastAsia="zh-CN" w:bidi="ar-SA"/>
            </w:rPr>
            <w:instrText xml:space="preserve"> HYPERLINK \l _Toc24170 </w:instrText>
          </w:r>
          <w:r>
            <w:rPr>
              <w:rFonts w:hint="default" w:ascii="Times New Roman" w:hAnsi="Times New Roman" w:eastAsia="黑体" w:cs="Times New Roman"/>
              <w:b w:val="0"/>
              <w:bCs w:val="0"/>
              <w:kern w:val="0"/>
              <w:sz w:val="32"/>
              <w:szCs w:val="32"/>
              <w:lang w:val="en-US" w:eastAsia="zh-CN" w:bidi="ar-SA"/>
            </w:rPr>
            <w:fldChar w:fldCharType="separate"/>
          </w:r>
          <w:r>
            <w:rPr>
              <w:rFonts w:hint="default" w:ascii="Times New Roman" w:hAnsi="Times New Roman" w:eastAsia="黑体" w:cs="Times New Roman"/>
              <w:b w:val="0"/>
              <w:bCs w:val="0"/>
              <w:kern w:val="0"/>
              <w:sz w:val="32"/>
              <w:szCs w:val="32"/>
              <w:lang w:val="en-US" w:eastAsia="zh-CN" w:bidi="ar-SA"/>
            </w:rPr>
            <w:t>四、评价结论及分析</w:t>
          </w:r>
          <w:r>
            <w:rPr>
              <w:rFonts w:hint="default" w:ascii="Times New Roman" w:hAnsi="Times New Roman" w:eastAsia="黑体" w:cs="Times New Roman"/>
              <w:b w:val="0"/>
              <w:bCs w:val="0"/>
              <w:kern w:val="0"/>
              <w:sz w:val="32"/>
              <w:szCs w:val="32"/>
              <w:lang w:val="en-US" w:eastAsia="zh-CN" w:bidi="ar-SA"/>
            </w:rPr>
            <w:tab/>
          </w:r>
          <w:r>
            <w:rPr>
              <w:rFonts w:hint="default" w:ascii="Times New Roman" w:hAnsi="Times New Roman" w:eastAsia="黑体" w:cs="Times New Roman"/>
              <w:b w:val="0"/>
              <w:bCs w:val="0"/>
              <w:kern w:val="0"/>
              <w:sz w:val="32"/>
              <w:szCs w:val="32"/>
              <w:lang w:val="en-US" w:eastAsia="zh-CN" w:bidi="ar-SA"/>
            </w:rPr>
            <w:fldChar w:fldCharType="end"/>
          </w:r>
          <w:r>
            <w:rPr>
              <w:rFonts w:hint="default" w:ascii="Times New Roman" w:hAnsi="Times New Roman" w:eastAsia="黑体" w:cs="Times New Roman"/>
              <w:b w:val="0"/>
              <w:bCs w:val="0"/>
              <w:kern w:val="0"/>
              <w:sz w:val="32"/>
              <w:szCs w:val="32"/>
              <w:lang w:val="en-US" w:eastAsia="zh-CN" w:bidi="ar-SA"/>
            </w:rPr>
            <w:t>17</w:t>
          </w:r>
        </w:p>
        <w:p>
          <w:pPr>
            <w:pStyle w:val="19"/>
            <w:tabs>
              <w:tab w:val="right" w:leader="dot" w:pos="8732"/>
            </w:tabs>
            <w:rPr>
              <w:rFonts w:hint="default" w:ascii="Times New Roman" w:hAnsi="Times New Roman" w:eastAsia="楷体_GB2312" w:cs="Times New Roman"/>
              <w:b w:val="0"/>
              <w:bCs w:val="0"/>
              <w:kern w:val="0"/>
              <w:sz w:val="32"/>
              <w:szCs w:val="32"/>
              <w:lang w:val="en-US" w:eastAsia="zh-CN" w:bidi="ar-SA"/>
            </w:rPr>
          </w:pPr>
          <w:r>
            <w:rPr>
              <w:rFonts w:hint="default" w:ascii="Times New Roman" w:hAnsi="Times New Roman" w:eastAsia="楷体_GB2312" w:cs="Times New Roman"/>
              <w:b w:val="0"/>
              <w:bCs w:val="0"/>
              <w:kern w:val="0"/>
              <w:sz w:val="32"/>
              <w:szCs w:val="32"/>
              <w:lang w:val="en-US" w:eastAsia="zh-CN" w:bidi="ar-SA"/>
            </w:rPr>
            <w:fldChar w:fldCharType="begin"/>
          </w:r>
          <w:r>
            <w:rPr>
              <w:rFonts w:hint="default" w:ascii="Times New Roman" w:hAnsi="Times New Roman" w:eastAsia="楷体_GB2312" w:cs="Times New Roman"/>
              <w:b w:val="0"/>
              <w:bCs w:val="0"/>
              <w:kern w:val="0"/>
              <w:sz w:val="32"/>
              <w:szCs w:val="32"/>
              <w:lang w:val="en-US" w:eastAsia="zh-CN" w:bidi="ar-SA"/>
            </w:rPr>
            <w:instrText xml:space="preserve"> HYPERLINK \l _Toc14526 </w:instrText>
          </w:r>
          <w:r>
            <w:rPr>
              <w:rFonts w:hint="default" w:ascii="Times New Roman" w:hAnsi="Times New Roman" w:eastAsia="楷体_GB2312" w:cs="Times New Roman"/>
              <w:b w:val="0"/>
              <w:bCs w:val="0"/>
              <w:kern w:val="0"/>
              <w:sz w:val="32"/>
              <w:szCs w:val="32"/>
              <w:lang w:val="en-US" w:eastAsia="zh-CN" w:bidi="ar-SA"/>
            </w:rPr>
            <w:fldChar w:fldCharType="separate"/>
          </w:r>
          <w:r>
            <w:rPr>
              <w:rFonts w:hint="default" w:ascii="Times New Roman" w:hAnsi="Times New Roman" w:eastAsia="楷体_GB2312" w:cs="Times New Roman"/>
              <w:b w:val="0"/>
              <w:bCs w:val="0"/>
              <w:kern w:val="0"/>
              <w:sz w:val="32"/>
              <w:szCs w:val="32"/>
              <w:lang w:val="en-US" w:eastAsia="zh-CN" w:bidi="ar-SA"/>
            </w:rPr>
            <w:t>（一）综合评价情况及结论</w:t>
          </w:r>
          <w:r>
            <w:rPr>
              <w:rFonts w:hint="default" w:ascii="Times New Roman" w:hAnsi="Times New Roman" w:eastAsia="楷体_GB2312" w:cs="Times New Roman"/>
              <w:b w:val="0"/>
              <w:bCs w:val="0"/>
              <w:kern w:val="0"/>
              <w:sz w:val="32"/>
              <w:szCs w:val="32"/>
              <w:lang w:val="en-US" w:eastAsia="zh-CN" w:bidi="ar-SA"/>
            </w:rPr>
            <w:tab/>
          </w:r>
          <w:r>
            <w:rPr>
              <w:rFonts w:hint="default" w:ascii="Times New Roman" w:hAnsi="Times New Roman" w:eastAsia="楷体_GB2312" w:cs="Times New Roman"/>
              <w:b w:val="0"/>
              <w:bCs w:val="0"/>
              <w:kern w:val="0"/>
              <w:sz w:val="32"/>
              <w:szCs w:val="32"/>
              <w:lang w:val="en-US" w:eastAsia="zh-CN" w:bidi="ar-SA"/>
            </w:rPr>
            <w:fldChar w:fldCharType="end"/>
          </w:r>
          <w:r>
            <w:rPr>
              <w:rFonts w:hint="default" w:ascii="Times New Roman" w:hAnsi="Times New Roman" w:eastAsia="楷体_GB2312" w:cs="Times New Roman"/>
              <w:b w:val="0"/>
              <w:bCs w:val="0"/>
              <w:kern w:val="0"/>
              <w:sz w:val="32"/>
              <w:szCs w:val="32"/>
              <w:lang w:val="en-US" w:eastAsia="zh-CN" w:bidi="ar-SA"/>
            </w:rPr>
            <w:t>17</w:t>
          </w:r>
        </w:p>
        <w:p>
          <w:pPr>
            <w:pStyle w:val="19"/>
            <w:tabs>
              <w:tab w:val="right" w:leader="dot" w:pos="8732"/>
            </w:tabs>
            <w:rPr>
              <w:rFonts w:hint="default" w:ascii="Times New Roman" w:hAnsi="Times New Roman" w:eastAsia="楷体_GB2312" w:cs="Times New Roman"/>
              <w:b w:val="0"/>
              <w:bCs w:val="0"/>
              <w:kern w:val="0"/>
              <w:sz w:val="32"/>
              <w:szCs w:val="32"/>
              <w:lang w:val="en-US" w:eastAsia="zh-CN" w:bidi="ar-SA"/>
            </w:rPr>
          </w:pPr>
          <w:r>
            <w:rPr>
              <w:rFonts w:hint="default" w:ascii="Times New Roman" w:hAnsi="Times New Roman" w:eastAsia="楷体_GB2312" w:cs="Times New Roman"/>
              <w:b w:val="0"/>
              <w:bCs w:val="0"/>
              <w:kern w:val="0"/>
              <w:sz w:val="32"/>
              <w:szCs w:val="32"/>
              <w:lang w:val="en-US" w:eastAsia="zh-CN" w:bidi="ar-SA"/>
            </w:rPr>
            <w:fldChar w:fldCharType="begin"/>
          </w:r>
          <w:r>
            <w:rPr>
              <w:rFonts w:hint="default" w:ascii="Times New Roman" w:hAnsi="Times New Roman" w:eastAsia="楷体_GB2312" w:cs="Times New Roman"/>
              <w:b w:val="0"/>
              <w:bCs w:val="0"/>
              <w:kern w:val="0"/>
              <w:sz w:val="32"/>
              <w:szCs w:val="32"/>
              <w:lang w:val="en-US" w:eastAsia="zh-CN" w:bidi="ar-SA"/>
            </w:rPr>
            <w:instrText xml:space="preserve"> HYPERLINK \l _Toc32749 </w:instrText>
          </w:r>
          <w:r>
            <w:rPr>
              <w:rFonts w:hint="default" w:ascii="Times New Roman" w:hAnsi="Times New Roman" w:eastAsia="楷体_GB2312" w:cs="Times New Roman"/>
              <w:b w:val="0"/>
              <w:bCs w:val="0"/>
              <w:kern w:val="0"/>
              <w:sz w:val="32"/>
              <w:szCs w:val="32"/>
              <w:lang w:val="en-US" w:eastAsia="zh-CN" w:bidi="ar-SA"/>
            </w:rPr>
            <w:fldChar w:fldCharType="separate"/>
          </w:r>
          <w:r>
            <w:rPr>
              <w:rFonts w:hint="default" w:ascii="Times New Roman" w:hAnsi="Times New Roman" w:eastAsia="楷体_GB2312" w:cs="Times New Roman"/>
              <w:b w:val="0"/>
              <w:bCs w:val="0"/>
              <w:kern w:val="0"/>
              <w:sz w:val="32"/>
              <w:szCs w:val="32"/>
              <w:lang w:val="en-US" w:eastAsia="zh-CN" w:bidi="ar-SA"/>
            </w:rPr>
            <w:t>（二）绩效评价结果分析</w:t>
          </w:r>
          <w:r>
            <w:rPr>
              <w:rFonts w:hint="default" w:ascii="Times New Roman" w:hAnsi="Times New Roman" w:eastAsia="楷体_GB2312" w:cs="Times New Roman"/>
              <w:b w:val="0"/>
              <w:bCs w:val="0"/>
              <w:kern w:val="0"/>
              <w:sz w:val="32"/>
              <w:szCs w:val="32"/>
              <w:lang w:val="en-US" w:eastAsia="zh-CN" w:bidi="ar-SA"/>
            </w:rPr>
            <w:tab/>
          </w:r>
          <w:r>
            <w:rPr>
              <w:rFonts w:hint="default" w:ascii="Times New Roman" w:hAnsi="Times New Roman" w:eastAsia="楷体_GB2312" w:cs="Times New Roman"/>
              <w:b w:val="0"/>
              <w:bCs w:val="0"/>
              <w:kern w:val="0"/>
              <w:sz w:val="32"/>
              <w:szCs w:val="32"/>
              <w:lang w:val="en-US" w:eastAsia="zh-CN" w:bidi="ar-SA"/>
            </w:rPr>
            <w:fldChar w:fldCharType="end"/>
          </w:r>
          <w:r>
            <w:rPr>
              <w:rFonts w:hint="default" w:ascii="Times New Roman" w:hAnsi="Times New Roman" w:eastAsia="楷体_GB2312" w:cs="Times New Roman"/>
              <w:b w:val="0"/>
              <w:bCs w:val="0"/>
              <w:kern w:val="0"/>
              <w:sz w:val="32"/>
              <w:szCs w:val="32"/>
              <w:lang w:val="en-US" w:eastAsia="zh-CN" w:bidi="ar-SA"/>
            </w:rPr>
            <w:t>18</w:t>
          </w:r>
        </w:p>
        <w:p>
          <w:pPr>
            <w:pStyle w:val="19"/>
            <w:tabs>
              <w:tab w:val="right" w:leader="dot" w:pos="8732"/>
            </w:tabs>
            <w:rPr>
              <w:rFonts w:hint="default" w:ascii="Times New Roman" w:hAnsi="Times New Roman" w:eastAsia="楷体_GB2312" w:cs="Times New Roman"/>
              <w:b w:val="0"/>
              <w:bCs w:val="0"/>
              <w:kern w:val="0"/>
              <w:sz w:val="32"/>
              <w:szCs w:val="32"/>
              <w:lang w:val="en-US" w:eastAsia="zh-CN" w:bidi="ar-SA"/>
            </w:rPr>
          </w:pPr>
          <w:r>
            <w:rPr>
              <w:rFonts w:hint="default" w:ascii="Times New Roman" w:hAnsi="Times New Roman" w:eastAsia="楷体_GB2312" w:cs="Times New Roman"/>
              <w:b w:val="0"/>
              <w:bCs w:val="0"/>
              <w:kern w:val="0"/>
              <w:sz w:val="32"/>
              <w:szCs w:val="32"/>
              <w:lang w:val="en-US" w:eastAsia="zh-CN" w:bidi="ar-SA"/>
            </w:rPr>
            <w:fldChar w:fldCharType="begin"/>
          </w:r>
          <w:r>
            <w:rPr>
              <w:rFonts w:hint="default" w:ascii="Times New Roman" w:hAnsi="Times New Roman" w:eastAsia="楷体_GB2312" w:cs="Times New Roman"/>
              <w:b w:val="0"/>
              <w:bCs w:val="0"/>
              <w:kern w:val="0"/>
              <w:sz w:val="32"/>
              <w:szCs w:val="32"/>
              <w:lang w:val="en-US" w:eastAsia="zh-CN" w:bidi="ar-SA"/>
            </w:rPr>
            <w:instrText xml:space="preserve"> HYPERLINK \l _Toc13774 </w:instrText>
          </w:r>
          <w:r>
            <w:rPr>
              <w:rFonts w:hint="default" w:ascii="Times New Roman" w:hAnsi="Times New Roman" w:eastAsia="楷体_GB2312" w:cs="Times New Roman"/>
              <w:b w:val="0"/>
              <w:bCs w:val="0"/>
              <w:kern w:val="0"/>
              <w:sz w:val="32"/>
              <w:szCs w:val="32"/>
              <w:lang w:val="en-US" w:eastAsia="zh-CN" w:bidi="ar-SA"/>
            </w:rPr>
            <w:fldChar w:fldCharType="separate"/>
          </w:r>
          <w:r>
            <w:rPr>
              <w:rFonts w:hint="default" w:ascii="Times New Roman" w:hAnsi="Times New Roman" w:eastAsia="楷体_GB2312" w:cs="Times New Roman"/>
              <w:b w:val="0"/>
              <w:bCs w:val="0"/>
              <w:kern w:val="0"/>
              <w:sz w:val="32"/>
              <w:szCs w:val="32"/>
              <w:lang w:val="en-US" w:eastAsia="zh-CN" w:bidi="ar-SA"/>
            </w:rPr>
            <w:t>（三）评价得分及结论</w:t>
          </w:r>
          <w:r>
            <w:rPr>
              <w:rFonts w:hint="default" w:ascii="Times New Roman" w:hAnsi="Times New Roman" w:eastAsia="楷体_GB2312" w:cs="Times New Roman"/>
              <w:b w:val="0"/>
              <w:bCs w:val="0"/>
              <w:kern w:val="0"/>
              <w:sz w:val="32"/>
              <w:szCs w:val="32"/>
              <w:lang w:val="en-US" w:eastAsia="zh-CN" w:bidi="ar-SA"/>
            </w:rPr>
            <w:tab/>
          </w:r>
          <w:r>
            <w:rPr>
              <w:rFonts w:hint="default" w:ascii="Times New Roman" w:hAnsi="Times New Roman" w:eastAsia="楷体_GB2312" w:cs="Times New Roman"/>
              <w:b w:val="0"/>
              <w:bCs w:val="0"/>
              <w:kern w:val="0"/>
              <w:sz w:val="32"/>
              <w:szCs w:val="32"/>
              <w:lang w:val="en-US" w:eastAsia="zh-CN" w:bidi="ar-SA"/>
            </w:rPr>
            <w:fldChar w:fldCharType="end"/>
          </w:r>
          <w:r>
            <w:rPr>
              <w:rFonts w:hint="default" w:ascii="Times New Roman" w:hAnsi="Times New Roman" w:eastAsia="楷体_GB2312" w:cs="Times New Roman"/>
              <w:b w:val="0"/>
              <w:bCs w:val="0"/>
              <w:kern w:val="0"/>
              <w:sz w:val="32"/>
              <w:szCs w:val="32"/>
              <w:lang w:val="en-US" w:eastAsia="zh-CN" w:bidi="ar-SA"/>
            </w:rPr>
            <w:t>18</w:t>
          </w:r>
        </w:p>
        <w:p>
          <w:pPr>
            <w:pStyle w:val="2"/>
            <w:tabs>
              <w:tab w:val="right" w:leader="dot" w:pos="8732"/>
            </w:tabs>
            <w:rPr>
              <w:rFonts w:hint="default" w:ascii="Times New Roman" w:hAnsi="Times New Roman" w:eastAsia="黑体" w:cs="Times New Roman"/>
              <w:b w:val="0"/>
              <w:bCs w:val="0"/>
              <w:kern w:val="0"/>
              <w:sz w:val="32"/>
              <w:szCs w:val="32"/>
              <w:lang w:val="en-US" w:eastAsia="zh-CN" w:bidi="ar-SA"/>
            </w:rPr>
          </w:pPr>
          <w:r>
            <w:rPr>
              <w:rFonts w:hint="default" w:ascii="Times New Roman" w:hAnsi="Times New Roman" w:eastAsia="黑体" w:cs="Times New Roman"/>
              <w:b w:val="0"/>
              <w:bCs w:val="0"/>
              <w:kern w:val="0"/>
              <w:sz w:val="32"/>
              <w:szCs w:val="32"/>
              <w:lang w:val="en-US" w:eastAsia="zh-CN" w:bidi="ar-SA"/>
            </w:rPr>
            <w:fldChar w:fldCharType="begin"/>
          </w:r>
          <w:r>
            <w:rPr>
              <w:rFonts w:hint="default" w:ascii="Times New Roman" w:hAnsi="Times New Roman" w:eastAsia="黑体" w:cs="Times New Roman"/>
              <w:b w:val="0"/>
              <w:bCs w:val="0"/>
              <w:kern w:val="0"/>
              <w:sz w:val="32"/>
              <w:szCs w:val="32"/>
              <w:lang w:val="en-US" w:eastAsia="zh-CN" w:bidi="ar-SA"/>
            </w:rPr>
            <w:instrText xml:space="preserve"> HYPERLINK \l _Toc2060 </w:instrText>
          </w:r>
          <w:r>
            <w:rPr>
              <w:rFonts w:hint="default" w:ascii="Times New Roman" w:hAnsi="Times New Roman" w:eastAsia="黑体" w:cs="Times New Roman"/>
              <w:b w:val="0"/>
              <w:bCs w:val="0"/>
              <w:kern w:val="0"/>
              <w:sz w:val="32"/>
              <w:szCs w:val="32"/>
              <w:lang w:val="en-US" w:eastAsia="zh-CN" w:bidi="ar-SA"/>
            </w:rPr>
            <w:fldChar w:fldCharType="separate"/>
          </w:r>
          <w:r>
            <w:rPr>
              <w:rFonts w:hint="default" w:ascii="Times New Roman" w:hAnsi="Times New Roman" w:eastAsia="黑体" w:cs="Times New Roman"/>
              <w:b w:val="0"/>
              <w:bCs w:val="0"/>
              <w:kern w:val="0"/>
              <w:sz w:val="32"/>
              <w:szCs w:val="32"/>
              <w:lang w:val="en-US" w:eastAsia="zh-CN" w:bidi="ar-SA"/>
            </w:rPr>
            <w:t>五、绩效评价指标分析</w:t>
          </w:r>
          <w:r>
            <w:rPr>
              <w:rFonts w:hint="default" w:ascii="Times New Roman" w:hAnsi="Times New Roman" w:eastAsia="黑体" w:cs="Times New Roman"/>
              <w:b w:val="0"/>
              <w:bCs w:val="0"/>
              <w:kern w:val="0"/>
              <w:sz w:val="32"/>
              <w:szCs w:val="32"/>
              <w:lang w:val="en-US" w:eastAsia="zh-CN" w:bidi="ar-SA"/>
            </w:rPr>
            <w:tab/>
          </w:r>
          <w:r>
            <w:rPr>
              <w:rFonts w:hint="default" w:ascii="Times New Roman" w:hAnsi="Times New Roman" w:eastAsia="黑体" w:cs="Times New Roman"/>
              <w:b w:val="0"/>
              <w:bCs w:val="0"/>
              <w:kern w:val="0"/>
              <w:sz w:val="32"/>
              <w:szCs w:val="32"/>
              <w:lang w:val="en-US" w:eastAsia="zh-CN" w:bidi="ar-SA"/>
            </w:rPr>
            <w:fldChar w:fldCharType="end"/>
          </w:r>
          <w:r>
            <w:rPr>
              <w:rFonts w:hint="default" w:ascii="Times New Roman" w:hAnsi="Times New Roman" w:eastAsia="黑体" w:cs="Times New Roman"/>
              <w:b w:val="0"/>
              <w:bCs w:val="0"/>
              <w:kern w:val="0"/>
              <w:sz w:val="32"/>
              <w:szCs w:val="32"/>
              <w:lang w:val="en-US" w:eastAsia="zh-CN" w:bidi="ar-SA"/>
            </w:rPr>
            <w:t>20</w:t>
          </w:r>
        </w:p>
        <w:p>
          <w:pPr>
            <w:pStyle w:val="19"/>
            <w:tabs>
              <w:tab w:val="right" w:leader="dot" w:pos="8732"/>
            </w:tabs>
            <w:rPr>
              <w:rFonts w:hint="default" w:ascii="Times New Roman" w:hAnsi="Times New Roman" w:eastAsia="楷体_GB2312" w:cs="Times New Roman"/>
              <w:b w:val="0"/>
              <w:bCs w:val="0"/>
              <w:kern w:val="0"/>
              <w:sz w:val="32"/>
              <w:szCs w:val="32"/>
              <w:lang w:val="en-US" w:eastAsia="zh-CN" w:bidi="ar-SA"/>
            </w:rPr>
          </w:pPr>
          <w:r>
            <w:rPr>
              <w:rFonts w:hint="default" w:ascii="Times New Roman" w:hAnsi="Times New Roman" w:eastAsia="楷体_GB2312" w:cs="Times New Roman"/>
              <w:b w:val="0"/>
              <w:bCs w:val="0"/>
              <w:kern w:val="0"/>
              <w:sz w:val="32"/>
              <w:szCs w:val="32"/>
              <w:lang w:val="en-US" w:eastAsia="zh-CN" w:bidi="ar-SA"/>
            </w:rPr>
            <w:fldChar w:fldCharType="begin"/>
          </w:r>
          <w:r>
            <w:rPr>
              <w:rFonts w:hint="default" w:ascii="Times New Roman" w:hAnsi="Times New Roman" w:eastAsia="楷体_GB2312" w:cs="Times New Roman"/>
              <w:b w:val="0"/>
              <w:bCs w:val="0"/>
              <w:kern w:val="0"/>
              <w:sz w:val="32"/>
              <w:szCs w:val="32"/>
              <w:lang w:val="en-US" w:eastAsia="zh-CN" w:bidi="ar-SA"/>
            </w:rPr>
            <w:instrText xml:space="preserve"> HYPERLINK \l _Toc13088 </w:instrText>
          </w:r>
          <w:r>
            <w:rPr>
              <w:rFonts w:hint="default" w:ascii="Times New Roman" w:hAnsi="Times New Roman" w:eastAsia="楷体_GB2312" w:cs="Times New Roman"/>
              <w:b w:val="0"/>
              <w:bCs w:val="0"/>
              <w:kern w:val="0"/>
              <w:sz w:val="32"/>
              <w:szCs w:val="32"/>
              <w:lang w:val="en-US" w:eastAsia="zh-CN" w:bidi="ar-SA"/>
            </w:rPr>
            <w:fldChar w:fldCharType="separate"/>
          </w:r>
          <w:r>
            <w:rPr>
              <w:rFonts w:hint="default" w:ascii="Times New Roman" w:hAnsi="Times New Roman" w:eastAsia="楷体_GB2312" w:cs="Times New Roman"/>
              <w:b w:val="0"/>
              <w:bCs w:val="0"/>
              <w:kern w:val="0"/>
              <w:sz w:val="32"/>
              <w:szCs w:val="32"/>
              <w:lang w:val="en-US" w:eastAsia="zh-CN" w:bidi="ar-SA"/>
            </w:rPr>
            <w:t>（一）项目决策情况</w:t>
          </w:r>
          <w:r>
            <w:rPr>
              <w:rFonts w:hint="default" w:ascii="Times New Roman" w:hAnsi="Times New Roman" w:eastAsia="楷体_GB2312" w:cs="Times New Roman"/>
              <w:b w:val="0"/>
              <w:bCs w:val="0"/>
              <w:kern w:val="0"/>
              <w:sz w:val="32"/>
              <w:szCs w:val="32"/>
              <w:lang w:val="en-US" w:eastAsia="zh-CN" w:bidi="ar-SA"/>
            </w:rPr>
            <w:tab/>
          </w:r>
          <w:r>
            <w:rPr>
              <w:rFonts w:hint="default" w:ascii="Times New Roman" w:hAnsi="Times New Roman" w:eastAsia="楷体_GB2312" w:cs="Times New Roman"/>
              <w:b w:val="0"/>
              <w:bCs w:val="0"/>
              <w:kern w:val="0"/>
              <w:sz w:val="32"/>
              <w:szCs w:val="32"/>
              <w:lang w:val="en-US" w:eastAsia="zh-CN" w:bidi="ar-SA"/>
            </w:rPr>
            <w:fldChar w:fldCharType="end"/>
          </w:r>
          <w:r>
            <w:rPr>
              <w:rFonts w:hint="default" w:ascii="Times New Roman" w:hAnsi="Times New Roman" w:eastAsia="楷体_GB2312" w:cs="Times New Roman"/>
              <w:b w:val="0"/>
              <w:bCs w:val="0"/>
              <w:kern w:val="0"/>
              <w:sz w:val="32"/>
              <w:szCs w:val="32"/>
              <w:lang w:val="en-US" w:eastAsia="zh-CN" w:bidi="ar-SA"/>
            </w:rPr>
            <w:t>20</w:t>
          </w:r>
        </w:p>
        <w:p>
          <w:pPr>
            <w:pStyle w:val="19"/>
            <w:tabs>
              <w:tab w:val="right" w:leader="dot" w:pos="8732"/>
            </w:tabs>
            <w:rPr>
              <w:rFonts w:hint="default" w:ascii="Times New Roman" w:hAnsi="Times New Roman" w:eastAsia="楷体_GB2312" w:cs="Times New Roman"/>
              <w:b w:val="0"/>
              <w:bCs w:val="0"/>
              <w:kern w:val="0"/>
              <w:sz w:val="32"/>
              <w:szCs w:val="32"/>
              <w:lang w:val="en-US" w:eastAsia="zh-CN" w:bidi="ar-SA"/>
            </w:rPr>
          </w:pPr>
          <w:r>
            <w:rPr>
              <w:rFonts w:hint="default" w:ascii="Times New Roman" w:hAnsi="Times New Roman" w:eastAsia="楷体_GB2312" w:cs="Times New Roman"/>
              <w:b w:val="0"/>
              <w:bCs w:val="0"/>
              <w:kern w:val="0"/>
              <w:sz w:val="32"/>
              <w:szCs w:val="32"/>
              <w:lang w:val="en-US" w:eastAsia="zh-CN" w:bidi="ar-SA"/>
            </w:rPr>
            <w:fldChar w:fldCharType="begin"/>
          </w:r>
          <w:r>
            <w:rPr>
              <w:rFonts w:hint="default" w:ascii="Times New Roman" w:hAnsi="Times New Roman" w:eastAsia="楷体_GB2312" w:cs="Times New Roman"/>
              <w:b w:val="0"/>
              <w:bCs w:val="0"/>
              <w:kern w:val="0"/>
              <w:sz w:val="32"/>
              <w:szCs w:val="32"/>
              <w:lang w:val="en-US" w:eastAsia="zh-CN" w:bidi="ar-SA"/>
            </w:rPr>
            <w:instrText xml:space="preserve"> HYPERLINK \l _Toc5161 </w:instrText>
          </w:r>
          <w:r>
            <w:rPr>
              <w:rFonts w:hint="default" w:ascii="Times New Roman" w:hAnsi="Times New Roman" w:eastAsia="楷体_GB2312" w:cs="Times New Roman"/>
              <w:b w:val="0"/>
              <w:bCs w:val="0"/>
              <w:kern w:val="0"/>
              <w:sz w:val="32"/>
              <w:szCs w:val="32"/>
              <w:lang w:val="en-US" w:eastAsia="zh-CN" w:bidi="ar-SA"/>
            </w:rPr>
            <w:fldChar w:fldCharType="separate"/>
          </w:r>
          <w:r>
            <w:rPr>
              <w:rFonts w:hint="default" w:ascii="Times New Roman" w:hAnsi="Times New Roman" w:eastAsia="楷体_GB2312" w:cs="Times New Roman"/>
              <w:b w:val="0"/>
              <w:bCs w:val="0"/>
              <w:kern w:val="0"/>
              <w:sz w:val="32"/>
              <w:szCs w:val="32"/>
              <w:lang w:val="en-US" w:eastAsia="zh-CN" w:bidi="ar-SA"/>
            </w:rPr>
            <w:t>（二）项目过程情况</w:t>
          </w:r>
          <w:r>
            <w:rPr>
              <w:rFonts w:hint="default" w:ascii="Times New Roman" w:hAnsi="Times New Roman" w:eastAsia="楷体_GB2312" w:cs="Times New Roman"/>
              <w:b w:val="0"/>
              <w:bCs w:val="0"/>
              <w:kern w:val="0"/>
              <w:sz w:val="32"/>
              <w:szCs w:val="32"/>
              <w:lang w:val="en-US" w:eastAsia="zh-CN" w:bidi="ar-SA"/>
            </w:rPr>
            <w:tab/>
          </w:r>
          <w:r>
            <w:rPr>
              <w:rFonts w:hint="default" w:ascii="Times New Roman" w:hAnsi="Times New Roman" w:eastAsia="楷体_GB2312" w:cs="Times New Roman"/>
              <w:b w:val="0"/>
              <w:bCs w:val="0"/>
              <w:kern w:val="0"/>
              <w:sz w:val="32"/>
              <w:szCs w:val="32"/>
              <w:lang w:val="en-US" w:eastAsia="zh-CN" w:bidi="ar-SA"/>
            </w:rPr>
            <w:fldChar w:fldCharType="end"/>
          </w:r>
          <w:r>
            <w:rPr>
              <w:rFonts w:hint="default" w:ascii="Times New Roman" w:hAnsi="Times New Roman" w:eastAsia="楷体_GB2312" w:cs="Times New Roman"/>
              <w:b w:val="0"/>
              <w:bCs w:val="0"/>
              <w:kern w:val="0"/>
              <w:sz w:val="32"/>
              <w:szCs w:val="32"/>
              <w:lang w:val="en-US" w:eastAsia="zh-CN" w:bidi="ar-SA"/>
            </w:rPr>
            <w:t>23</w:t>
          </w:r>
        </w:p>
        <w:p>
          <w:pPr>
            <w:pStyle w:val="19"/>
            <w:tabs>
              <w:tab w:val="right" w:leader="dot" w:pos="8732"/>
            </w:tabs>
            <w:rPr>
              <w:rFonts w:hint="default" w:ascii="Times New Roman" w:hAnsi="Times New Roman" w:eastAsia="楷体_GB2312" w:cs="Times New Roman"/>
              <w:b w:val="0"/>
              <w:bCs w:val="0"/>
              <w:kern w:val="0"/>
              <w:sz w:val="32"/>
              <w:szCs w:val="32"/>
              <w:lang w:val="en-US" w:eastAsia="zh-CN" w:bidi="ar-SA"/>
            </w:rPr>
          </w:pPr>
          <w:r>
            <w:rPr>
              <w:rFonts w:hint="default" w:ascii="Times New Roman" w:hAnsi="Times New Roman" w:eastAsia="楷体_GB2312" w:cs="Times New Roman"/>
              <w:b w:val="0"/>
              <w:bCs w:val="0"/>
              <w:kern w:val="0"/>
              <w:sz w:val="32"/>
              <w:szCs w:val="32"/>
              <w:lang w:val="en-US" w:eastAsia="zh-CN" w:bidi="ar-SA"/>
            </w:rPr>
            <w:fldChar w:fldCharType="begin"/>
          </w:r>
          <w:r>
            <w:rPr>
              <w:rFonts w:hint="default" w:ascii="Times New Roman" w:hAnsi="Times New Roman" w:eastAsia="楷体_GB2312" w:cs="Times New Roman"/>
              <w:b w:val="0"/>
              <w:bCs w:val="0"/>
              <w:kern w:val="0"/>
              <w:sz w:val="32"/>
              <w:szCs w:val="32"/>
              <w:lang w:val="en-US" w:eastAsia="zh-CN" w:bidi="ar-SA"/>
            </w:rPr>
            <w:instrText xml:space="preserve"> HYPERLINK \l _Toc13104 </w:instrText>
          </w:r>
          <w:r>
            <w:rPr>
              <w:rFonts w:hint="default" w:ascii="Times New Roman" w:hAnsi="Times New Roman" w:eastAsia="楷体_GB2312" w:cs="Times New Roman"/>
              <w:b w:val="0"/>
              <w:bCs w:val="0"/>
              <w:kern w:val="0"/>
              <w:sz w:val="32"/>
              <w:szCs w:val="32"/>
              <w:lang w:val="en-US" w:eastAsia="zh-CN" w:bidi="ar-SA"/>
            </w:rPr>
            <w:fldChar w:fldCharType="separate"/>
          </w:r>
          <w:r>
            <w:rPr>
              <w:rFonts w:hint="default" w:ascii="Times New Roman" w:hAnsi="Times New Roman" w:eastAsia="楷体_GB2312" w:cs="Times New Roman"/>
              <w:b w:val="0"/>
              <w:bCs w:val="0"/>
              <w:kern w:val="0"/>
              <w:sz w:val="32"/>
              <w:szCs w:val="32"/>
              <w:lang w:val="en-US" w:eastAsia="zh-CN" w:bidi="ar-SA"/>
            </w:rPr>
            <w:t>（三）项目产出情况</w:t>
          </w:r>
          <w:r>
            <w:rPr>
              <w:rFonts w:hint="default" w:ascii="Times New Roman" w:hAnsi="Times New Roman" w:eastAsia="楷体_GB2312" w:cs="Times New Roman"/>
              <w:b w:val="0"/>
              <w:bCs w:val="0"/>
              <w:kern w:val="0"/>
              <w:sz w:val="32"/>
              <w:szCs w:val="32"/>
              <w:lang w:val="en-US" w:eastAsia="zh-CN" w:bidi="ar-SA"/>
            </w:rPr>
            <w:tab/>
          </w:r>
          <w:r>
            <w:rPr>
              <w:rFonts w:hint="default" w:ascii="Times New Roman" w:hAnsi="Times New Roman" w:eastAsia="楷体_GB2312" w:cs="Times New Roman"/>
              <w:b w:val="0"/>
              <w:bCs w:val="0"/>
              <w:kern w:val="0"/>
              <w:sz w:val="32"/>
              <w:szCs w:val="32"/>
              <w:lang w:val="en-US" w:eastAsia="zh-CN" w:bidi="ar-SA"/>
            </w:rPr>
            <w:fldChar w:fldCharType="end"/>
          </w:r>
          <w:r>
            <w:rPr>
              <w:rFonts w:hint="default" w:ascii="Times New Roman" w:hAnsi="Times New Roman" w:eastAsia="楷体_GB2312" w:cs="Times New Roman"/>
              <w:b w:val="0"/>
              <w:bCs w:val="0"/>
              <w:kern w:val="0"/>
              <w:sz w:val="32"/>
              <w:szCs w:val="32"/>
              <w:lang w:val="en-US" w:eastAsia="zh-CN" w:bidi="ar-SA"/>
            </w:rPr>
            <w:t>25</w:t>
          </w:r>
        </w:p>
        <w:p>
          <w:pPr>
            <w:pStyle w:val="19"/>
            <w:tabs>
              <w:tab w:val="right" w:leader="dot" w:pos="8732"/>
            </w:tabs>
            <w:rPr>
              <w:rFonts w:hint="default" w:ascii="Times New Roman" w:hAnsi="Times New Roman" w:eastAsia="楷体_GB2312" w:cs="Times New Roman"/>
              <w:b w:val="0"/>
              <w:bCs w:val="0"/>
              <w:kern w:val="0"/>
              <w:sz w:val="32"/>
              <w:szCs w:val="32"/>
              <w:lang w:val="en-US" w:eastAsia="zh-CN" w:bidi="ar-SA"/>
            </w:rPr>
          </w:pPr>
          <w:r>
            <w:rPr>
              <w:rFonts w:hint="default" w:ascii="Times New Roman" w:hAnsi="Times New Roman" w:eastAsia="楷体_GB2312" w:cs="Times New Roman"/>
              <w:b w:val="0"/>
              <w:bCs w:val="0"/>
              <w:kern w:val="0"/>
              <w:sz w:val="32"/>
              <w:szCs w:val="32"/>
              <w:lang w:val="en-US" w:eastAsia="zh-CN" w:bidi="ar-SA"/>
            </w:rPr>
            <w:fldChar w:fldCharType="begin"/>
          </w:r>
          <w:r>
            <w:rPr>
              <w:rFonts w:hint="default" w:ascii="Times New Roman" w:hAnsi="Times New Roman" w:eastAsia="楷体_GB2312" w:cs="Times New Roman"/>
              <w:b w:val="0"/>
              <w:bCs w:val="0"/>
              <w:kern w:val="0"/>
              <w:sz w:val="32"/>
              <w:szCs w:val="32"/>
              <w:lang w:val="en-US" w:eastAsia="zh-CN" w:bidi="ar-SA"/>
            </w:rPr>
            <w:instrText xml:space="preserve"> HYPERLINK \l _Toc5355 </w:instrText>
          </w:r>
          <w:r>
            <w:rPr>
              <w:rFonts w:hint="default" w:ascii="Times New Roman" w:hAnsi="Times New Roman" w:eastAsia="楷体_GB2312" w:cs="Times New Roman"/>
              <w:b w:val="0"/>
              <w:bCs w:val="0"/>
              <w:kern w:val="0"/>
              <w:sz w:val="32"/>
              <w:szCs w:val="32"/>
              <w:lang w:val="en-US" w:eastAsia="zh-CN" w:bidi="ar-SA"/>
            </w:rPr>
            <w:fldChar w:fldCharType="separate"/>
          </w:r>
          <w:r>
            <w:rPr>
              <w:rFonts w:hint="default" w:ascii="Times New Roman" w:hAnsi="Times New Roman" w:eastAsia="楷体_GB2312" w:cs="Times New Roman"/>
              <w:b w:val="0"/>
              <w:bCs w:val="0"/>
              <w:kern w:val="0"/>
              <w:sz w:val="32"/>
              <w:szCs w:val="32"/>
              <w:lang w:val="en-US" w:eastAsia="zh-CN" w:bidi="ar-SA"/>
            </w:rPr>
            <w:t>（四）项目效益情况</w:t>
          </w:r>
          <w:r>
            <w:rPr>
              <w:rFonts w:hint="default" w:ascii="Times New Roman" w:hAnsi="Times New Roman" w:eastAsia="楷体_GB2312" w:cs="Times New Roman"/>
              <w:b w:val="0"/>
              <w:bCs w:val="0"/>
              <w:kern w:val="0"/>
              <w:sz w:val="32"/>
              <w:szCs w:val="32"/>
              <w:lang w:val="en-US" w:eastAsia="zh-CN" w:bidi="ar-SA"/>
            </w:rPr>
            <w:tab/>
          </w:r>
          <w:r>
            <w:rPr>
              <w:rFonts w:hint="default" w:ascii="Times New Roman" w:hAnsi="Times New Roman" w:eastAsia="楷体_GB2312" w:cs="Times New Roman"/>
              <w:b w:val="0"/>
              <w:bCs w:val="0"/>
              <w:kern w:val="0"/>
              <w:sz w:val="32"/>
              <w:szCs w:val="32"/>
              <w:lang w:val="en-US" w:eastAsia="zh-CN" w:bidi="ar-SA"/>
            </w:rPr>
            <w:fldChar w:fldCharType="end"/>
          </w:r>
          <w:r>
            <w:rPr>
              <w:rFonts w:hint="default" w:ascii="Times New Roman" w:hAnsi="Times New Roman" w:eastAsia="楷体_GB2312" w:cs="Times New Roman"/>
              <w:b w:val="0"/>
              <w:bCs w:val="0"/>
              <w:kern w:val="0"/>
              <w:sz w:val="32"/>
              <w:szCs w:val="32"/>
              <w:lang w:val="en-US" w:eastAsia="zh-CN" w:bidi="ar-SA"/>
            </w:rPr>
            <w:t>27</w:t>
          </w:r>
        </w:p>
        <w:p>
          <w:pPr>
            <w:pStyle w:val="2"/>
            <w:tabs>
              <w:tab w:val="right" w:leader="dot" w:pos="8732"/>
            </w:tabs>
            <w:rPr>
              <w:rFonts w:hint="default" w:ascii="Times New Roman" w:hAnsi="Times New Roman" w:eastAsia="黑体" w:cs="Times New Roman"/>
              <w:b w:val="0"/>
              <w:bCs w:val="0"/>
              <w:kern w:val="0"/>
              <w:sz w:val="32"/>
              <w:szCs w:val="32"/>
              <w:lang w:val="en-US" w:eastAsia="zh-CN" w:bidi="ar-SA"/>
            </w:rPr>
          </w:pPr>
          <w:r>
            <w:rPr>
              <w:rFonts w:hint="default" w:ascii="Times New Roman" w:hAnsi="Times New Roman" w:eastAsia="黑体" w:cs="Times New Roman"/>
              <w:b w:val="0"/>
              <w:bCs w:val="0"/>
              <w:kern w:val="0"/>
              <w:sz w:val="32"/>
              <w:szCs w:val="32"/>
              <w:lang w:val="en-US" w:eastAsia="zh-CN" w:bidi="ar-SA"/>
            </w:rPr>
            <w:fldChar w:fldCharType="begin"/>
          </w:r>
          <w:r>
            <w:rPr>
              <w:rFonts w:hint="default" w:ascii="Times New Roman" w:hAnsi="Times New Roman" w:eastAsia="黑体" w:cs="Times New Roman"/>
              <w:b w:val="0"/>
              <w:bCs w:val="0"/>
              <w:kern w:val="0"/>
              <w:sz w:val="32"/>
              <w:szCs w:val="32"/>
              <w:lang w:val="en-US" w:eastAsia="zh-CN" w:bidi="ar-SA"/>
            </w:rPr>
            <w:instrText xml:space="preserve"> HYPERLINK \l _Toc25526 </w:instrText>
          </w:r>
          <w:r>
            <w:rPr>
              <w:rFonts w:hint="default" w:ascii="Times New Roman" w:hAnsi="Times New Roman" w:eastAsia="黑体" w:cs="Times New Roman"/>
              <w:b w:val="0"/>
              <w:bCs w:val="0"/>
              <w:kern w:val="0"/>
              <w:sz w:val="32"/>
              <w:szCs w:val="32"/>
              <w:lang w:val="en-US" w:eastAsia="zh-CN" w:bidi="ar-SA"/>
            </w:rPr>
            <w:fldChar w:fldCharType="separate"/>
          </w:r>
          <w:r>
            <w:rPr>
              <w:rFonts w:hint="default" w:ascii="Times New Roman" w:hAnsi="Times New Roman" w:eastAsia="黑体" w:cs="Times New Roman"/>
              <w:b w:val="0"/>
              <w:bCs w:val="0"/>
              <w:kern w:val="0"/>
              <w:sz w:val="32"/>
              <w:szCs w:val="32"/>
              <w:lang w:val="en-US" w:eastAsia="zh-CN" w:bidi="ar-SA"/>
            </w:rPr>
            <w:t>六、取得的成效</w:t>
          </w:r>
          <w:r>
            <w:rPr>
              <w:rFonts w:hint="default" w:ascii="Times New Roman" w:hAnsi="Times New Roman" w:eastAsia="黑体" w:cs="Times New Roman"/>
              <w:b w:val="0"/>
              <w:bCs w:val="0"/>
              <w:kern w:val="0"/>
              <w:sz w:val="32"/>
              <w:szCs w:val="32"/>
              <w:lang w:val="en-US" w:eastAsia="zh-CN" w:bidi="ar-SA"/>
            </w:rPr>
            <w:tab/>
          </w:r>
          <w:r>
            <w:rPr>
              <w:rFonts w:hint="default" w:ascii="Times New Roman" w:hAnsi="Times New Roman" w:eastAsia="黑体" w:cs="Times New Roman"/>
              <w:b w:val="0"/>
              <w:bCs w:val="0"/>
              <w:kern w:val="0"/>
              <w:sz w:val="32"/>
              <w:szCs w:val="32"/>
              <w:lang w:val="en-US" w:eastAsia="zh-CN" w:bidi="ar-SA"/>
            </w:rPr>
            <w:fldChar w:fldCharType="end"/>
          </w:r>
          <w:r>
            <w:rPr>
              <w:rFonts w:hint="default" w:ascii="Times New Roman" w:hAnsi="Times New Roman" w:eastAsia="黑体" w:cs="Times New Roman"/>
              <w:b w:val="0"/>
              <w:bCs w:val="0"/>
              <w:kern w:val="0"/>
              <w:sz w:val="32"/>
              <w:szCs w:val="32"/>
              <w:lang w:val="en-US" w:eastAsia="zh-CN" w:bidi="ar-SA"/>
            </w:rPr>
            <w:t>29</w:t>
          </w:r>
        </w:p>
        <w:p>
          <w:pPr>
            <w:pStyle w:val="2"/>
            <w:tabs>
              <w:tab w:val="right" w:leader="dot" w:pos="8732"/>
            </w:tabs>
            <w:rPr>
              <w:rFonts w:hint="default" w:ascii="Times New Roman" w:hAnsi="Times New Roman" w:eastAsia="黑体" w:cs="Times New Roman"/>
              <w:b w:val="0"/>
              <w:bCs w:val="0"/>
              <w:kern w:val="0"/>
              <w:sz w:val="32"/>
              <w:szCs w:val="32"/>
              <w:lang w:val="en-US" w:eastAsia="zh-CN" w:bidi="ar-SA"/>
            </w:rPr>
          </w:pPr>
          <w:r>
            <w:rPr>
              <w:rFonts w:hint="default" w:ascii="Times New Roman" w:hAnsi="Times New Roman" w:eastAsia="黑体" w:cs="Times New Roman"/>
              <w:b w:val="0"/>
              <w:bCs w:val="0"/>
              <w:kern w:val="0"/>
              <w:sz w:val="32"/>
              <w:szCs w:val="32"/>
              <w:lang w:val="en-US" w:eastAsia="zh-CN" w:bidi="ar-SA"/>
            </w:rPr>
            <w:fldChar w:fldCharType="begin"/>
          </w:r>
          <w:r>
            <w:rPr>
              <w:rFonts w:hint="default" w:ascii="Times New Roman" w:hAnsi="Times New Roman" w:eastAsia="黑体" w:cs="Times New Roman"/>
              <w:b w:val="0"/>
              <w:bCs w:val="0"/>
              <w:kern w:val="0"/>
              <w:sz w:val="32"/>
              <w:szCs w:val="32"/>
              <w:lang w:val="en-US" w:eastAsia="zh-CN" w:bidi="ar-SA"/>
            </w:rPr>
            <w:instrText xml:space="preserve"> HYPERLINK \l _Toc8837 </w:instrText>
          </w:r>
          <w:r>
            <w:rPr>
              <w:rFonts w:hint="default" w:ascii="Times New Roman" w:hAnsi="Times New Roman" w:eastAsia="黑体" w:cs="Times New Roman"/>
              <w:b w:val="0"/>
              <w:bCs w:val="0"/>
              <w:kern w:val="0"/>
              <w:sz w:val="32"/>
              <w:szCs w:val="32"/>
              <w:lang w:val="en-US" w:eastAsia="zh-CN" w:bidi="ar-SA"/>
            </w:rPr>
            <w:fldChar w:fldCharType="separate"/>
          </w:r>
          <w:r>
            <w:rPr>
              <w:rFonts w:hint="default" w:ascii="Times New Roman" w:hAnsi="Times New Roman" w:eastAsia="黑体" w:cs="Times New Roman"/>
              <w:b w:val="0"/>
              <w:bCs w:val="0"/>
              <w:kern w:val="0"/>
              <w:sz w:val="32"/>
              <w:szCs w:val="32"/>
              <w:lang w:val="en-US" w:eastAsia="zh-CN" w:bidi="ar-SA"/>
            </w:rPr>
            <w:t>七、存在的问题及原因分析</w:t>
          </w:r>
          <w:r>
            <w:rPr>
              <w:rFonts w:hint="default" w:ascii="Times New Roman" w:hAnsi="Times New Roman" w:eastAsia="黑体" w:cs="Times New Roman"/>
              <w:b w:val="0"/>
              <w:bCs w:val="0"/>
              <w:kern w:val="0"/>
              <w:sz w:val="32"/>
              <w:szCs w:val="32"/>
              <w:lang w:val="en-US" w:eastAsia="zh-CN" w:bidi="ar-SA"/>
            </w:rPr>
            <w:tab/>
          </w:r>
          <w:r>
            <w:rPr>
              <w:rFonts w:hint="default" w:ascii="Times New Roman" w:hAnsi="Times New Roman" w:eastAsia="黑体" w:cs="Times New Roman"/>
              <w:b w:val="0"/>
              <w:bCs w:val="0"/>
              <w:kern w:val="0"/>
              <w:sz w:val="32"/>
              <w:szCs w:val="32"/>
              <w:lang w:val="en-US" w:eastAsia="zh-CN" w:bidi="ar-SA"/>
            </w:rPr>
            <w:fldChar w:fldCharType="end"/>
          </w:r>
          <w:r>
            <w:rPr>
              <w:rFonts w:hint="default" w:ascii="Times New Roman" w:hAnsi="Times New Roman" w:eastAsia="黑体" w:cs="Times New Roman"/>
              <w:b w:val="0"/>
              <w:bCs w:val="0"/>
              <w:kern w:val="0"/>
              <w:sz w:val="32"/>
              <w:szCs w:val="32"/>
              <w:lang w:val="en-US" w:eastAsia="zh-CN" w:bidi="ar-SA"/>
            </w:rPr>
            <w:t>31</w:t>
          </w:r>
        </w:p>
        <w:p>
          <w:pPr>
            <w:pStyle w:val="19"/>
            <w:tabs>
              <w:tab w:val="right" w:leader="dot" w:pos="8732"/>
            </w:tabs>
            <w:rPr>
              <w:rFonts w:hint="default" w:ascii="Times New Roman" w:hAnsi="Times New Roman" w:eastAsia="楷体_GB2312" w:cs="Times New Roman"/>
              <w:b w:val="0"/>
              <w:bCs w:val="0"/>
              <w:kern w:val="0"/>
              <w:sz w:val="32"/>
              <w:szCs w:val="32"/>
              <w:lang w:val="en-US" w:eastAsia="zh-CN" w:bidi="ar-SA"/>
            </w:rPr>
          </w:pPr>
          <w:r>
            <w:rPr>
              <w:rFonts w:hint="default" w:ascii="Times New Roman" w:hAnsi="Times New Roman" w:eastAsia="楷体_GB2312" w:cs="Times New Roman"/>
              <w:b w:val="0"/>
              <w:bCs w:val="0"/>
              <w:kern w:val="0"/>
              <w:sz w:val="32"/>
              <w:szCs w:val="32"/>
              <w:lang w:val="en-US" w:eastAsia="zh-CN" w:bidi="ar-SA"/>
            </w:rPr>
            <w:fldChar w:fldCharType="begin"/>
          </w:r>
          <w:r>
            <w:rPr>
              <w:rFonts w:hint="default" w:ascii="Times New Roman" w:hAnsi="Times New Roman" w:eastAsia="楷体_GB2312" w:cs="Times New Roman"/>
              <w:b w:val="0"/>
              <w:bCs w:val="0"/>
              <w:kern w:val="0"/>
              <w:sz w:val="32"/>
              <w:szCs w:val="32"/>
              <w:lang w:val="en-US" w:eastAsia="zh-CN" w:bidi="ar-SA"/>
            </w:rPr>
            <w:instrText xml:space="preserve"> HYPERLINK \l _Toc11852 </w:instrText>
          </w:r>
          <w:r>
            <w:rPr>
              <w:rFonts w:hint="default" w:ascii="Times New Roman" w:hAnsi="Times New Roman" w:eastAsia="楷体_GB2312" w:cs="Times New Roman"/>
              <w:b w:val="0"/>
              <w:bCs w:val="0"/>
              <w:kern w:val="0"/>
              <w:sz w:val="32"/>
              <w:szCs w:val="32"/>
              <w:lang w:val="en-US" w:eastAsia="zh-CN" w:bidi="ar-SA"/>
            </w:rPr>
            <w:fldChar w:fldCharType="separate"/>
          </w:r>
          <w:r>
            <w:rPr>
              <w:rFonts w:hint="default" w:ascii="Times New Roman" w:hAnsi="Times New Roman" w:eastAsia="楷体_GB2312" w:cs="Times New Roman"/>
              <w:b w:val="0"/>
              <w:bCs w:val="0"/>
              <w:kern w:val="0"/>
              <w:sz w:val="32"/>
              <w:szCs w:val="32"/>
              <w:lang w:val="en-US" w:eastAsia="zh-CN" w:bidi="ar-SA"/>
            </w:rPr>
            <w:t>（一）绩效管理流于形式</w:t>
          </w:r>
          <w:r>
            <w:rPr>
              <w:rFonts w:hint="default" w:ascii="Times New Roman" w:hAnsi="Times New Roman" w:eastAsia="楷体_GB2312" w:cs="Times New Roman"/>
              <w:b w:val="0"/>
              <w:bCs w:val="0"/>
              <w:kern w:val="0"/>
              <w:sz w:val="32"/>
              <w:szCs w:val="32"/>
              <w:lang w:val="en-US" w:eastAsia="zh-CN" w:bidi="ar-SA"/>
            </w:rPr>
            <w:tab/>
          </w:r>
          <w:r>
            <w:rPr>
              <w:rFonts w:hint="default" w:ascii="Times New Roman" w:hAnsi="Times New Roman" w:eastAsia="楷体_GB2312" w:cs="Times New Roman"/>
              <w:b w:val="0"/>
              <w:bCs w:val="0"/>
              <w:kern w:val="0"/>
              <w:sz w:val="32"/>
              <w:szCs w:val="32"/>
              <w:lang w:val="en-US" w:eastAsia="zh-CN" w:bidi="ar-SA"/>
            </w:rPr>
            <w:fldChar w:fldCharType="end"/>
          </w:r>
          <w:r>
            <w:rPr>
              <w:rFonts w:hint="default" w:ascii="Times New Roman" w:hAnsi="Times New Roman" w:eastAsia="楷体_GB2312" w:cs="Times New Roman"/>
              <w:b w:val="0"/>
              <w:bCs w:val="0"/>
              <w:kern w:val="0"/>
              <w:sz w:val="32"/>
              <w:szCs w:val="32"/>
              <w:lang w:val="en-US" w:eastAsia="zh-CN" w:bidi="ar-SA"/>
            </w:rPr>
            <w:t>31</w:t>
          </w:r>
        </w:p>
        <w:p>
          <w:pPr>
            <w:pStyle w:val="19"/>
            <w:tabs>
              <w:tab w:val="right" w:leader="dot" w:pos="8732"/>
            </w:tabs>
            <w:rPr>
              <w:rFonts w:hint="default" w:ascii="Times New Roman" w:hAnsi="Times New Roman" w:eastAsia="楷体_GB2312" w:cs="Times New Roman"/>
              <w:b w:val="0"/>
              <w:bCs w:val="0"/>
              <w:kern w:val="0"/>
              <w:sz w:val="32"/>
              <w:szCs w:val="32"/>
              <w:lang w:val="en-US" w:eastAsia="zh-CN" w:bidi="ar-SA"/>
            </w:rPr>
          </w:pPr>
          <w:r>
            <w:rPr>
              <w:rFonts w:hint="default" w:ascii="Times New Roman" w:hAnsi="Times New Roman" w:eastAsia="楷体_GB2312" w:cs="Times New Roman"/>
              <w:b w:val="0"/>
              <w:bCs w:val="0"/>
              <w:kern w:val="0"/>
              <w:sz w:val="32"/>
              <w:szCs w:val="32"/>
              <w:lang w:val="en-US" w:eastAsia="zh-CN" w:bidi="ar-SA"/>
            </w:rPr>
            <w:fldChar w:fldCharType="begin"/>
          </w:r>
          <w:r>
            <w:rPr>
              <w:rFonts w:hint="default" w:ascii="Times New Roman" w:hAnsi="Times New Roman" w:eastAsia="楷体_GB2312" w:cs="Times New Roman"/>
              <w:b w:val="0"/>
              <w:bCs w:val="0"/>
              <w:kern w:val="0"/>
              <w:sz w:val="32"/>
              <w:szCs w:val="32"/>
              <w:lang w:val="en-US" w:eastAsia="zh-CN" w:bidi="ar-SA"/>
            </w:rPr>
            <w:instrText xml:space="preserve"> HYPERLINK \l _Toc18931 </w:instrText>
          </w:r>
          <w:r>
            <w:rPr>
              <w:rFonts w:hint="default" w:ascii="Times New Roman" w:hAnsi="Times New Roman" w:eastAsia="楷体_GB2312" w:cs="Times New Roman"/>
              <w:b w:val="0"/>
              <w:bCs w:val="0"/>
              <w:kern w:val="0"/>
              <w:sz w:val="32"/>
              <w:szCs w:val="32"/>
              <w:lang w:val="en-US" w:eastAsia="zh-CN" w:bidi="ar-SA"/>
            </w:rPr>
            <w:fldChar w:fldCharType="separate"/>
          </w:r>
          <w:r>
            <w:rPr>
              <w:rFonts w:hint="default" w:ascii="Times New Roman" w:hAnsi="Times New Roman" w:eastAsia="楷体_GB2312" w:cs="Times New Roman"/>
              <w:b w:val="0"/>
              <w:bCs w:val="0"/>
              <w:kern w:val="0"/>
              <w:sz w:val="32"/>
              <w:szCs w:val="32"/>
              <w:lang w:val="en-US" w:eastAsia="zh-CN" w:bidi="ar-SA"/>
            </w:rPr>
            <w:t>（二）预算管理工作不足</w:t>
          </w:r>
          <w:r>
            <w:rPr>
              <w:rFonts w:hint="default" w:ascii="Times New Roman" w:hAnsi="Times New Roman" w:eastAsia="楷体_GB2312" w:cs="Times New Roman"/>
              <w:b w:val="0"/>
              <w:bCs w:val="0"/>
              <w:kern w:val="0"/>
              <w:sz w:val="32"/>
              <w:szCs w:val="32"/>
              <w:lang w:val="en-US" w:eastAsia="zh-CN" w:bidi="ar-SA"/>
            </w:rPr>
            <w:tab/>
          </w:r>
          <w:r>
            <w:rPr>
              <w:rFonts w:hint="default" w:ascii="Times New Roman" w:hAnsi="Times New Roman" w:eastAsia="楷体_GB2312" w:cs="Times New Roman"/>
              <w:b w:val="0"/>
              <w:bCs w:val="0"/>
              <w:kern w:val="0"/>
              <w:sz w:val="32"/>
              <w:szCs w:val="32"/>
              <w:lang w:val="en-US" w:eastAsia="zh-CN" w:bidi="ar-SA"/>
            </w:rPr>
            <w:fldChar w:fldCharType="end"/>
          </w:r>
          <w:r>
            <w:rPr>
              <w:rFonts w:hint="default" w:ascii="Times New Roman" w:hAnsi="Times New Roman" w:eastAsia="楷体_GB2312" w:cs="Times New Roman"/>
              <w:b w:val="0"/>
              <w:bCs w:val="0"/>
              <w:kern w:val="0"/>
              <w:sz w:val="32"/>
              <w:szCs w:val="32"/>
              <w:lang w:val="en-US" w:eastAsia="zh-CN" w:bidi="ar-SA"/>
            </w:rPr>
            <w:t>32</w:t>
          </w:r>
        </w:p>
        <w:p>
          <w:pPr>
            <w:pStyle w:val="19"/>
            <w:tabs>
              <w:tab w:val="right" w:leader="dot" w:pos="8732"/>
            </w:tabs>
            <w:rPr>
              <w:rFonts w:hint="default" w:ascii="Times New Roman" w:hAnsi="Times New Roman" w:eastAsia="楷体_GB2312" w:cs="Times New Roman"/>
              <w:b w:val="0"/>
              <w:bCs w:val="0"/>
              <w:kern w:val="0"/>
              <w:sz w:val="32"/>
              <w:szCs w:val="32"/>
              <w:lang w:val="en-US" w:eastAsia="zh-CN" w:bidi="ar-SA"/>
            </w:rPr>
          </w:pPr>
          <w:r>
            <w:rPr>
              <w:rFonts w:hint="default" w:ascii="Times New Roman" w:hAnsi="Times New Roman" w:eastAsia="楷体_GB2312" w:cs="Times New Roman"/>
              <w:b w:val="0"/>
              <w:bCs w:val="0"/>
              <w:kern w:val="0"/>
              <w:sz w:val="32"/>
              <w:szCs w:val="32"/>
              <w:lang w:val="en-US" w:eastAsia="zh-CN" w:bidi="ar-SA"/>
            </w:rPr>
            <w:fldChar w:fldCharType="begin"/>
          </w:r>
          <w:r>
            <w:rPr>
              <w:rFonts w:hint="default" w:ascii="Times New Roman" w:hAnsi="Times New Roman" w:eastAsia="楷体_GB2312" w:cs="Times New Roman"/>
              <w:b w:val="0"/>
              <w:bCs w:val="0"/>
              <w:kern w:val="0"/>
              <w:sz w:val="32"/>
              <w:szCs w:val="32"/>
              <w:lang w:val="en-US" w:eastAsia="zh-CN" w:bidi="ar-SA"/>
            </w:rPr>
            <w:instrText xml:space="preserve"> HYPERLINK \l _Toc18108 </w:instrText>
          </w:r>
          <w:r>
            <w:rPr>
              <w:rFonts w:hint="default" w:ascii="Times New Roman" w:hAnsi="Times New Roman" w:eastAsia="楷体_GB2312" w:cs="Times New Roman"/>
              <w:b w:val="0"/>
              <w:bCs w:val="0"/>
              <w:kern w:val="0"/>
              <w:sz w:val="32"/>
              <w:szCs w:val="32"/>
              <w:lang w:val="en-US" w:eastAsia="zh-CN" w:bidi="ar-SA"/>
            </w:rPr>
            <w:fldChar w:fldCharType="separate"/>
          </w:r>
          <w:r>
            <w:rPr>
              <w:rFonts w:hint="default" w:ascii="Times New Roman" w:hAnsi="Times New Roman" w:eastAsia="楷体_GB2312" w:cs="Times New Roman"/>
              <w:b w:val="0"/>
              <w:bCs w:val="0"/>
              <w:kern w:val="0"/>
              <w:sz w:val="32"/>
              <w:szCs w:val="32"/>
              <w:lang w:val="en-US" w:eastAsia="zh-CN" w:bidi="ar-SA"/>
            </w:rPr>
            <w:t>（三）制度建设等工作重视程度不够</w:t>
          </w:r>
          <w:r>
            <w:rPr>
              <w:rFonts w:hint="default" w:ascii="Times New Roman" w:hAnsi="Times New Roman" w:eastAsia="楷体_GB2312" w:cs="Times New Roman"/>
              <w:b w:val="0"/>
              <w:bCs w:val="0"/>
              <w:kern w:val="0"/>
              <w:sz w:val="32"/>
              <w:szCs w:val="32"/>
              <w:lang w:val="en-US" w:eastAsia="zh-CN" w:bidi="ar-SA"/>
            </w:rPr>
            <w:tab/>
          </w:r>
          <w:r>
            <w:rPr>
              <w:rFonts w:hint="default" w:ascii="Times New Roman" w:hAnsi="Times New Roman" w:eastAsia="楷体_GB2312" w:cs="Times New Roman"/>
              <w:b w:val="0"/>
              <w:bCs w:val="0"/>
              <w:kern w:val="0"/>
              <w:sz w:val="32"/>
              <w:szCs w:val="32"/>
              <w:lang w:val="en-US" w:eastAsia="zh-CN" w:bidi="ar-SA"/>
            </w:rPr>
            <w:fldChar w:fldCharType="end"/>
          </w:r>
          <w:r>
            <w:rPr>
              <w:rFonts w:hint="default" w:ascii="Times New Roman" w:hAnsi="Times New Roman" w:eastAsia="楷体_GB2312" w:cs="Times New Roman"/>
              <w:b w:val="0"/>
              <w:bCs w:val="0"/>
              <w:kern w:val="0"/>
              <w:sz w:val="32"/>
              <w:szCs w:val="32"/>
              <w:lang w:val="en-US" w:eastAsia="zh-CN" w:bidi="ar-SA"/>
            </w:rPr>
            <w:t>32</w:t>
          </w:r>
        </w:p>
        <w:p>
          <w:pPr>
            <w:pStyle w:val="2"/>
            <w:tabs>
              <w:tab w:val="right" w:leader="dot" w:pos="8732"/>
            </w:tabs>
            <w:rPr>
              <w:rFonts w:hint="default" w:ascii="Times New Roman" w:hAnsi="Times New Roman" w:eastAsia="黑体" w:cs="Times New Roman"/>
              <w:b w:val="0"/>
              <w:bCs w:val="0"/>
              <w:kern w:val="0"/>
              <w:sz w:val="32"/>
              <w:szCs w:val="32"/>
              <w:lang w:val="en-US" w:eastAsia="zh-CN" w:bidi="ar-SA"/>
            </w:rPr>
          </w:pPr>
          <w:r>
            <w:rPr>
              <w:rFonts w:hint="default" w:ascii="Times New Roman" w:hAnsi="Times New Roman" w:eastAsia="黑体" w:cs="Times New Roman"/>
              <w:b w:val="0"/>
              <w:bCs w:val="0"/>
              <w:kern w:val="0"/>
              <w:sz w:val="32"/>
              <w:szCs w:val="32"/>
              <w:lang w:val="en-US" w:eastAsia="zh-CN" w:bidi="ar-SA"/>
            </w:rPr>
            <w:fldChar w:fldCharType="begin"/>
          </w:r>
          <w:r>
            <w:rPr>
              <w:rFonts w:hint="default" w:ascii="Times New Roman" w:hAnsi="Times New Roman" w:eastAsia="黑体" w:cs="Times New Roman"/>
              <w:b w:val="0"/>
              <w:bCs w:val="0"/>
              <w:kern w:val="0"/>
              <w:sz w:val="32"/>
              <w:szCs w:val="32"/>
              <w:lang w:val="en-US" w:eastAsia="zh-CN" w:bidi="ar-SA"/>
            </w:rPr>
            <w:instrText xml:space="preserve"> HYPERLINK \l _Toc31512 </w:instrText>
          </w:r>
          <w:r>
            <w:rPr>
              <w:rFonts w:hint="default" w:ascii="Times New Roman" w:hAnsi="Times New Roman" w:eastAsia="黑体" w:cs="Times New Roman"/>
              <w:b w:val="0"/>
              <w:bCs w:val="0"/>
              <w:kern w:val="0"/>
              <w:sz w:val="32"/>
              <w:szCs w:val="32"/>
              <w:lang w:val="en-US" w:eastAsia="zh-CN" w:bidi="ar-SA"/>
            </w:rPr>
            <w:fldChar w:fldCharType="separate"/>
          </w:r>
          <w:r>
            <w:rPr>
              <w:rFonts w:hint="default" w:ascii="Times New Roman" w:hAnsi="Times New Roman" w:eastAsia="黑体" w:cs="Times New Roman"/>
              <w:b w:val="0"/>
              <w:bCs w:val="0"/>
              <w:kern w:val="0"/>
              <w:sz w:val="32"/>
              <w:szCs w:val="32"/>
              <w:lang w:val="en-US" w:eastAsia="zh-CN" w:bidi="ar-SA"/>
            </w:rPr>
            <w:t>八、有关建议</w:t>
          </w:r>
          <w:r>
            <w:rPr>
              <w:rFonts w:hint="default" w:ascii="Times New Roman" w:hAnsi="Times New Roman" w:eastAsia="黑体" w:cs="Times New Roman"/>
              <w:b w:val="0"/>
              <w:bCs w:val="0"/>
              <w:kern w:val="0"/>
              <w:sz w:val="32"/>
              <w:szCs w:val="32"/>
              <w:lang w:val="en-US" w:eastAsia="zh-CN" w:bidi="ar-SA"/>
            </w:rPr>
            <w:tab/>
          </w:r>
          <w:r>
            <w:rPr>
              <w:rFonts w:hint="default" w:ascii="Times New Roman" w:hAnsi="Times New Roman" w:eastAsia="黑体" w:cs="Times New Roman"/>
              <w:b w:val="0"/>
              <w:bCs w:val="0"/>
              <w:kern w:val="0"/>
              <w:sz w:val="32"/>
              <w:szCs w:val="32"/>
              <w:lang w:val="en-US" w:eastAsia="zh-CN" w:bidi="ar-SA"/>
            </w:rPr>
            <w:fldChar w:fldCharType="end"/>
          </w:r>
          <w:r>
            <w:rPr>
              <w:rFonts w:hint="default" w:ascii="Times New Roman" w:hAnsi="Times New Roman" w:eastAsia="黑体" w:cs="Times New Roman"/>
              <w:b w:val="0"/>
              <w:bCs w:val="0"/>
              <w:kern w:val="0"/>
              <w:sz w:val="32"/>
              <w:szCs w:val="32"/>
              <w:lang w:val="en-US" w:eastAsia="zh-CN" w:bidi="ar-SA"/>
            </w:rPr>
            <w:t>32</w:t>
          </w:r>
        </w:p>
        <w:p>
          <w:pPr>
            <w:pStyle w:val="19"/>
            <w:tabs>
              <w:tab w:val="right" w:leader="dot" w:pos="8732"/>
            </w:tabs>
            <w:rPr>
              <w:rFonts w:hint="default" w:ascii="Times New Roman" w:hAnsi="Times New Roman" w:eastAsia="楷体_GB2312" w:cs="Times New Roman"/>
              <w:b w:val="0"/>
              <w:bCs w:val="0"/>
              <w:kern w:val="0"/>
              <w:sz w:val="32"/>
              <w:szCs w:val="32"/>
              <w:lang w:val="en-US" w:eastAsia="zh-CN" w:bidi="ar-SA"/>
            </w:rPr>
          </w:pPr>
          <w:r>
            <w:rPr>
              <w:rFonts w:hint="default" w:ascii="Times New Roman" w:hAnsi="Times New Roman" w:eastAsia="楷体_GB2312" w:cs="Times New Roman"/>
              <w:b w:val="0"/>
              <w:bCs w:val="0"/>
              <w:kern w:val="0"/>
              <w:sz w:val="32"/>
              <w:szCs w:val="32"/>
              <w:lang w:val="en-US" w:eastAsia="zh-CN" w:bidi="ar-SA"/>
            </w:rPr>
            <w:fldChar w:fldCharType="begin"/>
          </w:r>
          <w:r>
            <w:rPr>
              <w:rFonts w:hint="default" w:ascii="Times New Roman" w:hAnsi="Times New Roman" w:eastAsia="楷体_GB2312" w:cs="Times New Roman"/>
              <w:b w:val="0"/>
              <w:bCs w:val="0"/>
              <w:kern w:val="0"/>
              <w:sz w:val="32"/>
              <w:szCs w:val="32"/>
              <w:lang w:val="en-US" w:eastAsia="zh-CN" w:bidi="ar-SA"/>
            </w:rPr>
            <w:instrText xml:space="preserve"> HYPERLINK \l _Toc20494 </w:instrText>
          </w:r>
          <w:r>
            <w:rPr>
              <w:rFonts w:hint="default" w:ascii="Times New Roman" w:hAnsi="Times New Roman" w:eastAsia="楷体_GB2312" w:cs="Times New Roman"/>
              <w:b w:val="0"/>
              <w:bCs w:val="0"/>
              <w:kern w:val="0"/>
              <w:sz w:val="32"/>
              <w:szCs w:val="32"/>
              <w:lang w:val="en-US" w:eastAsia="zh-CN" w:bidi="ar-SA"/>
            </w:rPr>
            <w:fldChar w:fldCharType="separate"/>
          </w:r>
          <w:r>
            <w:rPr>
              <w:rFonts w:hint="default" w:ascii="Times New Roman" w:hAnsi="Times New Roman" w:eastAsia="楷体_GB2312" w:cs="Times New Roman"/>
              <w:b w:val="0"/>
              <w:bCs w:val="0"/>
              <w:kern w:val="0"/>
              <w:sz w:val="32"/>
              <w:szCs w:val="32"/>
              <w:lang w:val="en-US" w:eastAsia="zh-CN" w:bidi="ar-SA"/>
            </w:rPr>
            <w:t>（一）提高绩效管理意识与能力</w:t>
          </w:r>
          <w:r>
            <w:rPr>
              <w:rFonts w:hint="default" w:ascii="Times New Roman" w:hAnsi="Times New Roman" w:eastAsia="楷体_GB2312" w:cs="Times New Roman"/>
              <w:b w:val="0"/>
              <w:bCs w:val="0"/>
              <w:kern w:val="0"/>
              <w:sz w:val="32"/>
              <w:szCs w:val="32"/>
              <w:lang w:val="en-US" w:eastAsia="zh-CN" w:bidi="ar-SA"/>
            </w:rPr>
            <w:tab/>
          </w:r>
          <w:r>
            <w:rPr>
              <w:rFonts w:hint="default" w:ascii="Times New Roman" w:hAnsi="Times New Roman" w:eastAsia="楷体_GB2312" w:cs="Times New Roman"/>
              <w:b w:val="0"/>
              <w:bCs w:val="0"/>
              <w:kern w:val="0"/>
              <w:sz w:val="32"/>
              <w:szCs w:val="32"/>
              <w:lang w:val="en-US" w:eastAsia="zh-CN" w:bidi="ar-SA"/>
            </w:rPr>
            <w:fldChar w:fldCharType="end"/>
          </w:r>
          <w:r>
            <w:rPr>
              <w:rFonts w:hint="default" w:ascii="Times New Roman" w:hAnsi="Times New Roman" w:eastAsia="楷体_GB2312" w:cs="Times New Roman"/>
              <w:b w:val="0"/>
              <w:bCs w:val="0"/>
              <w:kern w:val="0"/>
              <w:sz w:val="32"/>
              <w:szCs w:val="32"/>
              <w:lang w:val="en-US" w:eastAsia="zh-CN" w:bidi="ar-SA"/>
            </w:rPr>
            <w:t>32</w:t>
          </w:r>
        </w:p>
        <w:p>
          <w:pPr>
            <w:pStyle w:val="19"/>
            <w:tabs>
              <w:tab w:val="right" w:leader="dot" w:pos="8732"/>
            </w:tabs>
            <w:rPr>
              <w:rFonts w:hint="default" w:ascii="Times New Roman" w:hAnsi="Times New Roman" w:eastAsia="楷体_GB2312" w:cs="Times New Roman"/>
              <w:b w:val="0"/>
              <w:bCs w:val="0"/>
              <w:kern w:val="0"/>
              <w:sz w:val="32"/>
              <w:szCs w:val="32"/>
              <w:lang w:val="en-US" w:eastAsia="zh-CN" w:bidi="ar-SA"/>
            </w:rPr>
          </w:pPr>
          <w:r>
            <w:rPr>
              <w:rFonts w:hint="default" w:ascii="Times New Roman" w:hAnsi="Times New Roman" w:eastAsia="楷体_GB2312" w:cs="Times New Roman"/>
              <w:b w:val="0"/>
              <w:bCs w:val="0"/>
              <w:kern w:val="0"/>
              <w:sz w:val="32"/>
              <w:szCs w:val="32"/>
              <w:lang w:val="en-US" w:eastAsia="zh-CN" w:bidi="ar-SA"/>
            </w:rPr>
            <w:fldChar w:fldCharType="begin"/>
          </w:r>
          <w:r>
            <w:rPr>
              <w:rFonts w:hint="default" w:ascii="Times New Roman" w:hAnsi="Times New Roman" w:eastAsia="楷体_GB2312" w:cs="Times New Roman"/>
              <w:b w:val="0"/>
              <w:bCs w:val="0"/>
              <w:kern w:val="0"/>
              <w:sz w:val="32"/>
              <w:szCs w:val="32"/>
              <w:lang w:val="en-US" w:eastAsia="zh-CN" w:bidi="ar-SA"/>
            </w:rPr>
            <w:instrText xml:space="preserve"> HYPERLINK \l _Toc25721 </w:instrText>
          </w:r>
          <w:r>
            <w:rPr>
              <w:rFonts w:hint="default" w:ascii="Times New Roman" w:hAnsi="Times New Roman" w:eastAsia="楷体_GB2312" w:cs="Times New Roman"/>
              <w:b w:val="0"/>
              <w:bCs w:val="0"/>
              <w:kern w:val="0"/>
              <w:sz w:val="32"/>
              <w:szCs w:val="32"/>
              <w:lang w:val="en-US" w:eastAsia="zh-CN" w:bidi="ar-SA"/>
            </w:rPr>
            <w:fldChar w:fldCharType="separate"/>
          </w:r>
          <w:r>
            <w:rPr>
              <w:rFonts w:hint="default" w:ascii="Times New Roman" w:hAnsi="Times New Roman" w:eastAsia="楷体_GB2312" w:cs="Times New Roman"/>
              <w:b w:val="0"/>
              <w:bCs w:val="0"/>
              <w:kern w:val="0"/>
              <w:sz w:val="32"/>
              <w:szCs w:val="32"/>
              <w:lang w:val="en-US" w:eastAsia="zh-CN" w:bidi="ar-SA"/>
            </w:rPr>
            <w:t>（二）强化预算管理工作</w:t>
          </w:r>
          <w:r>
            <w:rPr>
              <w:rFonts w:hint="default" w:ascii="Times New Roman" w:hAnsi="Times New Roman" w:eastAsia="楷体_GB2312" w:cs="Times New Roman"/>
              <w:b w:val="0"/>
              <w:bCs w:val="0"/>
              <w:kern w:val="0"/>
              <w:sz w:val="32"/>
              <w:szCs w:val="32"/>
              <w:lang w:val="en-US" w:eastAsia="zh-CN" w:bidi="ar-SA"/>
            </w:rPr>
            <w:tab/>
          </w:r>
          <w:r>
            <w:rPr>
              <w:rFonts w:hint="default" w:ascii="Times New Roman" w:hAnsi="Times New Roman" w:eastAsia="楷体_GB2312" w:cs="Times New Roman"/>
              <w:b w:val="0"/>
              <w:bCs w:val="0"/>
              <w:kern w:val="0"/>
              <w:sz w:val="32"/>
              <w:szCs w:val="32"/>
              <w:lang w:val="en-US" w:eastAsia="zh-CN" w:bidi="ar-SA"/>
            </w:rPr>
            <w:fldChar w:fldCharType="end"/>
          </w:r>
          <w:r>
            <w:rPr>
              <w:rFonts w:hint="default" w:ascii="Times New Roman" w:hAnsi="Times New Roman" w:eastAsia="楷体_GB2312" w:cs="Times New Roman"/>
              <w:b w:val="0"/>
              <w:bCs w:val="0"/>
              <w:kern w:val="0"/>
              <w:sz w:val="32"/>
              <w:szCs w:val="32"/>
              <w:lang w:val="en-US" w:eastAsia="zh-CN" w:bidi="ar-SA"/>
            </w:rPr>
            <w:t>33</w:t>
          </w:r>
        </w:p>
        <w:p>
          <w:pPr>
            <w:pStyle w:val="19"/>
            <w:tabs>
              <w:tab w:val="right" w:leader="dot" w:pos="8732"/>
            </w:tabs>
            <w:rPr>
              <w:rFonts w:hint="default" w:ascii="Times New Roman" w:hAnsi="Times New Roman" w:eastAsia="楷体_GB2312" w:cs="Times New Roman"/>
              <w:b w:val="0"/>
              <w:bCs w:val="0"/>
              <w:kern w:val="0"/>
              <w:sz w:val="32"/>
              <w:szCs w:val="32"/>
              <w:lang w:val="en-US" w:eastAsia="zh-CN" w:bidi="ar-SA"/>
            </w:rPr>
          </w:pPr>
          <w:r>
            <w:rPr>
              <w:rFonts w:hint="default" w:ascii="Times New Roman" w:hAnsi="Times New Roman" w:eastAsia="楷体_GB2312" w:cs="Times New Roman"/>
              <w:b w:val="0"/>
              <w:bCs w:val="0"/>
              <w:kern w:val="0"/>
              <w:sz w:val="32"/>
              <w:szCs w:val="32"/>
              <w:lang w:val="en-US" w:eastAsia="zh-CN" w:bidi="ar-SA"/>
            </w:rPr>
            <w:fldChar w:fldCharType="begin"/>
          </w:r>
          <w:r>
            <w:rPr>
              <w:rFonts w:hint="default" w:ascii="Times New Roman" w:hAnsi="Times New Roman" w:eastAsia="楷体_GB2312" w:cs="Times New Roman"/>
              <w:b w:val="0"/>
              <w:bCs w:val="0"/>
              <w:kern w:val="0"/>
              <w:sz w:val="32"/>
              <w:szCs w:val="32"/>
              <w:lang w:val="en-US" w:eastAsia="zh-CN" w:bidi="ar-SA"/>
            </w:rPr>
            <w:instrText xml:space="preserve"> HYPERLINK \l _Toc28930 </w:instrText>
          </w:r>
          <w:r>
            <w:rPr>
              <w:rFonts w:hint="default" w:ascii="Times New Roman" w:hAnsi="Times New Roman" w:eastAsia="楷体_GB2312" w:cs="Times New Roman"/>
              <w:b w:val="0"/>
              <w:bCs w:val="0"/>
              <w:kern w:val="0"/>
              <w:sz w:val="32"/>
              <w:szCs w:val="32"/>
              <w:lang w:val="en-US" w:eastAsia="zh-CN" w:bidi="ar-SA"/>
            </w:rPr>
            <w:fldChar w:fldCharType="separate"/>
          </w:r>
          <w:r>
            <w:rPr>
              <w:rFonts w:hint="default" w:ascii="Times New Roman" w:hAnsi="Times New Roman" w:eastAsia="楷体_GB2312" w:cs="Times New Roman"/>
              <w:b w:val="0"/>
              <w:bCs w:val="0"/>
              <w:kern w:val="0"/>
              <w:sz w:val="32"/>
              <w:szCs w:val="32"/>
              <w:lang w:val="en-US" w:eastAsia="zh-CN" w:bidi="ar-SA"/>
            </w:rPr>
            <w:t>（三）加强制度建设和规范管理</w:t>
          </w:r>
          <w:r>
            <w:rPr>
              <w:rFonts w:hint="default" w:ascii="Times New Roman" w:hAnsi="Times New Roman" w:eastAsia="楷体_GB2312" w:cs="Times New Roman"/>
              <w:b w:val="0"/>
              <w:bCs w:val="0"/>
              <w:kern w:val="0"/>
              <w:sz w:val="32"/>
              <w:szCs w:val="32"/>
              <w:lang w:val="en-US" w:eastAsia="zh-CN" w:bidi="ar-SA"/>
            </w:rPr>
            <w:tab/>
          </w:r>
          <w:r>
            <w:rPr>
              <w:rFonts w:hint="default" w:ascii="Times New Roman" w:hAnsi="Times New Roman" w:eastAsia="楷体_GB2312" w:cs="Times New Roman"/>
              <w:b w:val="0"/>
              <w:bCs w:val="0"/>
              <w:kern w:val="0"/>
              <w:sz w:val="32"/>
              <w:szCs w:val="32"/>
              <w:lang w:val="en-US" w:eastAsia="zh-CN" w:bidi="ar-SA"/>
            </w:rPr>
            <w:fldChar w:fldCharType="end"/>
          </w:r>
          <w:r>
            <w:rPr>
              <w:rFonts w:hint="default" w:ascii="Times New Roman" w:hAnsi="Times New Roman" w:eastAsia="楷体_GB2312" w:cs="Times New Roman"/>
              <w:b w:val="0"/>
              <w:bCs w:val="0"/>
              <w:kern w:val="0"/>
              <w:sz w:val="32"/>
              <w:szCs w:val="32"/>
              <w:lang w:val="en-US" w:eastAsia="zh-CN" w:bidi="ar-SA"/>
            </w:rPr>
            <w:t>33</w:t>
          </w:r>
        </w:p>
        <w:p>
          <w:pPr>
            <w:pStyle w:val="2"/>
            <w:tabs>
              <w:tab w:val="right" w:leader="dot" w:pos="8732"/>
            </w:tabs>
            <w:rPr>
              <w:rFonts w:hint="default" w:ascii="Times New Roman" w:hAnsi="Times New Roman" w:eastAsia="黑体" w:cs="Times New Roman"/>
              <w:b w:val="0"/>
              <w:bCs w:val="0"/>
              <w:kern w:val="0"/>
              <w:sz w:val="32"/>
              <w:szCs w:val="32"/>
              <w:lang w:val="en-US" w:eastAsia="zh-CN" w:bidi="ar-SA"/>
            </w:rPr>
          </w:pPr>
          <w:r>
            <w:rPr>
              <w:rFonts w:hint="default" w:ascii="Times New Roman" w:hAnsi="Times New Roman" w:eastAsia="黑体" w:cs="Times New Roman"/>
              <w:b w:val="0"/>
              <w:bCs w:val="0"/>
              <w:kern w:val="0"/>
              <w:sz w:val="32"/>
              <w:szCs w:val="32"/>
              <w:lang w:val="en-US" w:eastAsia="zh-CN" w:bidi="ar-SA"/>
            </w:rPr>
            <w:fldChar w:fldCharType="begin"/>
          </w:r>
          <w:r>
            <w:rPr>
              <w:rFonts w:hint="default" w:ascii="Times New Roman" w:hAnsi="Times New Roman" w:eastAsia="黑体" w:cs="Times New Roman"/>
              <w:b w:val="0"/>
              <w:bCs w:val="0"/>
              <w:kern w:val="0"/>
              <w:sz w:val="32"/>
              <w:szCs w:val="32"/>
              <w:lang w:val="en-US" w:eastAsia="zh-CN" w:bidi="ar-SA"/>
            </w:rPr>
            <w:instrText xml:space="preserve"> HYPERLINK \l _Toc8957 </w:instrText>
          </w:r>
          <w:r>
            <w:rPr>
              <w:rFonts w:hint="default" w:ascii="Times New Roman" w:hAnsi="Times New Roman" w:eastAsia="黑体" w:cs="Times New Roman"/>
              <w:b w:val="0"/>
              <w:bCs w:val="0"/>
              <w:kern w:val="0"/>
              <w:sz w:val="32"/>
              <w:szCs w:val="32"/>
              <w:lang w:val="en-US" w:eastAsia="zh-CN" w:bidi="ar-SA"/>
            </w:rPr>
            <w:fldChar w:fldCharType="separate"/>
          </w:r>
          <w:r>
            <w:rPr>
              <w:rFonts w:hint="default" w:ascii="Times New Roman" w:hAnsi="Times New Roman" w:eastAsia="黑体" w:cs="Times New Roman"/>
              <w:b w:val="0"/>
              <w:bCs w:val="0"/>
              <w:kern w:val="0"/>
              <w:sz w:val="32"/>
              <w:szCs w:val="32"/>
              <w:lang w:val="en-US" w:eastAsia="zh-CN" w:bidi="ar-SA"/>
            </w:rPr>
            <w:t>九、其他需要说明的问题</w:t>
          </w:r>
          <w:r>
            <w:rPr>
              <w:rFonts w:hint="default" w:ascii="Times New Roman" w:hAnsi="Times New Roman" w:eastAsia="黑体" w:cs="Times New Roman"/>
              <w:b w:val="0"/>
              <w:bCs w:val="0"/>
              <w:kern w:val="0"/>
              <w:sz w:val="32"/>
              <w:szCs w:val="32"/>
              <w:lang w:val="en-US" w:eastAsia="zh-CN" w:bidi="ar-SA"/>
            </w:rPr>
            <w:tab/>
          </w:r>
          <w:r>
            <w:rPr>
              <w:rFonts w:hint="default" w:ascii="Times New Roman" w:hAnsi="Times New Roman" w:eastAsia="黑体" w:cs="Times New Roman"/>
              <w:b w:val="0"/>
              <w:bCs w:val="0"/>
              <w:kern w:val="0"/>
              <w:sz w:val="32"/>
              <w:szCs w:val="32"/>
              <w:lang w:val="en-US" w:eastAsia="zh-CN" w:bidi="ar-SA"/>
            </w:rPr>
            <w:fldChar w:fldCharType="end"/>
          </w:r>
          <w:r>
            <w:rPr>
              <w:rFonts w:hint="default" w:ascii="Times New Roman" w:hAnsi="Times New Roman" w:eastAsia="黑体" w:cs="Times New Roman"/>
              <w:b w:val="0"/>
              <w:bCs w:val="0"/>
              <w:kern w:val="0"/>
              <w:sz w:val="32"/>
              <w:szCs w:val="32"/>
              <w:lang w:val="en-US" w:eastAsia="zh-CN" w:bidi="ar-SA"/>
            </w:rPr>
            <w:t>33</w:t>
          </w:r>
        </w:p>
        <w:p>
          <w:pPr>
            <w:pStyle w:val="19"/>
            <w:tabs>
              <w:tab w:val="right" w:leader="dot" w:pos="8732"/>
            </w:tabs>
            <w:rPr>
              <w:rFonts w:hint="default" w:ascii="Times New Roman" w:hAnsi="Times New Roman" w:eastAsia="楷体_GB2312" w:cs="Times New Roman"/>
              <w:b w:val="0"/>
              <w:bCs w:val="0"/>
              <w:kern w:val="0"/>
              <w:sz w:val="32"/>
              <w:szCs w:val="32"/>
              <w:lang w:val="en-US" w:eastAsia="zh-CN" w:bidi="ar-SA"/>
            </w:rPr>
          </w:pPr>
          <w:r>
            <w:rPr>
              <w:rFonts w:hint="default" w:ascii="Times New Roman" w:hAnsi="Times New Roman" w:eastAsia="楷体_GB2312" w:cs="Times New Roman"/>
              <w:b w:val="0"/>
              <w:bCs w:val="0"/>
              <w:kern w:val="0"/>
              <w:sz w:val="32"/>
              <w:szCs w:val="32"/>
              <w:lang w:val="en-US" w:eastAsia="zh-CN" w:bidi="ar-SA"/>
            </w:rPr>
            <w:fldChar w:fldCharType="begin"/>
          </w:r>
          <w:r>
            <w:rPr>
              <w:rFonts w:hint="default" w:ascii="Times New Roman" w:hAnsi="Times New Roman" w:eastAsia="楷体_GB2312" w:cs="Times New Roman"/>
              <w:b w:val="0"/>
              <w:bCs w:val="0"/>
              <w:kern w:val="0"/>
              <w:sz w:val="32"/>
              <w:szCs w:val="32"/>
              <w:lang w:val="en-US" w:eastAsia="zh-CN" w:bidi="ar-SA"/>
            </w:rPr>
            <w:instrText xml:space="preserve"> HYPERLINK \l _Toc10103 </w:instrText>
          </w:r>
          <w:r>
            <w:rPr>
              <w:rFonts w:hint="default" w:ascii="Times New Roman" w:hAnsi="Times New Roman" w:eastAsia="楷体_GB2312" w:cs="Times New Roman"/>
              <w:b w:val="0"/>
              <w:bCs w:val="0"/>
              <w:kern w:val="0"/>
              <w:sz w:val="32"/>
              <w:szCs w:val="32"/>
              <w:lang w:val="en-US" w:eastAsia="zh-CN" w:bidi="ar-SA"/>
            </w:rPr>
            <w:fldChar w:fldCharType="separate"/>
          </w:r>
          <w:r>
            <w:rPr>
              <w:rFonts w:hint="default" w:ascii="Times New Roman" w:hAnsi="Times New Roman" w:eastAsia="楷体_GB2312" w:cs="Times New Roman"/>
              <w:b w:val="0"/>
              <w:bCs w:val="0"/>
              <w:kern w:val="0"/>
              <w:sz w:val="32"/>
              <w:szCs w:val="32"/>
              <w:lang w:val="en-US" w:eastAsia="zh-CN" w:bidi="ar-SA"/>
            </w:rPr>
            <w:t>附件1：绩效评价得分表</w:t>
          </w:r>
          <w:r>
            <w:rPr>
              <w:rFonts w:hint="default" w:ascii="Times New Roman" w:hAnsi="Times New Roman" w:eastAsia="楷体_GB2312" w:cs="Times New Roman"/>
              <w:b w:val="0"/>
              <w:bCs w:val="0"/>
              <w:kern w:val="0"/>
              <w:sz w:val="32"/>
              <w:szCs w:val="32"/>
              <w:lang w:val="en-US" w:eastAsia="zh-CN" w:bidi="ar-SA"/>
            </w:rPr>
            <w:tab/>
          </w:r>
          <w:r>
            <w:rPr>
              <w:rFonts w:hint="default" w:ascii="Times New Roman" w:hAnsi="Times New Roman" w:eastAsia="楷体_GB2312" w:cs="Times New Roman"/>
              <w:b w:val="0"/>
              <w:bCs w:val="0"/>
              <w:kern w:val="0"/>
              <w:sz w:val="32"/>
              <w:szCs w:val="32"/>
              <w:lang w:val="en-US" w:eastAsia="zh-CN" w:bidi="ar-SA"/>
            </w:rPr>
            <w:fldChar w:fldCharType="end"/>
          </w:r>
          <w:r>
            <w:rPr>
              <w:rFonts w:hint="default" w:ascii="Times New Roman" w:hAnsi="Times New Roman" w:eastAsia="楷体_GB2312" w:cs="Times New Roman"/>
              <w:b w:val="0"/>
              <w:bCs w:val="0"/>
              <w:kern w:val="0"/>
              <w:sz w:val="32"/>
              <w:szCs w:val="32"/>
              <w:lang w:val="en-US" w:eastAsia="zh-CN" w:bidi="ar-SA"/>
            </w:rPr>
            <w:t>35</w:t>
          </w:r>
        </w:p>
        <w:p>
          <w:pPr>
            <w:pStyle w:val="19"/>
            <w:tabs>
              <w:tab w:val="right" w:leader="dot" w:pos="8732"/>
            </w:tabs>
            <w:rPr>
              <w:rFonts w:hint="default" w:ascii="Times New Roman" w:hAnsi="Times New Roman" w:eastAsia="楷体_GB2312" w:cs="Times New Roman"/>
              <w:b w:val="0"/>
              <w:bCs w:val="0"/>
              <w:kern w:val="0"/>
              <w:sz w:val="32"/>
              <w:szCs w:val="32"/>
              <w:lang w:val="en-US" w:eastAsia="zh-CN" w:bidi="ar-SA"/>
            </w:rPr>
          </w:pPr>
          <w:r>
            <w:rPr>
              <w:rFonts w:hint="default" w:ascii="Times New Roman" w:hAnsi="Times New Roman" w:eastAsia="楷体_GB2312" w:cs="Times New Roman"/>
              <w:b w:val="0"/>
              <w:bCs w:val="0"/>
              <w:kern w:val="0"/>
              <w:sz w:val="32"/>
              <w:szCs w:val="32"/>
              <w:lang w:val="en-US" w:eastAsia="zh-CN" w:bidi="ar-SA"/>
            </w:rPr>
            <w:fldChar w:fldCharType="begin"/>
          </w:r>
          <w:r>
            <w:rPr>
              <w:rFonts w:hint="default" w:ascii="Times New Roman" w:hAnsi="Times New Roman" w:eastAsia="楷体_GB2312" w:cs="Times New Roman"/>
              <w:b w:val="0"/>
              <w:bCs w:val="0"/>
              <w:kern w:val="0"/>
              <w:sz w:val="32"/>
              <w:szCs w:val="32"/>
              <w:lang w:val="en-US" w:eastAsia="zh-CN" w:bidi="ar-SA"/>
            </w:rPr>
            <w:instrText xml:space="preserve"> HYPERLINK \l _Toc10037 </w:instrText>
          </w:r>
          <w:r>
            <w:rPr>
              <w:rFonts w:hint="default" w:ascii="Times New Roman" w:hAnsi="Times New Roman" w:eastAsia="楷体_GB2312" w:cs="Times New Roman"/>
              <w:b w:val="0"/>
              <w:bCs w:val="0"/>
              <w:kern w:val="0"/>
              <w:sz w:val="32"/>
              <w:szCs w:val="32"/>
              <w:lang w:val="en-US" w:eastAsia="zh-CN" w:bidi="ar-SA"/>
            </w:rPr>
            <w:fldChar w:fldCharType="separate"/>
          </w:r>
          <w:r>
            <w:rPr>
              <w:rFonts w:hint="default" w:ascii="Times New Roman" w:hAnsi="Times New Roman" w:eastAsia="楷体_GB2312" w:cs="Times New Roman"/>
              <w:b w:val="0"/>
              <w:bCs w:val="0"/>
              <w:kern w:val="0"/>
              <w:sz w:val="32"/>
              <w:szCs w:val="32"/>
              <w:lang w:val="en-US" w:eastAsia="zh-CN" w:bidi="ar-SA"/>
            </w:rPr>
            <w:t>附件2：问题清单</w:t>
          </w:r>
          <w:r>
            <w:rPr>
              <w:rFonts w:hint="default" w:ascii="Times New Roman" w:hAnsi="Times New Roman" w:eastAsia="楷体_GB2312" w:cs="Times New Roman"/>
              <w:b w:val="0"/>
              <w:bCs w:val="0"/>
              <w:kern w:val="0"/>
              <w:sz w:val="32"/>
              <w:szCs w:val="32"/>
              <w:lang w:val="en-US" w:eastAsia="zh-CN" w:bidi="ar-SA"/>
            </w:rPr>
            <w:tab/>
          </w:r>
          <w:r>
            <w:rPr>
              <w:rFonts w:hint="default" w:ascii="Times New Roman" w:hAnsi="Times New Roman" w:eastAsia="楷体_GB2312" w:cs="Times New Roman"/>
              <w:b w:val="0"/>
              <w:bCs w:val="0"/>
              <w:kern w:val="0"/>
              <w:sz w:val="32"/>
              <w:szCs w:val="32"/>
              <w:lang w:val="en-US" w:eastAsia="zh-CN" w:bidi="ar-SA"/>
            </w:rPr>
            <w:fldChar w:fldCharType="end"/>
          </w:r>
          <w:r>
            <w:rPr>
              <w:rFonts w:hint="default" w:ascii="Times New Roman" w:hAnsi="Times New Roman" w:eastAsia="楷体_GB2312" w:cs="Times New Roman"/>
              <w:b w:val="0"/>
              <w:bCs w:val="0"/>
              <w:kern w:val="0"/>
              <w:sz w:val="32"/>
              <w:szCs w:val="32"/>
              <w:lang w:val="en-US" w:eastAsia="zh-CN" w:bidi="ar-SA"/>
            </w:rPr>
            <w:t>38</w:t>
          </w:r>
        </w:p>
        <w:p>
          <w:pPr>
            <w:pStyle w:val="19"/>
            <w:tabs>
              <w:tab w:val="right" w:leader="dot" w:pos="8732"/>
            </w:tabs>
            <w:rPr>
              <w:rFonts w:hint="default" w:ascii="Times New Roman" w:hAnsi="Times New Roman" w:eastAsia="楷体_GB2312" w:cs="Times New Roman"/>
              <w:b w:val="0"/>
              <w:bCs w:val="0"/>
              <w:kern w:val="0"/>
              <w:sz w:val="32"/>
              <w:szCs w:val="32"/>
              <w:lang w:val="en-US" w:eastAsia="zh-CN" w:bidi="ar-SA"/>
            </w:rPr>
          </w:pPr>
          <w:r>
            <w:rPr>
              <w:rFonts w:hint="default" w:ascii="Times New Roman" w:hAnsi="Times New Roman" w:eastAsia="楷体_GB2312" w:cs="Times New Roman"/>
              <w:b w:val="0"/>
              <w:bCs w:val="0"/>
              <w:kern w:val="0"/>
              <w:sz w:val="32"/>
              <w:szCs w:val="32"/>
              <w:lang w:val="en-US" w:eastAsia="zh-CN" w:bidi="ar-SA"/>
            </w:rPr>
            <w:fldChar w:fldCharType="begin"/>
          </w:r>
          <w:r>
            <w:rPr>
              <w:rFonts w:hint="default" w:ascii="Times New Roman" w:hAnsi="Times New Roman" w:eastAsia="楷体_GB2312" w:cs="Times New Roman"/>
              <w:b w:val="0"/>
              <w:bCs w:val="0"/>
              <w:kern w:val="0"/>
              <w:sz w:val="32"/>
              <w:szCs w:val="32"/>
              <w:lang w:val="en-US" w:eastAsia="zh-CN" w:bidi="ar-SA"/>
            </w:rPr>
            <w:instrText xml:space="preserve"> HYPERLINK \l _Toc11050 </w:instrText>
          </w:r>
          <w:r>
            <w:rPr>
              <w:rFonts w:hint="default" w:ascii="Times New Roman" w:hAnsi="Times New Roman" w:eastAsia="楷体_GB2312" w:cs="Times New Roman"/>
              <w:b w:val="0"/>
              <w:bCs w:val="0"/>
              <w:kern w:val="0"/>
              <w:sz w:val="32"/>
              <w:szCs w:val="32"/>
              <w:lang w:val="en-US" w:eastAsia="zh-CN" w:bidi="ar-SA"/>
            </w:rPr>
            <w:fldChar w:fldCharType="separate"/>
          </w:r>
          <w:r>
            <w:rPr>
              <w:rFonts w:hint="default" w:ascii="Times New Roman" w:hAnsi="Times New Roman" w:eastAsia="楷体_GB2312" w:cs="Times New Roman"/>
              <w:b w:val="0"/>
              <w:bCs w:val="0"/>
              <w:kern w:val="0"/>
              <w:sz w:val="32"/>
              <w:szCs w:val="32"/>
              <w:lang w:val="en-US" w:eastAsia="zh-CN" w:bidi="ar-SA"/>
            </w:rPr>
            <w:t>附件3：调查分析报告</w:t>
          </w:r>
          <w:r>
            <w:rPr>
              <w:rFonts w:hint="default" w:ascii="Times New Roman" w:hAnsi="Times New Roman" w:eastAsia="楷体_GB2312" w:cs="Times New Roman"/>
              <w:b w:val="0"/>
              <w:bCs w:val="0"/>
              <w:kern w:val="0"/>
              <w:sz w:val="32"/>
              <w:szCs w:val="32"/>
              <w:lang w:val="en-US" w:eastAsia="zh-CN" w:bidi="ar-SA"/>
            </w:rPr>
            <w:tab/>
          </w:r>
          <w:r>
            <w:rPr>
              <w:rFonts w:hint="default" w:ascii="Times New Roman" w:hAnsi="Times New Roman" w:eastAsia="楷体_GB2312" w:cs="Times New Roman"/>
              <w:b w:val="0"/>
              <w:bCs w:val="0"/>
              <w:kern w:val="0"/>
              <w:sz w:val="32"/>
              <w:szCs w:val="32"/>
              <w:lang w:val="en-US" w:eastAsia="zh-CN" w:bidi="ar-SA"/>
            </w:rPr>
            <w:fldChar w:fldCharType="end"/>
          </w:r>
          <w:r>
            <w:rPr>
              <w:rFonts w:hint="default" w:ascii="Times New Roman" w:hAnsi="Times New Roman" w:eastAsia="楷体_GB2312" w:cs="Times New Roman"/>
              <w:b w:val="0"/>
              <w:bCs w:val="0"/>
              <w:kern w:val="0"/>
              <w:sz w:val="32"/>
              <w:szCs w:val="32"/>
              <w:lang w:val="en-US" w:eastAsia="zh-CN" w:bidi="ar-SA"/>
            </w:rPr>
            <w:t>39</w:t>
          </w:r>
        </w:p>
        <w:p>
          <w:pPr>
            <w:pStyle w:val="19"/>
            <w:tabs>
              <w:tab w:val="right" w:leader="dot" w:pos="8732"/>
            </w:tabs>
            <w:rPr>
              <w:rFonts w:hint="default" w:ascii="Times New Roman" w:hAnsi="Times New Roman" w:eastAsia="楷体_GB2312" w:cs="Times New Roman"/>
              <w:b w:val="0"/>
              <w:bCs w:val="0"/>
              <w:kern w:val="0"/>
              <w:sz w:val="32"/>
              <w:szCs w:val="32"/>
              <w:lang w:val="en-US" w:eastAsia="zh-CN" w:bidi="ar-SA"/>
            </w:rPr>
          </w:pPr>
          <w:r>
            <w:rPr>
              <w:rFonts w:hint="default" w:ascii="Times New Roman" w:hAnsi="Times New Roman" w:eastAsia="楷体_GB2312" w:cs="Times New Roman"/>
              <w:b w:val="0"/>
              <w:bCs w:val="0"/>
              <w:kern w:val="0"/>
              <w:sz w:val="32"/>
              <w:szCs w:val="32"/>
              <w:lang w:val="en-US" w:eastAsia="zh-CN" w:bidi="ar-SA"/>
            </w:rPr>
            <w:fldChar w:fldCharType="begin"/>
          </w:r>
          <w:r>
            <w:rPr>
              <w:rFonts w:hint="default" w:ascii="Times New Roman" w:hAnsi="Times New Roman" w:eastAsia="楷体_GB2312" w:cs="Times New Roman"/>
              <w:b w:val="0"/>
              <w:bCs w:val="0"/>
              <w:kern w:val="0"/>
              <w:sz w:val="32"/>
              <w:szCs w:val="32"/>
              <w:lang w:val="en-US" w:eastAsia="zh-CN" w:bidi="ar-SA"/>
            </w:rPr>
            <w:instrText xml:space="preserve"> HYPERLINK \l _Toc13022 </w:instrText>
          </w:r>
          <w:r>
            <w:rPr>
              <w:rFonts w:hint="default" w:ascii="Times New Roman" w:hAnsi="Times New Roman" w:eastAsia="楷体_GB2312" w:cs="Times New Roman"/>
              <w:b w:val="0"/>
              <w:bCs w:val="0"/>
              <w:kern w:val="0"/>
              <w:sz w:val="32"/>
              <w:szCs w:val="32"/>
              <w:lang w:val="en-US" w:eastAsia="zh-CN" w:bidi="ar-SA"/>
            </w:rPr>
            <w:fldChar w:fldCharType="separate"/>
          </w:r>
          <w:r>
            <w:rPr>
              <w:rFonts w:hint="default" w:ascii="Times New Roman" w:hAnsi="Times New Roman" w:eastAsia="楷体_GB2312" w:cs="Times New Roman"/>
              <w:b w:val="0"/>
              <w:bCs w:val="0"/>
              <w:kern w:val="0"/>
              <w:sz w:val="32"/>
              <w:szCs w:val="32"/>
              <w:lang w:val="en-US" w:eastAsia="zh-CN" w:bidi="ar-SA"/>
            </w:rPr>
            <w:t>附件4：2023年预算项目支出绩效目标表</w:t>
          </w:r>
          <w:r>
            <w:rPr>
              <w:rFonts w:hint="default" w:ascii="Times New Roman" w:hAnsi="Times New Roman" w:eastAsia="楷体_GB2312" w:cs="Times New Roman"/>
              <w:b w:val="0"/>
              <w:bCs w:val="0"/>
              <w:kern w:val="0"/>
              <w:sz w:val="32"/>
              <w:szCs w:val="32"/>
              <w:lang w:val="en-US" w:eastAsia="zh-CN" w:bidi="ar-SA"/>
            </w:rPr>
            <w:tab/>
          </w:r>
          <w:r>
            <w:rPr>
              <w:rFonts w:hint="default" w:ascii="Times New Roman" w:hAnsi="Times New Roman" w:eastAsia="楷体_GB2312" w:cs="Times New Roman"/>
              <w:b w:val="0"/>
              <w:bCs w:val="0"/>
              <w:kern w:val="0"/>
              <w:sz w:val="32"/>
              <w:szCs w:val="32"/>
              <w:lang w:val="en-US" w:eastAsia="zh-CN" w:bidi="ar-SA"/>
            </w:rPr>
            <w:fldChar w:fldCharType="end"/>
          </w:r>
          <w:r>
            <w:rPr>
              <w:rFonts w:hint="default" w:ascii="Times New Roman" w:hAnsi="Times New Roman" w:eastAsia="楷体_GB2312" w:cs="Times New Roman"/>
              <w:b w:val="0"/>
              <w:bCs w:val="0"/>
              <w:kern w:val="0"/>
              <w:sz w:val="32"/>
              <w:szCs w:val="32"/>
              <w:lang w:val="en-US" w:eastAsia="zh-CN" w:bidi="ar-SA"/>
            </w:rPr>
            <w:t>45</w:t>
          </w:r>
        </w:p>
        <w:p>
          <w:pPr>
            <w:keepNext w:val="0"/>
            <w:keepLines w:val="0"/>
            <w:pageBreakBefore w:val="0"/>
            <w:kinsoku/>
            <w:wordWrap/>
            <w:overflowPunct/>
            <w:topLinePunct w:val="0"/>
            <w:autoSpaceDE/>
            <w:autoSpaceDN/>
            <w:bidi w:val="0"/>
            <w:adjustRightInd/>
            <w:snapToGrid/>
            <w:ind w:left="270" w:leftChars="100" w:right="270" w:rightChars="100" w:firstLine="540"/>
            <w:textAlignment w:val="auto"/>
            <w:rPr>
              <w:rFonts w:hint="default" w:ascii="Times New Roman" w:hAnsi="Times New Roman" w:cs="Times New Roman"/>
              <w:b w:val="0"/>
              <w:bCs w:val="0"/>
            </w:rPr>
          </w:pPr>
          <w:r>
            <w:rPr>
              <w:rFonts w:hint="default" w:ascii="Times New Roman" w:hAnsi="Times New Roman" w:cs="Times New Roman"/>
              <w:b w:val="0"/>
              <w:bCs w:val="0"/>
            </w:rPr>
            <w:fldChar w:fldCharType="end"/>
          </w:r>
        </w:p>
      </w:sdtContent>
    </w:sdt>
    <w:p>
      <w:pPr>
        <w:pStyle w:val="2"/>
        <w:ind w:firstLine="540"/>
        <w:rPr>
          <w:rFonts w:hint="default" w:ascii="Times New Roman" w:hAnsi="Times New Roman" w:cs="Times New Roman"/>
          <w:b w:val="0"/>
          <w:bCs w:val="0"/>
        </w:rPr>
        <w:sectPr>
          <w:headerReference r:id="rId11" w:type="default"/>
          <w:footerReference r:id="rId12" w:type="default"/>
          <w:footnotePr>
            <w:numFmt w:val="decimalEnclosedCircleChinese"/>
            <w:numRestart w:val="eachPage"/>
          </w:footnotePr>
          <w:pgSz w:w="11905" w:h="16838"/>
          <w:pgMar w:top="1587" w:right="1587" w:bottom="1587" w:left="1587" w:header="851" w:footer="992" w:gutter="0"/>
          <w:pgNumType w:fmt="numberInDash" w:start="1"/>
          <w:cols w:space="0" w:num="1"/>
          <w:rtlGutter w:val="0"/>
          <w:docGrid w:type="lines" w:linePitch="312" w:charSpace="0"/>
        </w:sectPr>
      </w:pPr>
    </w:p>
    <w:p>
      <w:pPr>
        <w:pStyle w:val="3"/>
        <w:ind w:firstLine="0" w:firstLineChars="0"/>
        <w:jc w:val="center"/>
        <w:rPr>
          <w:rFonts w:hint="default" w:ascii="Times New Roman" w:hAnsi="Times New Roman" w:cs="Times New Roman"/>
          <w:b w:val="0"/>
          <w:bCs w:val="0"/>
          <w:sz w:val="44"/>
          <w:szCs w:val="44"/>
        </w:rPr>
      </w:pPr>
      <w:bookmarkStart w:id="0" w:name="_Toc21635"/>
      <w:bookmarkStart w:id="1" w:name="_Hlk24228435"/>
      <w:r>
        <w:rPr>
          <w:rFonts w:hint="default" w:ascii="Times New Roman" w:hAnsi="Times New Roman" w:eastAsia="方正小标宋简体" w:cs="Times New Roman"/>
          <w:b w:val="0"/>
          <w:bCs w:val="0"/>
          <w:kern w:val="0"/>
          <w:sz w:val="44"/>
          <w:szCs w:val="44"/>
        </w:rPr>
        <w:t>摘  要</w:t>
      </w:r>
      <w:bookmarkEnd w:id="0"/>
    </w:p>
    <w:p>
      <w:pPr>
        <w:spacing w:line="600" w:lineRule="exact"/>
        <w:ind w:firstLine="0" w:firstLineChars="0"/>
        <w:rPr>
          <w:rFonts w:hint="default" w:ascii="Times New Roman" w:hAnsi="Times New Roman" w:cs="Times New Roman"/>
          <w:b w:val="0"/>
          <w:bCs w:val="0"/>
          <w:kern w:val="0"/>
        </w:rPr>
      </w:pPr>
    </w:p>
    <w:p>
      <w:pPr>
        <w:pStyle w:val="3"/>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cs="Times New Roman"/>
          <w:b w:val="0"/>
          <w:bCs w:val="0"/>
          <w:i w:val="0"/>
          <w:iCs w:val="0"/>
          <w:kern w:val="0"/>
          <w:sz w:val="32"/>
          <w:szCs w:val="32"/>
        </w:rPr>
      </w:pPr>
      <w:bookmarkStart w:id="2" w:name="_Toc2588"/>
      <w:bookmarkStart w:id="3" w:name="_Toc15849"/>
      <w:bookmarkStart w:id="4" w:name="_Toc12525"/>
      <w:bookmarkStart w:id="5" w:name="_Toc8420"/>
      <w:bookmarkStart w:id="6" w:name="_Toc24343"/>
      <w:bookmarkStart w:id="7" w:name="_Toc537"/>
      <w:r>
        <w:rPr>
          <w:rFonts w:hint="default" w:ascii="Times New Roman" w:hAnsi="Times New Roman" w:cs="Times New Roman"/>
          <w:b w:val="0"/>
          <w:bCs w:val="0"/>
          <w:i w:val="0"/>
          <w:iCs w:val="0"/>
          <w:kern w:val="0"/>
          <w:sz w:val="32"/>
          <w:szCs w:val="32"/>
        </w:rPr>
        <w:t>一、项目基本情况</w:t>
      </w:r>
      <w:bookmarkEnd w:id="2"/>
      <w:bookmarkEnd w:id="3"/>
      <w:bookmarkEnd w:id="4"/>
      <w:bookmarkEnd w:id="5"/>
      <w:bookmarkEnd w:id="6"/>
      <w:bookmarkEnd w:id="7"/>
    </w:p>
    <w:p>
      <w:pPr>
        <w:pStyle w:val="2"/>
        <w:keepNext w:val="0"/>
        <w:keepLines w:val="0"/>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i w:val="0"/>
          <w:iCs w:val="0"/>
          <w:kern w:val="0"/>
          <w:sz w:val="32"/>
          <w:szCs w:val="32"/>
          <w:lang w:val="en-US" w:eastAsia="zh-CN" w:bidi="ar-SA"/>
        </w:rPr>
      </w:pPr>
      <w:r>
        <w:rPr>
          <w:rFonts w:hint="default" w:ascii="Times New Roman" w:hAnsi="Times New Roman" w:eastAsia="仿宋_GB2312" w:cs="Times New Roman"/>
          <w:b w:val="0"/>
          <w:bCs w:val="0"/>
          <w:i w:val="0"/>
          <w:iCs w:val="0"/>
          <w:kern w:val="0"/>
          <w:sz w:val="32"/>
          <w:szCs w:val="32"/>
          <w:lang w:val="en-US" w:eastAsia="zh-CN" w:bidi="ar-SA"/>
        </w:rPr>
        <w:t>根据《济宁市兖州区财政局关于批复2021年部门预算的通知》（兖财预〔2021〕3号），财政部门对济宁市兖州区社会保险服务中心的整体预算支出进行了批复，全年预算数为50635万元，其中，民生社保资金50013万元，包括机关事业单位养老保险补贴24000万元（该金额具体测算是根据社保基金预算底表预计全年支出51944万元，预计收入28400万元，两者作差得来）。此为缺口补贴资金，其余资金为当年养老保险缴费收入。</w:t>
      </w:r>
    </w:p>
    <w:p>
      <w:pPr>
        <w:pStyle w:val="2"/>
        <w:keepNext w:val="0"/>
        <w:keepLines w:val="0"/>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i w:val="0"/>
          <w:iCs w:val="0"/>
          <w:sz w:val="32"/>
          <w:szCs w:val="32"/>
        </w:rPr>
      </w:pPr>
      <w:r>
        <w:rPr>
          <w:rFonts w:hint="default" w:ascii="Times New Roman" w:hAnsi="Times New Roman" w:eastAsia="仿宋_GB2312" w:cs="Times New Roman"/>
          <w:b w:val="0"/>
          <w:bCs w:val="0"/>
          <w:i w:val="0"/>
          <w:iCs w:val="0"/>
          <w:kern w:val="0"/>
          <w:sz w:val="32"/>
          <w:szCs w:val="32"/>
          <w:lang w:val="en-US" w:eastAsia="zh-CN" w:bidi="ar-SA"/>
        </w:rPr>
        <w:t>通过查看项目相关资料结合支出明细明确，2021年兖州区机关事业单位养老保险基金实际支出51042万元（基本养老金支出50931万元，转移支出111万元），其中包括机关事业单位养老保险补贴25800万元。</w:t>
      </w:r>
    </w:p>
    <w:p>
      <w:pPr>
        <w:pStyle w:val="3"/>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cs="Times New Roman"/>
          <w:b w:val="0"/>
          <w:bCs w:val="0"/>
          <w:i w:val="0"/>
          <w:iCs w:val="0"/>
          <w:kern w:val="0"/>
          <w:sz w:val="32"/>
          <w:szCs w:val="32"/>
        </w:rPr>
      </w:pPr>
      <w:bookmarkStart w:id="8" w:name="_Toc25619"/>
      <w:bookmarkStart w:id="9" w:name="_Toc29092"/>
      <w:bookmarkStart w:id="10" w:name="_Toc3503"/>
      <w:bookmarkStart w:id="11" w:name="_Toc27469"/>
      <w:bookmarkStart w:id="12" w:name="_Toc18341"/>
      <w:bookmarkStart w:id="13" w:name="_Toc20456"/>
      <w:r>
        <w:rPr>
          <w:rFonts w:hint="default" w:ascii="Times New Roman" w:hAnsi="Times New Roman" w:cs="Times New Roman"/>
          <w:b w:val="0"/>
          <w:bCs w:val="0"/>
          <w:i w:val="0"/>
          <w:iCs w:val="0"/>
          <w:kern w:val="0"/>
          <w:sz w:val="32"/>
          <w:szCs w:val="32"/>
        </w:rPr>
        <w:t>二、项目绩效目标</w:t>
      </w:r>
      <w:bookmarkEnd w:id="8"/>
      <w:bookmarkEnd w:id="9"/>
      <w:bookmarkEnd w:id="10"/>
      <w:bookmarkEnd w:id="11"/>
      <w:bookmarkEnd w:id="12"/>
      <w:bookmarkEnd w:id="13"/>
    </w:p>
    <w:p>
      <w:pPr>
        <w:pageBreakBefore w:val="0"/>
        <w:widowControl w:val="0"/>
        <w:kinsoku/>
        <w:wordWrap/>
        <w:overflowPunct/>
        <w:topLinePunct w:val="0"/>
        <w:autoSpaceDE/>
        <w:autoSpaceDN/>
        <w:bidi w:val="0"/>
        <w:adjustRightInd/>
        <w:snapToGrid/>
        <w:spacing w:line="600" w:lineRule="exact"/>
        <w:ind w:left="0" w:leftChars="0" w:firstLine="640" w:firstLineChars="200"/>
        <w:textAlignment w:val="auto"/>
        <w:outlineLvl w:val="1"/>
        <w:rPr>
          <w:rFonts w:hint="default" w:ascii="Times New Roman" w:hAnsi="Times New Roman" w:cs="Times New Roman"/>
          <w:b w:val="0"/>
          <w:bCs w:val="0"/>
          <w:i w:val="0"/>
          <w:iCs w:val="0"/>
          <w:color w:val="000000" w:themeColor="text1"/>
          <w:kern w:val="0"/>
          <w:sz w:val="32"/>
          <w:szCs w:val="32"/>
        </w:rPr>
      </w:pPr>
      <w:bookmarkStart w:id="14" w:name="_Toc5323"/>
      <w:bookmarkStart w:id="15" w:name="_Toc16296"/>
      <w:bookmarkStart w:id="16" w:name="_Toc535"/>
      <w:r>
        <w:rPr>
          <w:rFonts w:hint="default" w:ascii="Times New Roman" w:hAnsi="Times New Roman" w:eastAsia="楷体" w:cs="Times New Roman"/>
          <w:b w:val="0"/>
          <w:bCs w:val="0"/>
          <w:i w:val="0"/>
          <w:iCs w:val="0"/>
          <w:color w:val="000000" w:themeColor="text1"/>
          <w:kern w:val="0"/>
          <w:sz w:val="32"/>
          <w:szCs w:val="32"/>
        </w:rPr>
        <w:t>（一）</w:t>
      </w:r>
      <w:r>
        <w:rPr>
          <w:rFonts w:hint="default" w:ascii="Times New Roman" w:hAnsi="Times New Roman" w:eastAsia="楷体" w:cs="Times New Roman"/>
          <w:b w:val="0"/>
          <w:bCs w:val="0"/>
          <w:i w:val="0"/>
          <w:iCs w:val="0"/>
          <w:color w:val="000000" w:themeColor="text1"/>
          <w:spacing w:val="6"/>
          <w:kern w:val="0"/>
          <w:sz w:val="32"/>
          <w:szCs w:val="32"/>
        </w:rPr>
        <w:t>项目长期绩效目标</w:t>
      </w:r>
      <w:bookmarkEnd w:id="14"/>
      <w:bookmarkEnd w:id="15"/>
      <w:bookmarkEnd w:id="16"/>
    </w:p>
    <w:p>
      <w:pPr>
        <w:pStyle w:val="2"/>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i w:val="0"/>
          <w:iCs w:val="0"/>
          <w:color w:val="000000" w:themeColor="text1"/>
          <w:sz w:val="32"/>
          <w:szCs w:val="32"/>
        </w:rPr>
      </w:pPr>
      <w:r>
        <w:rPr>
          <w:rFonts w:hint="default" w:ascii="Times New Roman" w:hAnsi="Times New Roman" w:eastAsia="仿宋_GB2312" w:cs="Times New Roman"/>
          <w:b w:val="0"/>
          <w:bCs w:val="0"/>
          <w:i w:val="0"/>
          <w:iCs w:val="0"/>
          <w:kern w:val="0"/>
          <w:sz w:val="32"/>
          <w:szCs w:val="32"/>
          <w:lang w:val="en-US" w:eastAsia="zh-CN" w:bidi="ar-SA"/>
        </w:rPr>
        <w:t>该项目的长期绩效目标为：根据职工工资增长和物价变动等情况，统筹安排机关事业单位和企业退休人员的基本养老金调整，逐步建立兼顾各类人员的养老保险待遇正常调整机制，分享经济社会发展成果，保障退休人员基本生活。</w:t>
      </w:r>
    </w:p>
    <w:p>
      <w:pPr>
        <w:pageBreakBefore w:val="0"/>
        <w:widowControl w:val="0"/>
        <w:kinsoku/>
        <w:wordWrap/>
        <w:overflowPunct/>
        <w:topLinePunct w:val="0"/>
        <w:autoSpaceDE/>
        <w:autoSpaceDN/>
        <w:bidi w:val="0"/>
        <w:adjustRightInd/>
        <w:snapToGrid/>
        <w:spacing w:line="600" w:lineRule="exact"/>
        <w:ind w:firstLine="542"/>
        <w:textAlignment w:val="auto"/>
        <w:outlineLvl w:val="1"/>
        <w:rPr>
          <w:rFonts w:hint="default" w:ascii="Times New Roman" w:hAnsi="Times New Roman" w:eastAsia="楷体_GB2312" w:cs="Times New Roman"/>
          <w:b w:val="0"/>
          <w:bCs w:val="0"/>
          <w:i w:val="0"/>
          <w:iCs w:val="0"/>
          <w:color w:val="000000" w:themeColor="text1"/>
          <w:sz w:val="32"/>
          <w:szCs w:val="32"/>
        </w:rPr>
      </w:pPr>
      <w:bookmarkStart w:id="17" w:name="_Toc18869"/>
      <w:bookmarkStart w:id="18" w:name="_Toc13898"/>
      <w:bookmarkStart w:id="19" w:name="_Toc8955"/>
      <w:r>
        <w:rPr>
          <w:rFonts w:hint="default" w:ascii="Times New Roman" w:hAnsi="Times New Roman" w:eastAsia="楷体" w:cs="Times New Roman"/>
          <w:b w:val="0"/>
          <w:bCs w:val="0"/>
          <w:i w:val="0"/>
          <w:iCs w:val="0"/>
          <w:color w:val="000000" w:themeColor="text1"/>
          <w:sz w:val="32"/>
          <w:szCs w:val="32"/>
        </w:rPr>
        <w:t>（二）</w:t>
      </w:r>
      <w:r>
        <w:rPr>
          <w:rFonts w:hint="default" w:ascii="Times New Roman" w:hAnsi="Times New Roman" w:eastAsia="楷体" w:cs="Times New Roman"/>
          <w:b w:val="0"/>
          <w:bCs w:val="0"/>
          <w:i w:val="0"/>
          <w:iCs w:val="0"/>
          <w:color w:val="000000" w:themeColor="text1"/>
          <w:kern w:val="0"/>
          <w:sz w:val="32"/>
          <w:szCs w:val="32"/>
        </w:rPr>
        <w:t>项目</w:t>
      </w:r>
      <w:r>
        <w:rPr>
          <w:rFonts w:hint="default" w:ascii="Times New Roman" w:hAnsi="Times New Roman" w:eastAsia="楷体" w:cs="Times New Roman"/>
          <w:b w:val="0"/>
          <w:bCs w:val="0"/>
          <w:i w:val="0"/>
          <w:iCs w:val="0"/>
          <w:color w:val="000000" w:themeColor="text1"/>
          <w:spacing w:val="6"/>
          <w:kern w:val="0"/>
          <w:sz w:val="32"/>
          <w:szCs w:val="32"/>
        </w:rPr>
        <w:t>年度绩效</w:t>
      </w:r>
      <w:r>
        <w:rPr>
          <w:rFonts w:hint="default" w:ascii="Times New Roman" w:hAnsi="Times New Roman" w:eastAsia="楷体" w:cs="Times New Roman"/>
          <w:b w:val="0"/>
          <w:bCs w:val="0"/>
          <w:i w:val="0"/>
          <w:iCs w:val="0"/>
          <w:color w:val="000000" w:themeColor="text1"/>
          <w:kern w:val="0"/>
          <w:sz w:val="32"/>
          <w:szCs w:val="32"/>
        </w:rPr>
        <w:t>目标</w:t>
      </w:r>
      <w:bookmarkEnd w:id="17"/>
      <w:bookmarkEnd w:id="18"/>
      <w:bookmarkEnd w:id="19"/>
    </w:p>
    <w:p>
      <w:pPr>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i w:val="0"/>
          <w:iCs w:val="0"/>
          <w:color w:val="000000" w:themeColor="text1"/>
          <w:sz w:val="32"/>
          <w:szCs w:val="32"/>
        </w:rPr>
      </w:pPr>
      <w:r>
        <w:rPr>
          <w:rFonts w:hint="default" w:ascii="Times New Roman" w:hAnsi="Times New Roman" w:eastAsia="仿宋_GB2312" w:cs="Times New Roman"/>
          <w:b w:val="0"/>
          <w:bCs w:val="0"/>
          <w:i w:val="0"/>
          <w:iCs w:val="0"/>
          <w:kern w:val="0"/>
          <w:sz w:val="32"/>
          <w:szCs w:val="32"/>
          <w:lang w:val="en-US" w:eastAsia="zh-CN" w:bidi="ar-SA"/>
        </w:rPr>
        <w:t>该项目的年度绩效目标为：按照国家规定调整养老金待遇水平，确保退休人员基本养老金足额按时发放。</w:t>
      </w:r>
    </w:p>
    <w:p>
      <w:pPr>
        <w:pStyle w:val="3"/>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cs="Times New Roman"/>
          <w:b w:val="0"/>
          <w:bCs w:val="0"/>
          <w:i w:val="0"/>
          <w:iCs w:val="0"/>
          <w:kern w:val="0"/>
          <w:sz w:val="32"/>
          <w:szCs w:val="32"/>
        </w:rPr>
      </w:pPr>
      <w:bookmarkStart w:id="20" w:name="_Toc1371"/>
      <w:bookmarkStart w:id="21" w:name="_Toc7876"/>
      <w:bookmarkStart w:id="22" w:name="_Toc9820"/>
      <w:r>
        <w:rPr>
          <w:rFonts w:hint="default" w:ascii="Times New Roman" w:hAnsi="Times New Roman" w:cs="Times New Roman"/>
          <w:b w:val="0"/>
          <w:bCs w:val="0"/>
          <w:i w:val="0"/>
          <w:iCs w:val="0"/>
          <w:kern w:val="0"/>
          <w:sz w:val="32"/>
          <w:szCs w:val="32"/>
        </w:rPr>
        <w:t>三、绩效评价工作开展情况</w:t>
      </w:r>
      <w:bookmarkEnd w:id="20"/>
      <w:bookmarkEnd w:id="21"/>
      <w:bookmarkEnd w:id="22"/>
    </w:p>
    <w:p>
      <w:pPr>
        <w:pStyle w:val="2"/>
        <w:keepNext w:val="0"/>
        <w:keepLines w:val="0"/>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i w:val="0"/>
          <w:iCs w:val="0"/>
          <w:kern w:val="0"/>
          <w:sz w:val="32"/>
          <w:szCs w:val="32"/>
          <w:lang w:val="en-US" w:eastAsia="zh-CN" w:bidi="ar-SA"/>
        </w:rPr>
      </w:pPr>
      <w:r>
        <w:rPr>
          <w:rFonts w:hint="default" w:ascii="Times New Roman" w:hAnsi="Times New Roman" w:eastAsia="仿宋_GB2312" w:cs="Times New Roman"/>
          <w:b w:val="0"/>
          <w:bCs w:val="0"/>
          <w:i w:val="0"/>
          <w:iCs w:val="0"/>
          <w:kern w:val="0"/>
          <w:sz w:val="32"/>
          <w:szCs w:val="32"/>
          <w:lang w:val="en-US" w:eastAsia="zh-CN" w:bidi="ar-SA"/>
        </w:rPr>
        <w:t>根据本次评价项目属性和特点等项目的实际情况，结合《关于印发&lt;预算绩效评价共性指标体系框架&gt;的通知》（财预〔2013〕53号）和《财政部关于印发&lt;财政支出绩效评价管理暂行办法&gt;的通知》（财预〔2011〕285号）等文件，参照省财政厅预算绩效管理处印发的《财政重点项目第三方绩效评价组织实施工作流程》等文件政策的要求，结合项目的具体情况，形成兖州区2021年机关事业单位基本养老保险基金支出项目绩效评价指标体系。</w:t>
      </w:r>
    </w:p>
    <w:p>
      <w:pPr>
        <w:pStyle w:val="2"/>
        <w:keepNext w:val="0"/>
        <w:keepLines w:val="0"/>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i w:val="0"/>
          <w:iCs w:val="0"/>
          <w:kern w:val="0"/>
          <w:sz w:val="32"/>
          <w:szCs w:val="32"/>
          <w:lang w:val="en-US" w:eastAsia="zh-CN" w:bidi="ar-SA"/>
        </w:rPr>
      </w:pPr>
      <w:bookmarkStart w:id="23" w:name="_Toc20087"/>
      <w:bookmarkStart w:id="24" w:name="_Toc17016"/>
      <w:bookmarkStart w:id="25" w:name="_Toc3463"/>
      <w:r>
        <w:rPr>
          <w:rFonts w:hint="default" w:ascii="Times New Roman" w:hAnsi="Times New Roman" w:eastAsia="仿宋_GB2312" w:cs="Times New Roman"/>
          <w:b w:val="0"/>
          <w:bCs w:val="0"/>
          <w:i w:val="0"/>
          <w:iCs w:val="0"/>
          <w:kern w:val="0"/>
          <w:sz w:val="32"/>
          <w:szCs w:val="32"/>
          <w:lang w:val="en-US" w:eastAsia="zh-CN" w:bidi="ar-SA"/>
        </w:rPr>
        <w:t>绩效评价指标的确定原则</w:t>
      </w:r>
      <w:bookmarkEnd w:id="23"/>
      <w:bookmarkEnd w:id="24"/>
      <w:bookmarkEnd w:id="25"/>
      <w:r>
        <w:rPr>
          <w:rFonts w:hint="default" w:ascii="Times New Roman" w:hAnsi="Times New Roman" w:eastAsia="仿宋_GB2312" w:cs="Times New Roman"/>
          <w:b w:val="0"/>
          <w:bCs w:val="0"/>
          <w:i w:val="0"/>
          <w:iCs w:val="0"/>
          <w:kern w:val="0"/>
          <w:sz w:val="32"/>
          <w:szCs w:val="32"/>
          <w:lang w:val="en-US" w:eastAsia="zh-CN" w:bidi="ar-SA"/>
        </w:rPr>
        <w:t>：相关性原则、重要性原则、可比性原则、系统性原则、经济性原则</w:t>
      </w:r>
    </w:p>
    <w:p>
      <w:pPr>
        <w:pStyle w:val="2"/>
        <w:keepNext w:val="0"/>
        <w:keepLines w:val="0"/>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eastAsiaTheme="minorEastAsia"/>
          <w:b w:val="0"/>
          <w:bCs w:val="0"/>
          <w:i w:val="0"/>
          <w:iCs w:val="0"/>
          <w:kern w:val="0"/>
          <w:sz w:val="32"/>
          <w:szCs w:val="32"/>
        </w:rPr>
      </w:pPr>
      <w:r>
        <w:rPr>
          <w:rFonts w:hint="default" w:ascii="Times New Roman" w:hAnsi="Times New Roman" w:eastAsia="仿宋_GB2312" w:cs="Times New Roman"/>
          <w:b w:val="0"/>
          <w:bCs w:val="0"/>
          <w:i w:val="0"/>
          <w:iCs w:val="0"/>
          <w:kern w:val="0"/>
          <w:sz w:val="32"/>
          <w:szCs w:val="32"/>
          <w:lang w:val="en-US" w:eastAsia="zh-CN" w:bidi="ar-SA"/>
        </w:rPr>
        <w:t>本次绩效评价指标总标准分值为100分，根据项目特点，绩效评价指标体系共设立了三级指标。根据分值与指标的重要性要密切相关的原则，先分别对决策、过程、产出、效果设定分值，再在决策、过程、产出、效果设定分值内根据重要程度对二级、三级指标确定分值。前述评价指标体系包括：指标内容、指标解释、指标说明及评价要点。</w:t>
      </w:r>
    </w:p>
    <w:p>
      <w:pPr>
        <w:pStyle w:val="3"/>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cs="Times New Roman"/>
          <w:b w:val="0"/>
          <w:bCs w:val="0"/>
          <w:i w:val="0"/>
          <w:iCs w:val="0"/>
          <w:kern w:val="0"/>
          <w:sz w:val="32"/>
          <w:szCs w:val="32"/>
        </w:rPr>
      </w:pPr>
      <w:bookmarkStart w:id="26" w:name="_Toc14235"/>
      <w:bookmarkStart w:id="27" w:name="_Toc9693"/>
      <w:bookmarkStart w:id="28" w:name="_Toc26146"/>
      <w:r>
        <w:rPr>
          <w:rFonts w:hint="default" w:ascii="Times New Roman" w:hAnsi="Times New Roman" w:cs="Times New Roman"/>
          <w:b w:val="0"/>
          <w:bCs w:val="0"/>
          <w:i w:val="0"/>
          <w:iCs w:val="0"/>
          <w:kern w:val="0"/>
          <w:sz w:val="32"/>
          <w:szCs w:val="32"/>
        </w:rPr>
        <w:t>四、综合评价情况及评价结论</w:t>
      </w:r>
      <w:bookmarkEnd w:id="26"/>
      <w:bookmarkEnd w:id="27"/>
      <w:bookmarkEnd w:id="28"/>
    </w:p>
    <w:p>
      <w:pPr>
        <w:pStyle w:val="2"/>
        <w:keepNext w:val="0"/>
        <w:keepLines w:val="0"/>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i w:val="0"/>
          <w:iCs w:val="0"/>
          <w:kern w:val="0"/>
          <w:sz w:val="32"/>
          <w:szCs w:val="32"/>
          <w:lang w:val="en-US" w:eastAsia="zh-CN" w:bidi="ar-SA"/>
        </w:rPr>
      </w:pPr>
      <w:r>
        <w:rPr>
          <w:rFonts w:hint="default" w:ascii="Times New Roman" w:hAnsi="Times New Roman" w:eastAsia="仿宋_GB2312" w:cs="Times New Roman"/>
          <w:b w:val="0"/>
          <w:bCs w:val="0"/>
          <w:i w:val="0"/>
          <w:iCs w:val="0"/>
          <w:kern w:val="0"/>
          <w:sz w:val="32"/>
          <w:szCs w:val="32"/>
          <w:lang w:val="en-US" w:eastAsia="zh-CN" w:bidi="ar-SA"/>
        </w:rPr>
        <w:t>本次兖州区2021年机关事业单位基本养老保险基金支出项目资金绩效评价得分85.5分。评级等次根据项目总得分确定为优（100--90）、良（89--80）、中（79--60）、差（59--0）四个等级。本项目评价总得分85.5分，评价等级为“良”。</w:t>
      </w:r>
    </w:p>
    <w:p>
      <w:pPr>
        <w:pStyle w:val="2"/>
        <w:keepNext w:val="0"/>
        <w:keepLines w:val="0"/>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i w:val="0"/>
          <w:iCs w:val="0"/>
          <w:sz w:val="32"/>
          <w:szCs w:val="32"/>
        </w:rPr>
      </w:pPr>
      <w:r>
        <w:rPr>
          <w:rFonts w:hint="default" w:ascii="Times New Roman" w:hAnsi="Times New Roman" w:eastAsia="仿宋_GB2312" w:cs="Times New Roman"/>
          <w:b w:val="0"/>
          <w:bCs w:val="0"/>
          <w:i w:val="0"/>
          <w:iCs w:val="0"/>
          <w:kern w:val="0"/>
          <w:sz w:val="32"/>
          <w:szCs w:val="32"/>
          <w:lang w:val="en-US" w:eastAsia="zh-CN" w:bidi="ar-SA"/>
        </w:rPr>
        <w:t>该项目立项依据充分，程序规范，执行到位，项目基本实现了预期目标，取得了较好的社会效益。但存在的问题也较为突出，比如，预算工作应更加严谨细致；业务管理有待进一步规范，管理制度需要细化和明确，并加强执行；绩效管理工作意识不足，绩效目标申报（长期和年度）和自评工作有待加强；工作计划与总结不到位等等。</w:t>
      </w:r>
    </w:p>
    <w:p>
      <w:pPr>
        <w:pStyle w:val="3"/>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cs="Times New Roman"/>
          <w:b w:val="0"/>
          <w:bCs w:val="0"/>
          <w:i w:val="0"/>
          <w:iCs w:val="0"/>
          <w:kern w:val="0"/>
          <w:sz w:val="32"/>
          <w:szCs w:val="32"/>
        </w:rPr>
      </w:pPr>
      <w:bookmarkStart w:id="29" w:name="_Toc5466"/>
      <w:bookmarkStart w:id="30" w:name="_Toc23349"/>
      <w:bookmarkStart w:id="31" w:name="_Toc5776"/>
      <w:r>
        <w:rPr>
          <w:rFonts w:hint="default" w:ascii="Times New Roman" w:hAnsi="Times New Roman" w:cs="Times New Roman"/>
          <w:b w:val="0"/>
          <w:bCs w:val="0"/>
          <w:i w:val="0"/>
          <w:iCs w:val="0"/>
          <w:kern w:val="0"/>
          <w:sz w:val="32"/>
          <w:szCs w:val="32"/>
        </w:rPr>
        <w:t>五、存在的问题</w:t>
      </w:r>
      <w:bookmarkEnd w:id="29"/>
      <w:bookmarkEnd w:id="30"/>
      <w:bookmarkEnd w:id="31"/>
    </w:p>
    <w:p>
      <w:pPr>
        <w:pStyle w:val="5"/>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楷体" w:cs="Times New Roman"/>
          <w:b w:val="0"/>
          <w:bCs w:val="0"/>
          <w:i w:val="0"/>
          <w:iCs w:val="0"/>
          <w:kern w:val="0"/>
          <w:sz w:val="32"/>
          <w:szCs w:val="32"/>
        </w:rPr>
      </w:pPr>
      <w:r>
        <w:rPr>
          <w:rFonts w:hint="default" w:ascii="Times New Roman" w:hAnsi="Times New Roman" w:eastAsia="楷体" w:cs="Times New Roman"/>
          <w:b w:val="0"/>
          <w:bCs w:val="0"/>
          <w:i w:val="0"/>
          <w:iCs w:val="0"/>
          <w:kern w:val="0"/>
          <w:sz w:val="32"/>
          <w:szCs w:val="32"/>
        </w:rPr>
        <w:t>（一）绩效管理流于形式</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i w:val="0"/>
          <w:iCs w:val="0"/>
          <w:sz w:val="32"/>
          <w:szCs w:val="32"/>
        </w:rPr>
      </w:pPr>
      <w:r>
        <w:rPr>
          <w:rFonts w:hint="default" w:ascii="Times New Roman" w:hAnsi="Times New Roman" w:eastAsia="仿宋_GB2312" w:cs="Times New Roman"/>
          <w:b w:val="0"/>
          <w:bCs w:val="0"/>
          <w:i w:val="0"/>
          <w:iCs w:val="0"/>
          <w:kern w:val="0"/>
          <w:sz w:val="32"/>
          <w:szCs w:val="32"/>
          <w:lang w:val="en-US" w:eastAsia="zh-CN" w:bidi="ar-SA"/>
        </w:rPr>
        <w:t>项目单位提供的《机关事业养老保险财政补贴项目绩效目标申报表》显示，虽然各项内容都进行了相应填写，但填写明显不够规范，较为敷衍。比如，“测算依据及说明”填写不正确，未列明与测算相关的政策依据；“项目单位职能概述”过于简单笼统；“项目概况、主要内容及用途”描述过于简单，不能全面反映项目情况；“项目立项依据”和“项目申报的可行性和必要性”重复且与需要填写内容不符；“项目年度绩效目标”未根据项目实际情况进行详细描述，不能体现项目应该达到的既定目标；未体现项目长期绩效目标；数量指标缺少相应单位，等等。另外绩效自评表中项目单位未及时更新实际领取人数和参保人数，相关指标和数据与年初申报表完全一样，不能很好地反应项目实际完成率。综上，项目单位及相关业务人员的绩效管理意识有待加强，相关工作仍有进一步完善和提高的空间。</w:t>
      </w:r>
    </w:p>
    <w:p>
      <w:pPr>
        <w:pStyle w:val="5"/>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楷体" w:cs="Times New Roman"/>
          <w:b w:val="0"/>
          <w:bCs w:val="0"/>
          <w:i w:val="0"/>
          <w:iCs w:val="0"/>
          <w:kern w:val="0"/>
          <w:sz w:val="32"/>
          <w:szCs w:val="32"/>
        </w:rPr>
      </w:pPr>
      <w:r>
        <w:rPr>
          <w:rFonts w:hint="default" w:ascii="Times New Roman" w:hAnsi="Times New Roman" w:eastAsia="楷体" w:cs="Times New Roman"/>
          <w:b w:val="0"/>
          <w:bCs w:val="0"/>
          <w:i w:val="0"/>
          <w:iCs w:val="0"/>
          <w:kern w:val="0"/>
          <w:sz w:val="32"/>
          <w:szCs w:val="32"/>
        </w:rPr>
        <w:t>（二）预算管理工作不足</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i w:val="0"/>
          <w:iCs w:val="0"/>
          <w:sz w:val="32"/>
          <w:szCs w:val="32"/>
        </w:rPr>
      </w:pPr>
      <w:r>
        <w:rPr>
          <w:rFonts w:hint="default" w:ascii="Times New Roman" w:hAnsi="Times New Roman" w:eastAsia="仿宋_GB2312" w:cs="Times New Roman"/>
          <w:b w:val="0"/>
          <w:bCs w:val="0"/>
          <w:i w:val="0"/>
          <w:iCs w:val="0"/>
          <w:kern w:val="0"/>
          <w:sz w:val="32"/>
          <w:szCs w:val="32"/>
          <w:lang w:val="en-US" w:eastAsia="zh-CN" w:bidi="ar-SA"/>
        </w:rPr>
        <w:t>评价工作过程中，项目单位未能提供预算编制的详细说明，对于养老金总体支出和缺口补贴金额只是大体根据往年发放情况做了简单估计，对于退休人员增减变动情况、个人待遇和调整等相关测算没有相应数据支撑和测算说明，预算管理工作不到位。</w:t>
      </w:r>
    </w:p>
    <w:p>
      <w:pPr>
        <w:pStyle w:val="5"/>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楷体" w:cs="Times New Roman"/>
          <w:b w:val="0"/>
          <w:bCs w:val="0"/>
          <w:i w:val="0"/>
          <w:iCs w:val="0"/>
          <w:kern w:val="0"/>
          <w:sz w:val="32"/>
          <w:szCs w:val="32"/>
        </w:rPr>
      </w:pPr>
      <w:r>
        <w:rPr>
          <w:rFonts w:hint="default" w:ascii="Times New Roman" w:hAnsi="Times New Roman" w:eastAsia="楷体" w:cs="Times New Roman"/>
          <w:b w:val="0"/>
          <w:bCs w:val="0"/>
          <w:i w:val="0"/>
          <w:iCs w:val="0"/>
          <w:kern w:val="0"/>
          <w:sz w:val="32"/>
          <w:szCs w:val="32"/>
        </w:rPr>
        <w:t>（三）制度建设等工作重视程度不够</w:t>
      </w:r>
    </w:p>
    <w:p>
      <w:pPr>
        <w:pStyle w:val="2"/>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i w:val="0"/>
          <w:iCs w:val="0"/>
          <w:kern w:val="0"/>
          <w:sz w:val="32"/>
          <w:szCs w:val="32"/>
          <w:lang w:val="en-US" w:eastAsia="zh-CN" w:bidi="ar-SA"/>
        </w:rPr>
      </w:pPr>
      <w:r>
        <w:rPr>
          <w:rFonts w:hint="default" w:ascii="Times New Roman" w:hAnsi="Times New Roman" w:eastAsia="仿宋_GB2312" w:cs="Times New Roman"/>
          <w:b w:val="0"/>
          <w:bCs w:val="0"/>
          <w:i w:val="0"/>
          <w:iCs w:val="0"/>
          <w:kern w:val="0"/>
          <w:sz w:val="32"/>
          <w:szCs w:val="32"/>
          <w:lang w:val="en-US" w:eastAsia="zh-CN" w:bidi="ar-SA"/>
        </w:rPr>
        <w:t>本项目主要依据《国务院关于机关事业单位工作人员养老保险制度改革的决定》（国发〔2015〕2号）、《人力资源社会保障部关于印发〈机关事业单位工作人员基本养老保险经办规程〉的通知》（人社部发〔2015〕32号）等各级政府文件执行。虽然上述政策文件已经对相关具体工作进行了较为详细的安排，但项目单位未针对本地区实际情况及具体项目管理作进一步明确，也未进一步制订具体实施方案和专门的业务管理制度。另外，该项目工作计划与总结不到位，降低了项目执行的预见性和计划性，不利于项目的顺利实施。</w:t>
      </w:r>
    </w:p>
    <w:p>
      <w:pPr>
        <w:pStyle w:val="3"/>
        <w:pageBreakBefore w:val="0"/>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cs="Times New Roman"/>
          <w:b w:val="0"/>
          <w:bCs w:val="0"/>
          <w:i w:val="0"/>
          <w:iCs w:val="0"/>
        </w:rPr>
      </w:pPr>
      <w:r>
        <w:rPr>
          <w:rFonts w:hint="default" w:ascii="Times New Roman" w:hAnsi="Times New Roman" w:cs="Times New Roman"/>
          <w:b w:val="0"/>
          <w:bCs w:val="0"/>
          <w:i w:val="0"/>
          <w:iCs w:val="0"/>
          <w:lang w:val="en-US" w:eastAsia="zh-CN"/>
        </w:rPr>
        <w:t>六</w:t>
      </w:r>
      <w:r>
        <w:rPr>
          <w:rFonts w:hint="default" w:ascii="Times New Roman" w:hAnsi="Times New Roman" w:cs="Times New Roman"/>
          <w:b w:val="0"/>
          <w:bCs w:val="0"/>
          <w:i w:val="0"/>
          <w:iCs w:val="0"/>
        </w:rPr>
        <w:t>、有关建议</w:t>
      </w:r>
    </w:p>
    <w:p>
      <w:pPr>
        <w:pStyle w:val="5"/>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楷体" w:cs="Times New Roman"/>
          <w:b w:val="0"/>
          <w:bCs w:val="0"/>
          <w:i w:val="0"/>
          <w:iCs w:val="0"/>
          <w:kern w:val="0"/>
          <w:sz w:val="32"/>
          <w:szCs w:val="32"/>
        </w:rPr>
      </w:pPr>
      <w:r>
        <w:rPr>
          <w:rFonts w:hint="default" w:ascii="Times New Roman" w:hAnsi="Times New Roman" w:eastAsia="楷体" w:cs="Times New Roman"/>
          <w:b w:val="0"/>
          <w:bCs w:val="0"/>
          <w:i w:val="0"/>
          <w:iCs w:val="0"/>
          <w:kern w:val="0"/>
          <w:sz w:val="32"/>
          <w:szCs w:val="32"/>
        </w:rPr>
        <w:t>（一）提高绩效管理意识与能力</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i w:val="0"/>
          <w:iCs w:val="0"/>
          <w:sz w:val="32"/>
          <w:szCs w:val="32"/>
        </w:rPr>
      </w:pPr>
      <w:r>
        <w:rPr>
          <w:rFonts w:hint="default" w:ascii="Times New Roman" w:hAnsi="Times New Roman" w:eastAsia="仿宋_GB2312" w:cs="Times New Roman"/>
          <w:b w:val="0"/>
          <w:bCs w:val="0"/>
          <w:i w:val="0"/>
          <w:iCs w:val="0"/>
          <w:kern w:val="0"/>
          <w:sz w:val="32"/>
          <w:szCs w:val="32"/>
          <w:lang w:val="en-US" w:eastAsia="zh-CN" w:bidi="ar-SA"/>
        </w:rPr>
        <w:t>加强部门工作人员的全面预算绩效管理的培训，特别是对项目支出的全过程、部门整体预算绩效管理的相关内容进行培训。让主要领导和相关工作人员认识到该项工作的重要性。同时，加强财政支出项目绩效评价结果反馈、应用、落实，避免绩效评价搞形式走过场。项目在立项申报、审批时就应明确项目的预期绩效目标以及能体现绩效目标的具体绩效指标，且绩效指标尽量细化和量化。财政部门应将预算绩效目标填报与预算安排下达挂钩，从深层次地解决绩效目标填报不认真、流于形式的问题，全面提升绩效管理水平。</w:t>
      </w:r>
    </w:p>
    <w:p>
      <w:pPr>
        <w:pStyle w:val="5"/>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楷体" w:cs="Times New Roman"/>
          <w:b w:val="0"/>
          <w:bCs w:val="0"/>
          <w:i w:val="0"/>
          <w:iCs w:val="0"/>
          <w:kern w:val="0"/>
          <w:sz w:val="32"/>
          <w:szCs w:val="32"/>
        </w:rPr>
      </w:pPr>
      <w:r>
        <w:rPr>
          <w:rFonts w:hint="default" w:ascii="Times New Roman" w:hAnsi="Times New Roman" w:eastAsia="楷体" w:cs="Times New Roman"/>
          <w:b w:val="0"/>
          <w:bCs w:val="0"/>
          <w:i w:val="0"/>
          <w:iCs w:val="0"/>
          <w:kern w:val="0"/>
          <w:sz w:val="32"/>
          <w:szCs w:val="32"/>
        </w:rPr>
        <w:t>（二）强化预算管理工作</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i w:val="0"/>
          <w:iCs w:val="0"/>
          <w:sz w:val="32"/>
          <w:szCs w:val="32"/>
        </w:rPr>
      </w:pPr>
      <w:r>
        <w:rPr>
          <w:rFonts w:hint="default" w:ascii="Times New Roman" w:hAnsi="Times New Roman" w:eastAsia="仿宋_GB2312" w:cs="Times New Roman"/>
          <w:b w:val="0"/>
          <w:bCs w:val="0"/>
          <w:i w:val="0"/>
          <w:iCs w:val="0"/>
          <w:kern w:val="0"/>
          <w:sz w:val="32"/>
          <w:szCs w:val="32"/>
          <w:lang w:val="en-US" w:eastAsia="zh-CN" w:bidi="ar-SA"/>
        </w:rPr>
        <w:t>建议项目单位加强预算管理相关工作，在编制年初预算时，对于与本项目类似的延续性项目支出进行更为细致的预算分解与测算，提高预算工作的精细化、规范化和制度化。切实强化预算在规范政府收支行为中的应有作用，进一步强化预算约束。财政部门应加强对预算管理工作的监督和指导，建立健全全面规范、公开透明的预算制度。</w:t>
      </w:r>
    </w:p>
    <w:p>
      <w:pPr>
        <w:pStyle w:val="5"/>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楷体" w:cs="Times New Roman"/>
          <w:b w:val="0"/>
          <w:bCs w:val="0"/>
          <w:i w:val="0"/>
          <w:iCs w:val="0"/>
          <w:kern w:val="0"/>
          <w:sz w:val="32"/>
          <w:szCs w:val="32"/>
        </w:rPr>
      </w:pPr>
      <w:r>
        <w:rPr>
          <w:rFonts w:hint="default" w:ascii="Times New Roman" w:hAnsi="Times New Roman" w:eastAsia="楷体" w:cs="Times New Roman"/>
          <w:b w:val="0"/>
          <w:bCs w:val="0"/>
          <w:i w:val="0"/>
          <w:iCs w:val="0"/>
          <w:kern w:val="0"/>
          <w:sz w:val="32"/>
          <w:szCs w:val="32"/>
        </w:rPr>
        <w:t>（三）加强制度建设和规范管理</w:t>
      </w:r>
    </w:p>
    <w:p>
      <w:pPr>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cs="Times New Roman"/>
          <w:b w:val="0"/>
          <w:bCs w:val="0"/>
          <w:i w:val="0"/>
          <w:iCs w:val="0"/>
          <w:lang w:eastAsia="zh-CN"/>
        </w:rPr>
      </w:pPr>
      <w:r>
        <w:rPr>
          <w:rFonts w:hint="default" w:ascii="Times New Roman" w:hAnsi="Times New Roman" w:eastAsia="仿宋_GB2312" w:cs="Times New Roman"/>
          <w:b w:val="0"/>
          <w:bCs w:val="0"/>
          <w:i w:val="0"/>
          <w:iCs w:val="0"/>
          <w:kern w:val="0"/>
          <w:sz w:val="32"/>
          <w:szCs w:val="32"/>
          <w:lang w:val="en-US" w:eastAsia="zh-CN" w:bidi="ar-SA"/>
        </w:rPr>
        <w:t>针对相关工作，项目单位应结合上级政策文件与本地区实际进行统筹谋划，加强自身制度建设，在政策执行上需充分考虑本地区自身特点和差异，对本地区实际情况及具体项目管理作进一步明确和细化，增强项目的预见性和计划性，确保项目顺利实施。另外，重视项目总结工作，对于项目执行中出现的问题和不足及时进行分析和调整，在日常工作中及时进行阶段性总结和回顾，将相关经验进一步应用于未来的工作中。</w:t>
      </w:r>
    </w:p>
    <w:p>
      <w:pPr>
        <w:pStyle w:val="3"/>
        <w:ind w:firstLine="0" w:firstLineChars="0"/>
        <w:jc w:val="center"/>
        <w:outlineLvl w:val="9"/>
        <w:rPr>
          <w:rFonts w:hint="default" w:ascii="Times New Roman" w:hAnsi="Times New Roman" w:cs="Times New Roman"/>
          <w:b w:val="0"/>
          <w:bCs w:val="0"/>
          <w:sz w:val="44"/>
          <w:szCs w:val="44"/>
        </w:rPr>
        <w:sectPr>
          <w:footerReference r:id="rId13" w:type="default"/>
          <w:footnotePr>
            <w:numFmt w:val="decimalEnclosedCircleChinese"/>
            <w:numRestart w:val="eachPage"/>
          </w:footnotePr>
          <w:pgSz w:w="11905" w:h="16838"/>
          <w:pgMar w:top="1587" w:right="1587" w:bottom="1587" w:left="1587" w:header="851" w:footer="992" w:gutter="0"/>
          <w:pgNumType w:fmt="numberInDash" w:start="1"/>
          <w:cols w:space="0" w:num="1"/>
          <w:rtlGutter w:val="0"/>
          <w:docGrid w:type="lines" w:linePitch="312" w:charSpace="0"/>
        </w:sectPr>
      </w:pPr>
    </w:p>
    <w:p>
      <w:pPr>
        <w:pStyle w:val="3"/>
        <w:keepNext/>
        <w:keepLines/>
        <w:pageBreakBefore w:val="0"/>
        <w:widowControl/>
        <w:kinsoku/>
        <w:wordWrap/>
        <w:overflowPunct/>
        <w:topLinePunct w:val="0"/>
        <w:autoSpaceDE/>
        <w:autoSpaceDN/>
        <w:bidi w:val="0"/>
        <w:adjustRightInd/>
        <w:snapToGrid/>
        <w:spacing w:before="157" w:beforeLines="50" w:after="157" w:afterLines="50" w:line="600" w:lineRule="exact"/>
        <w:ind w:firstLine="0" w:firstLineChars="0"/>
        <w:jc w:val="center"/>
        <w:textAlignment w:val="auto"/>
        <w:rPr>
          <w:rFonts w:hint="default" w:ascii="Times New Roman" w:hAnsi="Times New Roman" w:eastAsia="方正小标宋_GBK" w:cs="Times New Roman"/>
          <w:b w:val="0"/>
          <w:bCs w:val="0"/>
          <w:sz w:val="44"/>
          <w:szCs w:val="44"/>
        </w:rPr>
      </w:pPr>
      <w:bookmarkStart w:id="32" w:name="_Toc27305"/>
      <w:r>
        <w:rPr>
          <w:rFonts w:hint="default" w:ascii="Times New Roman" w:hAnsi="Times New Roman" w:eastAsia="方正小标宋_GBK" w:cs="Times New Roman"/>
          <w:b w:val="0"/>
          <w:bCs w:val="0"/>
          <w:sz w:val="44"/>
          <w:szCs w:val="44"/>
        </w:rPr>
        <w:t>正文部分</w:t>
      </w:r>
      <w:bookmarkEnd w:id="32"/>
    </w:p>
    <w:p>
      <w:pPr>
        <w:ind w:firstLine="540"/>
        <w:rPr>
          <w:rFonts w:hint="default" w:ascii="Times New Roman" w:hAnsi="Times New Roman" w:cs="Times New Roman"/>
          <w:b w:val="0"/>
          <w:bCs w:val="0"/>
        </w:rPr>
      </w:pPr>
    </w:p>
    <w:bookmarkEnd w:id="1"/>
    <w:p>
      <w:pPr>
        <w:pStyle w:val="2"/>
        <w:keepNext w:val="0"/>
        <w:keepLines w:val="0"/>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根据《中共中央 国务院关于全面实施预算绩效管理的意见》(中发〔2018〕34号)、《山东省人民政府关于深化预算管理制度改革的实施意见》（鲁政发〔2014〕20号）等有关文件的精神，兖州区财政局委托山东德睿融投资咨询有限公司对兖州区2021年机关事业单位基本养老保险基金支出项目开展绩效评价。</w:t>
      </w:r>
    </w:p>
    <w:p>
      <w:pPr>
        <w:pStyle w:val="2"/>
        <w:keepNext w:val="0"/>
        <w:keepLines w:val="0"/>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bidi="ar-SA"/>
        </w:rPr>
        <w:t>现将本次绩效评价情况报告如下：</w:t>
      </w:r>
    </w:p>
    <w:p>
      <w:pPr>
        <w:pStyle w:val="3"/>
        <w:pageBreakBefore w:val="0"/>
        <w:kinsoku/>
        <w:wordWrap/>
        <w:overflowPunct/>
        <w:topLinePunct w:val="0"/>
        <w:autoSpaceDE/>
        <w:autoSpaceDN/>
        <w:bidi w:val="0"/>
        <w:adjustRightInd/>
        <w:snapToGrid/>
        <w:spacing w:line="600" w:lineRule="exact"/>
        <w:textAlignment w:val="auto"/>
        <w:rPr>
          <w:rFonts w:hint="default" w:ascii="Times New Roman" w:hAnsi="Times New Roman" w:cs="Times New Roman"/>
          <w:b w:val="0"/>
          <w:bCs w:val="0"/>
        </w:rPr>
      </w:pPr>
      <w:bookmarkStart w:id="33" w:name="_Toc65_WPSOffice_Level1"/>
      <w:bookmarkStart w:id="34" w:name="_Toc25650486"/>
      <w:bookmarkStart w:id="35" w:name="_Toc24374842"/>
      <w:bookmarkStart w:id="36" w:name="_Toc24311766"/>
      <w:bookmarkStart w:id="37" w:name="_Toc24374201"/>
      <w:bookmarkStart w:id="38" w:name="_Toc28479"/>
      <w:r>
        <w:rPr>
          <w:rFonts w:hint="default" w:ascii="Times New Roman" w:hAnsi="Times New Roman" w:cs="Times New Roman"/>
          <w:b w:val="0"/>
          <w:bCs w:val="0"/>
        </w:rPr>
        <w:t>一、项目基本情况</w:t>
      </w:r>
      <w:bookmarkEnd w:id="33"/>
      <w:bookmarkEnd w:id="34"/>
      <w:bookmarkEnd w:id="35"/>
      <w:bookmarkEnd w:id="36"/>
      <w:bookmarkEnd w:id="37"/>
      <w:bookmarkEnd w:id="38"/>
    </w:p>
    <w:p>
      <w:pPr>
        <w:pStyle w:val="5"/>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楷体" w:cs="Times New Roman"/>
          <w:b w:val="0"/>
          <w:bCs w:val="0"/>
          <w:kern w:val="0"/>
          <w:sz w:val="32"/>
          <w:szCs w:val="32"/>
          <w:lang w:val="en-US" w:eastAsia="zh-CN"/>
        </w:rPr>
      </w:pPr>
      <w:bookmarkStart w:id="39" w:name="_Toc24374202"/>
      <w:bookmarkStart w:id="40" w:name="_Toc24374843"/>
      <w:bookmarkStart w:id="41" w:name="_Toc25650487"/>
      <w:bookmarkStart w:id="42" w:name="_Toc11694_WPSOffice_Level2"/>
      <w:bookmarkStart w:id="43" w:name="_Toc1694"/>
      <w:r>
        <w:rPr>
          <w:rFonts w:hint="default" w:ascii="Times New Roman" w:hAnsi="Times New Roman" w:eastAsia="楷体" w:cs="Times New Roman"/>
          <w:b w:val="0"/>
          <w:bCs w:val="0"/>
          <w:kern w:val="0"/>
          <w:sz w:val="32"/>
          <w:szCs w:val="32"/>
        </w:rPr>
        <w:t>（一）项目</w:t>
      </w:r>
      <w:bookmarkEnd w:id="39"/>
      <w:bookmarkEnd w:id="40"/>
      <w:bookmarkEnd w:id="41"/>
      <w:bookmarkEnd w:id="42"/>
      <w:r>
        <w:rPr>
          <w:rFonts w:hint="default" w:ascii="Times New Roman" w:hAnsi="Times New Roman" w:eastAsia="楷体" w:cs="Times New Roman"/>
          <w:b w:val="0"/>
          <w:bCs w:val="0"/>
          <w:kern w:val="0"/>
          <w:sz w:val="32"/>
          <w:szCs w:val="32"/>
          <w:lang w:val="en-US" w:eastAsia="zh-CN"/>
        </w:rPr>
        <w:t>立项</w:t>
      </w:r>
      <w:bookmarkEnd w:id="43"/>
    </w:p>
    <w:p>
      <w:pPr>
        <w:pStyle w:val="2"/>
        <w:keepNext w:val="0"/>
        <w:keepLines w:val="0"/>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bookmarkStart w:id="44" w:name="_Hlk26905379"/>
      <w:r>
        <w:rPr>
          <w:rFonts w:hint="default" w:ascii="Times New Roman" w:hAnsi="Times New Roman" w:eastAsia="仿宋_GB2312" w:cs="Times New Roman"/>
          <w:b w:val="0"/>
          <w:bCs w:val="0"/>
          <w:kern w:val="0"/>
          <w:sz w:val="32"/>
          <w:szCs w:val="32"/>
          <w:lang w:val="en-US" w:eastAsia="zh-CN" w:bidi="ar-SA"/>
        </w:rPr>
        <w:t>根据项目单位提供的情况说明显示，济宁市兖州区社会保险服务中心2021年征收机关事业单位养老保险费27807万元，发放养老金50796万元，总体收不抵支，每月需财政补贴约2000万元，财政局已经按照申请及时拨付到位，确保了该项养老金的按时足额发放。</w:t>
      </w:r>
    </w:p>
    <w:p>
      <w:pPr>
        <w:pStyle w:val="2"/>
        <w:keepNext w:val="0"/>
        <w:keepLines w:val="0"/>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评价小组通过查询到已公开发布的由兖州区财政局编制的《济宁市兖州区2021年预算执行情况和2022年预算草案表》，该表包含多张数据详表。其中，《2021年兖州区社会保险基金预算收入执行情况表》显示，兖州区机关事业单位基本养老保险基金收入2021年预算数为53375万元（保险费收入28425万元，利息收入50万元，财政补贴收入24000万元，转移收入900万元）；兖州区机关事业单位基本养老保险基金收入2021年执行数为55665万元（保险费收入27902万元，利息收入64万元，财政补贴收入26000万元，转移收入1699万元）。《2021年兖州区社会保险基金预算支出执行情况表》显示，机关事业单位基本养老保险基金支出2021年预算数为51944万元（基本养老金支出51924万元，转移支出20万元）；机关事业单位基本养老保险基金支出2021年执行数为51042万元（基本养老金支出50931万元，转移支出111万元）。收支情况见下表：</w:t>
      </w:r>
    </w:p>
    <w:p>
      <w:pPr>
        <w:pStyle w:val="2"/>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ind w:left="0" w:leftChars="0" w:firstLine="0" w:firstLineChars="0"/>
        <w:jc w:val="center"/>
        <w:textAlignment w:val="auto"/>
        <w:rPr>
          <w:rFonts w:hint="default" w:ascii="Times New Roman" w:hAnsi="Times New Roman" w:eastAsia="方正小标宋_GBK" w:cs="Times New Roman"/>
          <w:b w:val="0"/>
          <w:bCs w:val="0"/>
          <w:sz w:val="32"/>
          <w:szCs w:val="32"/>
        </w:rPr>
      </w:pPr>
      <w:r>
        <w:rPr>
          <w:rFonts w:hint="default" w:ascii="Times New Roman" w:hAnsi="Times New Roman" w:eastAsia="方正小标宋_GBK" w:cs="Times New Roman"/>
          <w:b w:val="0"/>
          <w:bCs w:val="0"/>
          <w:sz w:val="32"/>
          <w:szCs w:val="32"/>
        </w:rPr>
        <w:t>表1</w:t>
      </w:r>
      <w:r>
        <w:rPr>
          <w:rFonts w:hint="default" w:ascii="Times New Roman" w:hAnsi="Times New Roman" w:eastAsia="方正小标宋_GBK" w:cs="Times New Roman"/>
          <w:b w:val="0"/>
          <w:bCs w:val="0"/>
          <w:sz w:val="32"/>
          <w:szCs w:val="32"/>
          <w:lang w:val="en-US" w:eastAsia="zh-CN"/>
        </w:rPr>
        <w:t>.</w:t>
      </w:r>
      <w:r>
        <w:rPr>
          <w:rFonts w:hint="default" w:ascii="Times New Roman" w:hAnsi="Times New Roman" w:eastAsia="方正小标宋_GBK" w:cs="Times New Roman"/>
          <w:b w:val="0"/>
          <w:bCs w:val="0"/>
          <w:sz w:val="32"/>
          <w:szCs w:val="32"/>
        </w:rPr>
        <w:t>2021年机关事业单位基本养老保险收支及财政补贴情况</w:t>
      </w:r>
    </w:p>
    <w:tbl>
      <w:tblPr>
        <w:tblStyle w:val="22"/>
        <w:tblW w:w="90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4"/>
        <w:gridCol w:w="2265"/>
        <w:gridCol w:w="21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48" w:type="dxa"/>
            <w:vAlign w:val="top"/>
          </w:tcPr>
          <w:p>
            <w:pPr>
              <w:ind w:firstLine="0" w:firstLineChars="0"/>
              <w:jc w:val="center"/>
              <w:rPr>
                <w:rFonts w:hint="default" w:ascii="Times New Roman" w:hAnsi="Times New Roman" w:eastAsia="黑体" w:cs="Times New Roman"/>
                <w:b w:val="0"/>
                <w:bCs w:val="0"/>
                <w:kern w:val="0"/>
                <w:sz w:val="21"/>
                <w:szCs w:val="21"/>
                <w:lang w:val="en-US" w:eastAsia="zh-CN" w:bidi="ar-SA"/>
              </w:rPr>
            </w:pPr>
            <w:r>
              <w:rPr>
                <w:rFonts w:hint="default" w:ascii="Times New Roman" w:hAnsi="Times New Roman" w:eastAsia="黑体" w:cs="Times New Roman"/>
                <w:b w:val="0"/>
                <w:bCs w:val="0"/>
                <w:kern w:val="0"/>
                <w:sz w:val="21"/>
                <w:szCs w:val="21"/>
                <w:lang w:val="en-US" w:eastAsia="zh-CN" w:bidi="ar-SA"/>
              </w:rPr>
              <w:t>时间</w:t>
            </w:r>
          </w:p>
        </w:tc>
        <w:tc>
          <w:tcPr>
            <w:tcW w:w="2128" w:type="dxa"/>
            <w:vAlign w:val="top"/>
          </w:tcPr>
          <w:p>
            <w:pPr>
              <w:ind w:firstLine="0" w:firstLineChars="0"/>
              <w:jc w:val="center"/>
              <w:rPr>
                <w:rFonts w:hint="default" w:ascii="Times New Roman" w:hAnsi="Times New Roman" w:eastAsia="黑体" w:cs="Times New Roman"/>
                <w:b w:val="0"/>
                <w:bCs w:val="0"/>
                <w:kern w:val="0"/>
                <w:sz w:val="21"/>
                <w:szCs w:val="21"/>
                <w:lang w:val="en-US" w:eastAsia="zh-CN" w:bidi="ar-SA"/>
              </w:rPr>
            </w:pPr>
            <w:r>
              <w:rPr>
                <w:rFonts w:hint="default" w:ascii="Times New Roman" w:hAnsi="Times New Roman" w:eastAsia="黑体" w:cs="Times New Roman"/>
                <w:b w:val="0"/>
                <w:bCs w:val="0"/>
                <w:kern w:val="0"/>
                <w:sz w:val="21"/>
                <w:szCs w:val="21"/>
                <w:lang w:val="en-US" w:eastAsia="zh-CN" w:bidi="ar-SA"/>
              </w:rPr>
              <w:t>征收金额</w:t>
            </w:r>
          </w:p>
        </w:tc>
        <w:tc>
          <w:tcPr>
            <w:tcW w:w="2041" w:type="dxa"/>
            <w:vAlign w:val="top"/>
          </w:tcPr>
          <w:p>
            <w:pPr>
              <w:ind w:firstLine="0" w:firstLineChars="0"/>
              <w:jc w:val="center"/>
              <w:rPr>
                <w:rFonts w:hint="default" w:ascii="Times New Roman" w:hAnsi="Times New Roman" w:eastAsia="黑体" w:cs="Times New Roman"/>
                <w:b w:val="0"/>
                <w:bCs w:val="0"/>
                <w:kern w:val="0"/>
                <w:sz w:val="21"/>
                <w:szCs w:val="21"/>
                <w:lang w:val="en-US" w:eastAsia="zh-CN" w:bidi="ar-SA"/>
              </w:rPr>
            </w:pPr>
            <w:r>
              <w:rPr>
                <w:rFonts w:hint="default" w:ascii="Times New Roman" w:hAnsi="Times New Roman" w:eastAsia="黑体" w:cs="Times New Roman"/>
                <w:b w:val="0"/>
                <w:bCs w:val="0"/>
                <w:kern w:val="0"/>
                <w:sz w:val="21"/>
                <w:szCs w:val="21"/>
                <w:lang w:val="en-US" w:eastAsia="zh-CN" w:bidi="ar-SA"/>
              </w:rPr>
              <w:t>财政补贴</w:t>
            </w:r>
          </w:p>
        </w:tc>
        <w:tc>
          <w:tcPr>
            <w:tcW w:w="2705" w:type="dxa"/>
            <w:vAlign w:val="top"/>
          </w:tcPr>
          <w:p>
            <w:pPr>
              <w:ind w:firstLine="0" w:firstLineChars="0"/>
              <w:jc w:val="center"/>
              <w:rPr>
                <w:rFonts w:hint="default" w:ascii="Times New Roman" w:hAnsi="Times New Roman" w:eastAsia="黑体" w:cs="Times New Roman"/>
                <w:b w:val="0"/>
                <w:bCs w:val="0"/>
                <w:kern w:val="0"/>
                <w:sz w:val="21"/>
                <w:szCs w:val="21"/>
                <w:lang w:val="en-US" w:eastAsia="zh-CN" w:bidi="ar-SA"/>
              </w:rPr>
            </w:pPr>
            <w:r>
              <w:rPr>
                <w:rFonts w:hint="default" w:ascii="Times New Roman" w:hAnsi="Times New Roman" w:eastAsia="黑体" w:cs="Times New Roman"/>
                <w:b w:val="0"/>
                <w:bCs w:val="0"/>
                <w:kern w:val="0"/>
                <w:sz w:val="21"/>
                <w:szCs w:val="21"/>
                <w:lang w:val="en-US" w:eastAsia="zh-CN" w:bidi="ar-SA"/>
              </w:rPr>
              <w:t>发放金额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48" w:type="dxa"/>
            <w:vAlign w:val="top"/>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2021.1</w:t>
            </w:r>
          </w:p>
        </w:tc>
        <w:tc>
          <w:tcPr>
            <w:tcW w:w="2128"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2226万</w:t>
            </w:r>
          </w:p>
        </w:tc>
        <w:tc>
          <w:tcPr>
            <w:tcW w:w="2041"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2000万</w:t>
            </w:r>
          </w:p>
        </w:tc>
        <w:tc>
          <w:tcPr>
            <w:tcW w:w="2705"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4065万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48" w:type="dxa"/>
            <w:vAlign w:val="top"/>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2021.2</w:t>
            </w:r>
          </w:p>
        </w:tc>
        <w:tc>
          <w:tcPr>
            <w:tcW w:w="2128"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2299万</w:t>
            </w:r>
          </w:p>
        </w:tc>
        <w:tc>
          <w:tcPr>
            <w:tcW w:w="2041"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2000万</w:t>
            </w:r>
          </w:p>
        </w:tc>
        <w:tc>
          <w:tcPr>
            <w:tcW w:w="2705"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4047万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48" w:type="dxa"/>
            <w:vAlign w:val="top"/>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2021.3</w:t>
            </w:r>
          </w:p>
        </w:tc>
        <w:tc>
          <w:tcPr>
            <w:tcW w:w="2128"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2443万</w:t>
            </w:r>
          </w:p>
        </w:tc>
        <w:tc>
          <w:tcPr>
            <w:tcW w:w="2041"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2000万</w:t>
            </w:r>
          </w:p>
        </w:tc>
        <w:tc>
          <w:tcPr>
            <w:tcW w:w="2705"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4046万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48" w:type="dxa"/>
            <w:vAlign w:val="top"/>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2021.4</w:t>
            </w:r>
          </w:p>
        </w:tc>
        <w:tc>
          <w:tcPr>
            <w:tcW w:w="2128"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2376万</w:t>
            </w:r>
          </w:p>
        </w:tc>
        <w:tc>
          <w:tcPr>
            <w:tcW w:w="2041"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2000万</w:t>
            </w:r>
          </w:p>
        </w:tc>
        <w:tc>
          <w:tcPr>
            <w:tcW w:w="2705"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4070万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48" w:type="dxa"/>
            <w:vAlign w:val="top"/>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2021.5</w:t>
            </w:r>
          </w:p>
        </w:tc>
        <w:tc>
          <w:tcPr>
            <w:tcW w:w="2128"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2271万</w:t>
            </w:r>
          </w:p>
        </w:tc>
        <w:tc>
          <w:tcPr>
            <w:tcW w:w="2041"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2000万</w:t>
            </w:r>
          </w:p>
        </w:tc>
        <w:tc>
          <w:tcPr>
            <w:tcW w:w="2705"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4080万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48" w:type="dxa"/>
            <w:vAlign w:val="top"/>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2021.6</w:t>
            </w:r>
          </w:p>
        </w:tc>
        <w:tc>
          <w:tcPr>
            <w:tcW w:w="2128"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2260万</w:t>
            </w:r>
          </w:p>
        </w:tc>
        <w:tc>
          <w:tcPr>
            <w:tcW w:w="2041"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2800万</w:t>
            </w:r>
          </w:p>
        </w:tc>
        <w:tc>
          <w:tcPr>
            <w:tcW w:w="2705" w:type="dxa"/>
            <w:vAlign w:val="top"/>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4946万（含1-6月增资）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48" w:type="dxa"/>
            <w:vAlign w:val="top"/>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2021.7</w:t>
            </w:r>
          </w:p>
        </w:tc>
        <w:tc>
          <w:tcPr>
            <w:tcW w:w="2128"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2299万</w:t>
            </w:r>
          </w:p>
        </w:tc>
        <w:tc>
          <w:tcPr>
            <w:tcW w:w="2041"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2000万</w:t>
            </w:r>
          </w:p>
        </w:tc>
        <w:tc>
          <w:tcPr>
            <w:tcW w:w="2705"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4226万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48" w:type="dxa"/>
            <w:vAlign w:val="top"/>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2021.8</w:t>
            </w:r>
          </w:p>
        </w:tc>
        <w:tc>
          <w:tcPr>
            <w:tcW w:w="2128"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2282万</w:t>
            </w:r>
          </w:p>
        </w:tc>
        <w:tc>
          <w:tcPr>
            <w:tcW w:w="2041"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2000万</w:t>
            </w:r>
          </w:p>
        </w:tc>
        <w:tc>
          <w:tcPr>
            <w:tcW w:w="2705"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4207万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48" w:type="dxa"/>
            <w:vAlign w:val="top"/>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2021.9</w:t>
            </w:r>
          </w:p>
        </w:tc>
        <w:tc>
          <w:tcPr>
            <w:tcW w:w="2128"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2379万</w:t>
            </w:r>
          </w:p>
        </w:tc>
        <w:tc>
          <w:tcPr>
            <w:tcW w:w="2041"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2000万</w:t>
            </w:r>
          </w:p>
        </w:tc>
        <w:tc>
          <w:tcPr>
            <w:tcW w:w="2705"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4222万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48" w:type="dxa"/>
            <w:vAlign w:val="top"/>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2021.10</w:t>
            </w:r>
          </w:p>
        </w:tc>
        <w:tc>
          <w:tcPr>
            <w:tcW w:w="2128"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2317万</w:t>
            </w:r>
          </w:p>
        </w:tc>
        <w:tc>
          <w:tcPr>
            <w:tcW w:w="2041"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2000万</w:t>
            </w:r>
          </w:p>
        </w:tc>
        <w:tc>
          <w:tcPr>
            <w:tcW w:w="2705"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4235万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48" w:type="dxa"/>
            <w:vAlign w:val="top"/>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2021.11</w:t>
            </w:r>
          </w:p>
        </w:tc>
        <w:tc>
          <w:tcPr>
            <w:tcW w:w="2128"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2298万</w:t>
            </w:r>
          </w:p>
        </w:tc>
        <w:tc>
          <w:tcPr>
            <w:tcW w:w="2041"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2000万</w:t>
            </w:r>
          </w:p>
        </w:tc>
        <w:tc>
          <w:tcPr>
            <w:tcW w:w="2705"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4256万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48" w:type="dxa"/>
            <w:vAlign w:val="top"/>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2021.12</w:t>
            </w:r>
          </w:p>
        </w:tc>
        <w:tc>
          <w:tcPr>
            <w:tcW w:w="2128"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2357万</w:t>
            </w:r>
          </w:p>
        </w:tc>
        <w:tc>
          <w:tcPr>
            <w:tcW w:w="2041"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3000万</w:t>
            </w:r>
          </w:p>
        </w:tc>
        <w:tc>
          <w:tcPr>
            <w:tcW w:w="2705"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4396万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48" w:type="dxa"/>
            <w:vAlign w:val="top"/>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合计</w:t>
            </w:r>
          </w:p>
        </w:tc>
        <w:tc>
          <w:tcPr>
            <w:tcW w:w="2128"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27807万元</w:t>
            </w:r>
          </w:p>
        </w:tc>
        <w:tc>
          <w:tcPr>
            <w:tcW w:w="2041"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25800万元</w:t>
            </w:r>
          </w:p>
        </w:tc>
        <w:tc>
          <w:tcPr>
            <w:tcW w:w="2705" w:type="dxa"/>
            <w:vAlign w:val="top"/>
          </w:tcPr>
          <w:p>
            <w:pPr>
              <w:ind w:left="0" w:leftChars="0"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50796万元</w:t>
            </w:r>
          </w:p>
        </w:tc>
      </w:tr>
      <w:bookmarkEnd w:id="44"/>
    </w:tbl>
    <w:p>
      <w:pPr>
        <w:pStyle w:val="5"/>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楷体" w:cs="Times New Roman"/>
          <w:b w:val="0"/>
          <w:bCs w:val="0"/>
          <w:kern w:val="0"/>
          <w:sz w:val="32"/>
          <w:szCs w:val="32"/>
          <w:lang w:eastAsia="zh-CN"/>
        </w:rPr>
      </w:pPr>
      <w:bookmarkStart w:id="45" w:name="_Toc25650488"/>
      <w:bookmarkStart w:id="46" w:name="_Toc24374844"/>
      <w:bookmarkStart w:id="47" w:name="_Toc24374203"/>
      <w:bookmarkStart w:id="48" w:name="_Toc12109"/>
      <w:r>
        <w:rPr>
          <w:rFonts w:hint="default" w:ascii="Times New Roman" w:hAnsi="Times New Roman" w:eastAsia="楷体" w:cs="Times New Roman"/>
          <w:b w:val="0"/>
          <w:bCs w:val="0"/>
          <w:kern w:val="0"/>
          <w:sz w:val="32"/>
          <w:szCs w:val="32"/>
        </w:rPr>
        <w:t>（二）</w:t>
      </w:r>
      <w:bookmarkEnd w:id="45"/>
      <w:bookmarkEnd w:id="46"/>
      <w:bookmarkEnd w:id="47"/>
      <w:r>
        <w:rPr>
          <w:rFonts w:hint="default" w:ascii="Times New Roman" w:hAnsi="Times New Roman" w:eastAsia="楷体" w:cs="Times New Roman"/>
          <w:b w:val="0"/>
          <w:bCs w:val="0"/>
          <w:kern w:val="0"/>
          <w:sz w:val="32"/>
          <w:szCs w:val="32"/>
        </w:rPr>
        <w:t>项目</w:t>
      </w:r>
      <w:r>
        <w:rPr>
          <w:rFonts w:hint="default" w:ascii="Times New Roman" w:hAnsi="Times New Roman" w:eastAsia="楷体" w:cs="Times New Roman"/>
          <w:b w:val="0"/>
          <w:bCs w:val="0"/>
          <w:kern w:val="0"/>
          <w:sz w:val="32"/>
          <w:szCs w:val="32"/>
          <w:lang w:val="en-US" w:eastAsia="zh-CN"/>
        </w:rPr>
        <w:t>预算</w:t>
      </w:r>
      <w:bookmarkEnd w:id="48"/>
    </w:p>
    <w:p>
      <w:pPr>
        <w:pStyle w:val="6"/>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仿宋_GB2312" w:cs="Times New Roman"/>
          <w:b w:val="0"/>
          <w:bCs w:val="0"/>
          <w:kern w:val="0"/>
          <w:sz w:val="32"/>
          <w:szCs w:val="32"/>
          <w:lang w:val="en-US" w:eastAsia="zh-CN" w:bidi="ar-SA"/>
        </w:rPr>
      </w:pPr>
      <w:bookmarkStart w:id="49" w:name="_Toc24939"/>
      <w:bookmarkStart w:id="50" w:name="_Toc27380"/>
      <w:r>
        <w:rPr>
          <w:rFonts w:hint="default" w:ascii="Times New Roman" w:hAnsi="Times New Roman" w:eastAsia="仿宋_GB2312" w:cs="Times New Roman"/>
          <w:b w:val="0"/>
          <w:bCs w:val="0"/>
          <w:kern w:val="0"/>
          <w:sz w:val="32"/>
          <w:szCs w:val="32"/>
          <w:lang w:val="en-US" w:eastAsia="zh-CN" w:bidi="ar-SA"/>
        </w:rPr>
        <w:t>1.资金来源</w:t>
      </w:r>
      <w:bookmarkEnd w:id="49"/>
      <w:bookmarkEnd w:id="50"/>
    </w:p>
    <w:p>
      <w:pPr>
        <w:pStyle w:val="2"/>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color w:val="FF0000"/>
          <w:sz w:val="32"/>
          <w:szCs w:val="32"/>
        </w:rPr>
      </w:pPr>
      <w:r>
        <w:rPr>
          <w:rFonts w:hint="default" w:ascii="Times New Roman" w:hAnsi="Times New Roman" w:eastAsia="仿宋_GB2312" w:cs="Times New Roman"/>
          <w:b w:val="0"/>
          <w:bCs w:val="0"/>
          <w:kern w:val="0"/>
          <w:sz w:val="32"/>
          <w:szCs w:val="32"/>
          <w:lang w:val="en-US" w:eastAsia="zh-CN" w:bidi="ar-SA"/>
        </w:rPr>
        <w:t>根据《济宁市兖州区财政局关于批复2021年部门预算的通知》（兖财预〔2021〕3号），财政部门对济宁市兖州区社会保险服务中心的整体预算支出进行了批复，全年预算数为50635万元，其中，民生社保资金50013万元，包括机关事业单位养老保险补贴24000万元（该金额具体测算是根据社保基金预算底表预计全年支出51944万元，预计收入28400万元，两者作差得来）。此为缺口补贴资金，其余资金为当年养老保险缴费收入。</w:t>
      </w:r>
    </w:p>
    <w:p>
      <w:pPr>
        <w:pStyle w:val="6"/>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仿宋_GB2312" w:cs="Times New Roman"/>
          <w:b w:val="0"/>
          <w:bCs w:val="0"/>
          <w:kern w:val="0"/>
          <w:sz w:val="32"/>
          <w:szCs w:val="32"/>
          <w:lang w:val="en-US" w:eastAsia="zh-CN" w:bidi="ar-SA"/>
        </w:rPr>
      </w:pPr>
      <w:bookmarkStart w:id="51" w:name="_Toc16834"/>
      <w:bookmarkStart w:id="52" w:name="_Toc29806"/>
      <w:r>
        <w:rPr>
          <w:rFonts w:hint="default" w:ascii="Times New Roman" w:hAnsi="Times New Roman" w:eastAsia="仿宋_GB2312" w:cs="Times New Roman"/>
          <w:b w:val="0"/>
          <w:bCs w:val="0"/>
          <w:kern w:val="0"/>
          <w:sz w:val="32"/>
          <w:szCs w:val="32"/>
          <w:lang w:val="en-US" w:eastAsia="zh-CN" w:bidi="ar-SA"/>
        </w:rPr>
        <w:t>2.资金使用</w:t>
      </w:r>
      <w:bookmarkEnd w:id="51"/>
      <w:bookmarkEnd w:id="52"/>
    </w:p>
    <w:p>
      <w:pPr>
        <w:pStyle w:val="2"/>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sz w:val="32"/>
          <w:szCs w:val="32"/>
        </w:rPr>
      </w:pPr>
      <w:r>
        <w:rPr>
          <w:rFonts w:hint="default" w:ascii="Times New Roman" w:hAnsi="Times New Roman" w:eastAsia="仿宋_GB2312" w:cs="Times New Roman"/>
          <w:b w:val="0"/>
          <w:bCs w:val="0"/>
          <w:kern w:val="0"/>
          <w:sz w:val="32"/>
          <w:szCs w:val="32"/>
          <w:lang w:val="en-US" w:eastAsia="zh-CN" w:bidi="ar-SA"/>
        </w:rPr>
        <w:t>通过查看项目相关资料结合支出明细明确，2021年兖州区机关事业单位养老保险基金实际支出51042万元（基本养老金支出50931万元，转移支出111万元），其中包括机关事业单位养老保险补贴25800万元。</w:t>
      </w:r>
    </w:p>
    <w:p>
      <w:pPr>
        <w:pStyle w:val="5"/>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楷体" w:cs="Times New Roman"/>
          <w:b w:val="0"/>
          <w:bCs w:val="0"/>
          <w:kern w:val="0"/>
          <w:sz w:val="32"/>
          <w:szCs w:val="32"/>
        </w:rPr>
      </w:pPr>
      <w:bookmarkStart w:id="53" w:name="_Toc3664"/>
      <w:r>
        <w:rPr>
          <w:rFonts w:hint="default" w:ascii="Times New Roman" w:hAnsi="Times New Roman" w:eastAsia="楷体" w:cs="Times New Roman"/>
          <w:b w:val="0"/>
          <w:bCs w:val="0"/>
          <w:kern w:val="0"/>
          <w:sz w:val="32"/>
          <w:szCs w:val="32"/>
        </w:rPr>
        <w:t>（三）项目</w:t>
      </w:r>
      <w:r>
        <w:rPr>
          <w:rFonts w:hint="default" w:ascii="Times New Roman" w:hAnsi="Times New Roman" w:eastAsia="楷体" w:cs="Times New Roman"/>
          <w:b w:val="0"/>
          <w:bCs w:val="0"/>
          <w:kern w:val="0"/>
          <w:sz w:val="32"/>
          <w:szCs w:val="32"/>
          <w:lang w:val="en-US" w:eastAsia="zh-CN"/>
        </w:rPr>
        <w:t>计划</w:t>
      </w:r>
      <w:r>
        <w:rPr>
          <w:rFonts w:hint="default" w:ascii="Times New Roman" w:hAnsi="Times New Roman" w:eastAsia="楷体" w:cs="Times New Roman"/>
          <w:b w:val="0"/>
          <w:bCs w:val="0"/>
          <w:kern w:val="0"/>
          <w:sz w:val="32"/>
          <w:szCs w:val="32"/>
        </w:rPr>
        <w:t>实施内容</w:t>
      </w:r>
      <w:bookmarkEnd w:id="53"/>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根据项目单位提供的情况说明显示，济宁市兖州区社会保险服务中心2021年征收机关事业单位养老保险费27807万元，发放养老金50796万元，总体收不抵支，每月需财政补贴约2000万元，财政局已经按照申请及时拨付到位，确保了该项养老金的按时足额发放。通过查询已公开发布的由兖州区财政局编制的《济宁市兖州区2021年预算执行情况和2022年预算草案表》，其中，《2021年兖州区社会保险基金预算收入执行情况表》显示，兖州区机关事业单位基本养老保险基金收入2021年预算数为53375万元，2021年实际执行数为55665万元。《2021年兖州区社会保险基金预算支出执行情况表》显示，机关事业单位基本养老保险基金支出2021年预算数为51944万元；2021年实际执行数为51042万元。</w:t>
      </w:r>
    </w:p>
    <w:p>
      <w:pPr>
        <w:pStyle w:val="5"/>
        <w:pageBreakBefore w:val="0"/>
        <w:numPr>
          <w:ilvl w:val="0"/>
          <w:numId w:val="1"/>
        </w:numPr>
        <w:kinsoku/>
        <w:wordWrap/>
        <w:overflowPunct/>
        <w:topLinePunct w:val="0"/>
        <w:autoSpaceDE/>
        <w:autoSpaceDN/>
        <w:bidi w:val="0"/>
        <w:adjustRightInd/>
        <w:snapToGrid/>
        <w:spacing w:line="600" w:lineRule="exact"/>
        <w:textAlignment w:val="auto"/>
        <w:rPr>
          <w:rFonts w:hint="default" w:ascii="Times New Roman" w:hAnsi="Times New Roman" w:cs="Times New Roman"/>
          <w:b w:val="0"/>
          <w:bCs w:val="0"/>
          <w:lang w:val="en-US" w:eastAsia="zh-CN"/>
        </w:rPr>
      </w:pPr>
      <w:bookmarkStart w:id="54" w:name="_Toc13765"/>
      <w:r>
        <w:rPr>
          <w:rFonts w:hint="default" w:ascii="Times New Roman" w:hAnsi="Times New Roman" w:cs="Times New Roman"/>
          <w:b w:val="0"/>
          <w:bCs w:val="0"/>
          <w:lang w:val="en-US" w:eastAsia="zh-CN"/>
        </w:rPr>
        <w:t>项目组织管理</w:t>
      </w:r>
      <w:bookmarkEnd w:id="54"/>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参加机关事业单位养老保险的事业单位是指，根据《中共山东省委、山东省人民政府关于贯彻中发〔2011〕5号文件精神分类推进事业单位改革的实施意见》（鲁发〔2011〕16号）等有关规定，目前划分为承担行政职能的事业单位和从事公益服务的事业单位（含公益一类、二类、三类事业单位）。对于划分为从事生产经营活动的事业单位，已参加企业职工基本养老保险的仍继续参加；尚未参加的，暂参加机关事业单位基本养老保险，待其转企改制到位后，自转企改制基准日起，按有关规定纳入企业职工基本养老保险范围。对于目前尚未确定分类类型的事业单位，已参加企业职工基本养老保险的仍继续参加；尚未参加的，暂参加机关事业单位基本养老保险，待其分类类型确定并改革到位后，纳入相应的养老保险制度。</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根据省政府《实施意见》要求，严格按照机关事业单位编制和人事管理规定确定参保人员范围。编制外人员应依法参加企业职工基本养老保险。对于编制和人事管理不规范的单位，要先按照有关规定进行清理规范，待明确工作人员身份后再纳入相应的养老保险制度。各地在原机关事业单位养老保险统筹期间，已纳入参保范围的编制外人员，应划转至企业职工基本养老保险继续参保，原统筹期间的个人缴费相应转入本人企业职工基本养老保险个人账户。其中，改革前（2014年10月1日前，下同）已经人力资源社会保障部门核准领取养老金的人员，可保留在机关事业单位基本养老保险范围，原统筹期间的个人缴费并入机关事业单位基本养老保险基金。编制外人员的具体划转办法，由各市（指设区的市，下同）结合实际确定。对于参加机关事业单位养老保险的单位中的编制内劳动合同制工人，按照国家和省相关规定，参加机关事业单位养老保险，具体办法另行确定。</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lang w:val="en-US"/>
        </w:rPr>
      </w:pPr>
      <w:r>
        <w:rPr>
          <w:rFonts w:hint="default" w:ascii="Times New Roman" w:hAnsi="Times New Roman" w:eastAsia="仿宋_GB2312" w:cs="Times New Roman"/>
          <w:b w:val="0"/>
          <w:bCs w:val="0"/>
          <w:kern w:val="0"/>
          <w:sz w:val="32"/>
          <w:szCs w:val="32"/>
          <w:lang w:val="en-US" w:eastAsia="zh-CN" w:bidi="ar-SA"/>
        </w:rPr>
        <w:t>全省实行统一的过渡办法。对于改革前参加工作、改革后退休的“中人”设立10年过渡期，过渡期内实行新老待遇计发办法对比，保低限高。即：新办法计发待遇（含职业年金待遇）低于老办法待遇标准的，按老办法待遇标准发放，保持待遇不降低；高于老办法待遇标准的，超出的部分，第一年（2014年10月1日至2015年12月31日）退休的人员发放超出部分的10%，第二年（2016年1月1日至2016年12月31日）退休的人员发放20%，依此类推，到过渡期末年（2024年1月1日至2024年9月30日）退休的人员发放超出部分的100%。过渡期结束后退休的人员执行新办法。</w:t>
      </w:r>
    </w:p>
    <w:p>
      <w:pPr>
        <w:pStyle w:val="3"/>
        <w:keepNext/>
        <w:keepLines/>
        <w:pageBreakBefore w:val="0"/>
        <w:widowControl/>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cs="Times New Roman"/>
          <w:b w:val="0"/>
          <w:bCs w:val="0"/>
        </w:rPr>
      </w:pPr>
      <w:bookmarkStart w:id="55" w:name="_Toc17113"/>
      <w:r>
        <w:rPr>
          <w:rFonts w:hint="default" w:ascii="Times New Roman" w:hAnsi="Times New Roman" w:cs="Times New Roman"/>
          <w:b w:val="0"/>
          <w:bCs w:val="0"/>
        </w:rPr>
        <w:t>二、项目绩效目标</w:t>
      </w:r>
      <w:bookmarkEnd w:id="55"/>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sz w:val="32"/>
          <w:szCs w:val="32"/>
        </w:rPr>
      </w:pPr>
      <w:r>
        <w:rPr>
          <w:rFonts w:hint="default" w:ascii="Times New Roman" w:hAnsi="Times New Roman" w:eastAsia="仿宋_GB2312" w:cs="Times New Roman"/>
          <w:b w:val="0"/>
          <w:bCs w:val="0"/>
          <w:kern w:val="0"/>
          <w:sz w:val="32"/>
          <w:szCs w:val="32"/>
          <w:lang w:val="en-US" w:eastAsia="zh-CN" w:bidi="ar-SA"/>
        </w:rPr>
        <w:t>绩效目标是建设项目库、编制预算、实施绩效监控、开展绩效评价等的重要基础和依据，指财政预算资金计划在一定期限内达到的产出和效果。其中，长期绩效目标是指预算资金在跨度多年的计划期内预期达到的产出和效果。年度绩效目标是指预算资金在一个预算年度内预期达到的产出和效果。</w:t>
      </w:r>
    </w:p>
    <w:p>
      <w:pPr>
        <w:pStyle w:val="5"/>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楷体" w:cs="Times New Roman"/>
          <w:b w:val="0"/>
          <w:bCs w:val="0"/>
          <w:kern w:val="0"/>
          <w:sz w:val="32"/>
          <w:szCs w:val="32"/>
        </w:rPr>
      </w:pPr>
      <w:bookmarkStart w:id="56" w:name="_Toc24182"/>
      <w:r>
        <w:rPr>
          <w:rFonts w:hint="default" w:ascii="Times New Roman" w:hAnsi="Times New Roman" w:eastAsia="楷体" w:cs="Times New Roman"/>
          <w:b w:val="0"/>
          <w:bCs w:val="0"/>
          <w:kern w:val="0"/>
          <w:sz w:val="32"/>
          <w:szCs w:val="32"/>
        </w:rPr>
        <w:t>（一）</w:t>
      </w:r>
      <w:r>
        <w:rPr>
          <w:rFonts w:hint="default" w:ascii="Times New Roman" w:hAnsi="Times New Roman" w:eastAsia="楷体" w:cs="Times New Roman"/>
          <w:b w:val="0"/>
          <w:bCs w:val="0"/>
          <w:kern w:val="0"/>
          <w:sz w:val="32"/>
          <w:szCs w:val="32"/>
          <w:lang w:val="en-US" w:eastAsia="zh-CN"/>
        </w:rPr>
        <w:t>总体</w:t>
      </w:r>
      <w:r>
        <w:rPr>
          <w:rFonts w:hint="default" w:ascii="Times New Roman" w:hAnsi="Times New Roman" w:eastAsia="楷体" w:cs="Times New Roman"/>
          <w:b w:val="0"/>
          <w:bCs w:val="0"/>
          <w:kern w:val="0"/>
          <w:sz w:val="32"/>
          <w:szCs w:val="32"/>
        </w:rPr>
        <w:t>绩效目标</w:t>
      </w:r>
      <w:bookmarkEnd w:id="56"/>
    </w:p>
    <w:p>
      <w:pPr>
        <w:pStyle w:val="2"/>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color w:val="000000" w:themeColor="text1"/>
          <w:sz w:val="32"/>
          <w:szCs w:val="32"/>
        </w:rPr>
      </w:pPr>
      <w:r>
        <w:rPr>
          <w:rFonts w:hint="default" w:ascii="Times New Roman" w:hAnsi="Times New Roman" w:eastAsia="仿宋_GB2312" w:cs="Times New Roman"/>
          <w:b w:val="0"/>
          <w:bCs w:val="0"/>
          <w:kern w:val="0"/>
          <w:sz w:val="32"/>
          <w:szCs w:val="32"/>
          <w:lang w:val="en-US" w:eastAsia="zh-CN" w:bidi="ar-SA"/>
        </w:rPr>
        <w:t>通过对该项目进行深入沟通和梳理，结合项目单位职能，该项目的总体绩效目标为：根据职工工资增长和物价变动等情况，统筹安排机关事业单位和企业退休人员的基本养老金调整，逐步建立兼顾各类人员的养老保险待遇正常调整机制，分享经济社会发展成果，保障退休人员基本生活。</w:t>
      </w:r>
    </w:p>
    <w:p>
      <w:pPr>
        <w:pStyle w:val="5"/>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楷体" w:cs="Times New Roman"/>
          <w:b w:val="0"/>
          <w:bCs w:val="0"/>
          <w:kern w:val="0"/>
          <w:sz w:val="32"/>
          <w:szCs w:val="32"/>
        </w:rPr>
      </w:pPr>
      <w:bookmarkStart w:id="57" w:name="_Toc7038"/>
      <w:r>
        <w:rPr>
          <w:rFonts w:hint="default" w:ascii="Times New Roman" w:hAnsi="Times New Roman" w:eastAsia="楷体" w:cs="Times New Roman"/>
          <w:b w:val="0"/>
          <w:bCs w:val="0"/>
          <w:kern w:val="0"/>
          <w:sz w:val="32"/>
          <w:szCs w:val="32"/>
        </w:rPr>
        <w:t>（二）年度绩效目标</w:t>
      </w:r>
      <w:bookmarkEnd w:id="57"/>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color w:val="000000" w:themeColor="text1"/>
          <w:sz w:val="32"/>
          <w:szCs w:val="32"/>
        </w:rPr>
      </w:pPr>
      <w:r>
        <w:rPr>
          <w:rFonts w:hint="default" w:ascii="Times New Roman" w:hAnsi="Times New Roman" w:eastAsia="仿宋_GB2312" w:cs="Times New Roman"/>
          <w:b w:val="0"/>
          <w:bCs w:val="0"/>
          <w:kern w:val="0"/>
          <w:sz w:val="32"/>
          <w:szCs w:val="32"/>
          <w:lang w:val="en-US" w:eastAsia="zh-CN" w:bidi="ar-SA"/>
        </w:rPr>
        <w:t>通过对该项目进行深入沟通和梳理，结合项目单位职能，该项目的年度绩效目标为：按照国家规定调整养老金待遇水平，确保退休人员基本养老金足额按时发放。</w:t>
      </w:r>
      <w:bookmarkStart w:id="58" w:name="_Toc25650492"/>
      <w:bookmarkStart w:id="59" w:name="_Toc19136_WPSOffice_Level1"/>
      <w:bookmarkStart w:id="60" w:name="_Toc24374207"/>
      <w:bookmarkStart w:id="61" w:name="_Toc24374848"/>
      <w:bookmarkStart w:id="62" w:name="_Toc24311768"/>
    </w:p>
    <w:p>
      <w:pPr>
        <w:pStyle w:val="3"/>
        <w:pageBreakBefore w:val="0"/>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cs="Times New Roman"/>
          <w:b w:val="0"/>
          <w:bCs w:val="0"/>
        </w:rPr>
      </w:pPr>
      <w:bookmarkStart w:id="63" w:name="_Toc27516"/>
      <w:r>
        <w:rPr>
          <w:rFonts w:hint="default" w:ascii="Times New Roman" w:hAnsi="Times New Roman" w:cs="Times New Roman"/>
          <w:b w:val="0"/>
          <w:bCs w:val="0"/>
        </w:rPr>
        <w:t>三、评价</w:t>
      </w:r>
      <w:r>
        <w:rPr>
          <w:rFonts w:hint="default" w:ascii="Times New Roman" w:hAnsi="Times New Roman" w:cs="Times New Roman"/>
          <w:b w:val="0"/>
          <w:bCs w:val="0"/>
          <w:lang w:val="en-US" w:eastAsia="zh-CN"/>
        </w:rPr>
        <w:t>基本</w:t>
      </w:r>
      <w:r>
        <w:rPr>
          <w:rFonts w:hint="default" w:ascii="Times New Roman" w:hAnsi="Times New Roman" w:cs="Times New Roman"/>
          <w:b w:val="0"/>
          <w:bCs w:val="0"/>
        </w:rPr>
        <w:t>情况</w:t>
      </w:r>
      <w:bookmarkEnd w:id="58"/>
      <w:bookmarkEnd w:id="59"/>
      <w:bookmarkEnd w:id="60"/>
      <w:bookmarkEnd w:id="61"/>
      <w:bookmarkEnd w:id="62"/>
      <w:bookmarkEnd w:id="63"/>
    </w:p>
    <w:p>
      <w:pPr>
        <w:pStyle w:val="5"/>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楷体" w:cs="Times New Roman"/>
          <w:b w:val="0"/>
          <w:bCs w:val="0"/>
          <w:kern w:val="0"/>
          <w:sz w:val="32"/>
          <w:szCs w:val="32"/>
        </w:rPr>
      </w:pPr>
      <w:bookmarkStart w:id="64" w:name="_Toc24374208"/>
      <w:bookmarkStart w:id="65" w:name="_Toc25650493"/>
      <w:bookmarkStart w:id="66" w:name="_Toc24374849"/>
      <w:bookmarkStart w:id="67" w:name="_Toc559"/>
      <w:bookmarkStart w:id="68" w:name="_Toc25495_WPSOffice_Level2"/>
      <w:r>
        <w:rPr>
          <w:rFonts w:hint="default" w:ascii="Times New Roman" w:hAnsi="Times New Roman" w:eastAsia="楷体" w:cs="Times New Roman"/>
          <w:b w:val="0"/>
          <w:bCs w:val="0"/>
          <w:kern w:val="0"/>
          <w:sz w:val="32"/>
          <w:szCs w:val="32"/>
        </w:rPr>
        <w:t>（一）评价目的</w:t>
      </w:r>
      <w:bookmarkEnd w:id="64"/>
      <w:bookmarkEnd w:id="65"/>
      <w:bookmarkEnd w:id="66"/>
      <w:bookmarkEnd w:id="67"/>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sz w:val="32"/>
          <w:szCs w:val="32"/>
        </w:rPr>
      </w:pPr>
      <w:r>
        <w:rPr>
          <w:rFonts w:hint="default" w:ascii="Times New Roman" w:hAnsi="Times New Roman" w:eastAsia="仿宋_GB2312" w:cs="Times New Roman"/>
          <w:b w:val="0"/>
          <w:bCs w:val="0"/>
          <w:kern w:val="0"/>
          <w:sz w:val="32"/>
          <w:szCs w:val="32"/>
          <w:lang w:val="en-US" w:eastAsia="zh-CN" w:bidi="ar-SA"/>
        </w:rPr>
        <w:t>针对兖州区2021年机关事业单位基本养老保险基金支出项目，逐项调查兖州区社会保险服务中心在政策执行过程中的项目决策、项目管理和项目绩效情况，主要涉及项目执行过程中的政策执行、管理制度建设、资金使用规范性、资金的使用和产出效果等，全面评价项目绩效状况。在此基础上，针对项目执行过程中存在的问题及不足，提出针对性的改进意见，以促进项目单位的项目管理水平，提升政策实施效果和财政资金的使用效益，为下一步的预算资金安排和完善提供参考。</w:t>
      </w:r>
    </w:p>
    <w:p>
      <w:pPr>
        <w:pStyle w:val="5"/>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楷体" w:cs="Times New Roman"/>
          <w:b w:val="0"/>
          <w:bCs w:val="0"/>
          <w:kern w:val="0"/>
          <w:sz w:val="32"/>
          <w:szCs w:val="32"/>
        </w:rPr>
      </w:pPr>
      <w:bookmarkStart w:id="69" w:name="_Toc24374209"/>
      <w:bookmarkStart w:id="70" w:name="_Toc25650494"/>
      <w:bookmarkStart w:id="71" w:name="_Toc24374850"/>
      <w:bookmarkStart w:id="72" w:name="_Toc5696"/>
      <w:r>
        <w:rPr>
          <w:rFonts w:hint="default" w:ascii="Times New Roman" w:hAnsi="Times New Roman" w:eastAsia="楷体" w:cs="Times New Roman"/>
          <w:b w:val="0"/>
          <w:bCs w:val="0"/>
          <w:kern w:val="0"/>
          <w:sz w:val="32"/>
          <w:szCs w:val="32"/>
        </w:rPr>
        <w:t>（二）评价对象</w:t>
      </w:r>
      <w:bookmarkEnd w:id="68"/>
      <w:bookmarkEnd w:id="69"/>
      <w:bookmarkEnd w:id="70"/>
      <w:bookmarkEnd w:id="71"/>
      <w:r>
        <w:rPr>
          <w:rFonts w:hint="default" w:ascii="Times New Roman" w:hAnsi="Times New Roman" w:eastAsia="楷体" w:cs="Times New Roman"/>
          <w:b w:val="0"/>
          <w:bCs w:val="0"/>
          <w:kern w:val="0"/>
          <w:sz w:val="32"/>
          <w:szCs w:val="32"/>
        </w:rPr>
        <w:t>与范围</w:t>
      </w:r>
      <w:bookmarkEnd w:id="72"/>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本次绩效评价由山东德睿融投资咨询有限公司对所有项目资料进行书面评审、进行现场实地查看走访以及电话访谈等基础上完成。绩效评价的评价对象为兖州区2021年机关事业单位基本养老保险基金支出项目的使用绩效。</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本次绩效评价主要包括：</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项目资金投入情况：涵盖项目申请内容、绩效目标设定情况、绩效目标合理性；</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项目管理情况：涵盖组织管理制度建设、财务管理制度建设、会计信息质量监控；</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项目资金使用情况：涵盖资金投入使用、资金支付相符性、资金支出合规性；</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 xml:space="preserve">项目完成情况：涵盖项目绩效目标完成情况、绩效目标完成质量、检查验收情况等； </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eastAsiaTheme="minorEastAsia"/>
          <w:b w:val="0"/>
          <w:bCs w:val="0"/>
          <w:kern w:val="0"/>
          <w:sz w:val="32"/>
          <w:szCs w:val="32"/>
        </w:rPr>
      </w:pPr>
      <w:r>
        <w:rPr>
          <w:rFonts w:hint="default" w:ascii="Times New Roman" w:hAnsi="Times New Roman" w:eastAsia="仿宋_GB2312" w:cs="Times New Roman"/>
          <w:b w:val="0"/>
          <w:bCs w:val="0"/>
          <w:kern w:val="0"/>
          <w:sz w:val="32"/>
          <w:szCs w:val="32"/>
          <w:lang w:val="en-US" w:eastAsia="zh-CN" w:bidi="ar-SA"/>
        </w:rPr>
        <w:t>项目效益情况：涵盖项目完成后使用效益、社会效益及其它。</w:t>
      </w:r>
    </w:p>
    <w:p>
      <w:pPr>
        <w:pStyle w:val="5"/>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楷体" w:cs="Times New Roman"/>
          <w:b w:val="0"/>
          <w:bCs w:val="0"/>
          <w:kern w:val="0"/>
          <w:sz w:val="32"/>
          <w:szCs w:val="32"/>
        </w:rPr>
      </w:pPr>
      <w:bookmarkStart w:id="73" w:name="_Toc24374210"/>
      <w:bookmarkStart w:id="74" w:name="_Toc9029_WPSOffice_Level2"/>
      <w:bookmarkStart w:id="75" w:name="_Toc19716"/>
      <w:bookmarkStart w:id="76" w:name="_Toc24374851"/>
      <w:bookmarkStart w:id="77" w:name="_Toc25650497"/>
      <w:r>
        <w:rPr>
          <w:rFonts w:hint="default" w:ascii="Times New Roman" w:hAnsi="Times New Roman" w:eastAsia="楷体" w:cs="Times New Roman"/>
          <w:b w:val="0"/>
          <w:bCs w:val="0"/>
          <w:kern w:val="0"/>
          <w:sz w:val="32"/>
          <w:szCs w:val="32"/>
        </w:rPr>
        <w:t>（三）评价依据</w:t>
      </w:r>
      <w:bookmarkEnd w:id="73"/>
      <w:bookmarkEnd w:id="74"/>
      <w:bookmarkEnd w:id="75"/>
      <w:bookmarkEnd w:id="76"/>
      <w:bookmarkEnd w:id="77"/>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按照科学、规范、客观、公正的原则，全面分析和综合评价兖州区2021年机关事业单位基本养老保险基金支出项目资金的使用情况，对照相关法律法规，评价财政资金支付的质量和成效，科学系统评估财政资金的社会效益和可持续影响，为后续财政资金的投入提供参考依据。本次绩效评价的主要依据包括：</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1、《中华人民共和国预算法》；</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2、《中共中央国务院关于全面实施预算绩效管理的意见》（中发〔2018〕34号）；</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3、《财政支出绩效评价管理暂行办法》（财预〔2011〕285号）；</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4、《山东省政府办公厅关于印发〈山东省省对下转移支付资金预算绩效管理办法〉的通知》（鲁政办字〔2019〕20号）；</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5、《山东省省级财政支出绩效评价管理暂行办法》（鲁财预〔2011〕67号）；</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6、《中共山东省委山东省人民政府关于全面推进预算绩效管理的实施意见》（鲁发〔2019〕2号）；</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7、《济宁市人民政府关于全面推进预算绩效管理的意见》（济政字〔2015〕113号）；</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8、《关于印发&lt;济宁市兖州区区级项目支出绩效自评工作规程&gt;和&lt;济宁市兖州区区级项目支出绩效财政评价和部门评价工作规程&gt;的通知》（兖财字〔2020〕35号）；</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9、国务院关于机关事业单位工作人员养老保险制度改革的决定（国发〔2015〕2号）；</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10、人力资源社会保障部关于印发〈机关事业单位工作人员基本养老保险经办规程〉的通知（人社部发〔2015〕32号）；</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11、关于印发山东省机关事业单位工作人员养老保险制度改革实施办法的通知（鲁人社发〔2015〕46号）；</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12、关于确定机关事业单位养老保险缴费工资及待遇统筹项目的通知（鲁人社办发〔2015〕78号）；</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13、济宁市人民政府关于印发济宁市机关事业单位工作人员养老保险制度改革实施方案的通知（济政发〔2015〕23号）；</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sz w:val="32"/>
          <w:szCs w:val="32"/>
        </w:rPr>
      </w:pPr>
      <w:r>
        <w:rPr>
          <w:rFonts w:hint="default" w:ascii="Times New Roman" w:hAnsi="Times New Roman" w:eastAsia="仿宋_GB2312" w:cs="Times New Roman"/>
          <w:b w:val="0"/>
          <w:bCs w:val="0"/>
          <w:kern w:val="0"/>
          <w:sz w:val="32"/>
          <w:szCs w:val="32"/>
          <w:lang w:val="en-US" w:eastAsia="zh-CN" w:bidi="ar-SA"/>
        </w:rPr>
        <w:t>14、项目实施资料</w:t>
      </w:r>
      <w:bookmarkStart w:id="78" w:name="_Toc24374213"/>
      <w:bookmarkStart w:id="79" w:name="_Toc25885_WPSOffice_Level2"/>
      <w:bookmarkStart w:id="80" w:name="_Toc24374854"/>
      <w:bookmarkStart w:id="81" w:name="_Toc25650500"/>
    </w:p>
    <w:p>
      <w:pPr>
        <w:pStyle w:val="5"/>
        <w:pageBreakBefore w:val="0"/>
        <w:kinsoku/>
        <w:wordWrap/>
        <w:overflowPunct/>
        <w:topLinePunct w:val="0"/>
        <w:autoSpaceDE/>
        <w:autoSpaceDN/>
        <w:bidi w:val="0"/>
        <w:adjustRightInd/>
        <w:snapToGrid/>
        <w:spacing w:line="600" w:lineRule="exact"/>
        <w:textAlignment w:val="auto"/>
        <w:rPr>
          <w:rFonts w:hint="default" w:ascii="Times New Roman" w:hAnsi="Times New Roman" w:cs="Times New Roman"/>
          <w:b w:val="0"/>
          <w:bCs w:val="0"/>
          <w:lang w:val="en-US" w:eastAsia="zh-CN"/>
        </w:rPr>
      </w:pPr>
      <w:bookmarkStart w:id="82" w:name="_Toc7552"/>
      <w:r>
        <w:rPr>
          <w:rFonts w:hint="default" w:ascii="Times New Roman" w:hAnsi="Times New Roman" w:cs="Times New Roman"/>
          <w:b w:val="0"/>
          <w:bCs w:val="0"/>
          <w:lang w:val="en-US" w:eastAsia="zh-CN"/>
        </w:rPr>
        <w:t>（四）评价原则、评价方法</w:t>
      </w:r>
      <w:bookmarkEnd w:id="82"/>
    </w:p>
    <w:p>
      <w:pPr>
        <w:pStyle w:val="6"/>
        <w:pageBreakBefore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1、评价原则</w:t>
      </w:r>
    </w:p>
    <w:p>
      <w:pPr>
        <w:pStyle w:val="2"/>
        <w:pageBreakBefore w:val="0"/>
        <w:kinsoku/>
        <w:wordWrap/>
        <w:overflowPunct/>
        <w:topLinePunct w:val="0"/>
        <w:autoSpaceDE/>
        <w:autoSpaceDN/>
        <w:bidi w:val="0"/>
        <w:adjustRightInd/>
        <w:snapToGrid/>
        <w:spacing w:line="600" w:lineRule="exact"/>
        <w:ind w:firstLine="562"/>
        <w:textAlignment w:val="auto"/>
        <w:outlineLvl w:val="1"/>
        <w:rPr>
          <w:rFonts w:hint="default" w:ascii="Times New Roman" w:hAnsi="Times New Roman" w:eastAsia="仿宋_GB2312" w:cs="Times New Roman"/>
          <w:b w:val="0"/>
          <w:bCs w:val="0"/>
          <w:kern w:val="0"/>
          <w:sz w:val="32"/>
          <w:szCs w:val="32"/>
          <w:lang w:val="en-US" w:eastAsia="zh-CN" w:bidi="ar-SA"/>
        </w:rPr>
      </w:pPr>
      <w:bookmarkStart w:id="83" w:name="_Toc20543"/>
      <w:bookmarkStart w:id="84" w:name="_Toc28136"/>
      <w:bookmarkStart w:id="85" w:name="_Toc9377"/>
      <w:r>
        <w:rPr>
          <w:rFonts w:hint="default" w:ascii="Times New Roman" w:hAnsi="Times New Roman" w:eastAsia="仿宋_GB2312" w:cs="Times New Roman"/>
          <w:b w:val="0"/>
          <w:bCs w:val="0"/>
          <w:kern w:val="0"/>
          <w:sz w:val="32"/>
          <w:szCs w:val="32"/>
          <w:lang w:val="en-US" w:eastAsia="zh-CN" w:bidi="ar-SA"/>
        </w:rPr>
        <w:t>绩效评价指标是指衡量绩效目标实现程度的考核工具。绩效评价指标的确定应当遵循以下原则：</w:t>
      </w:r>
      <w:bookmarkEnd w:id="83"/>
      <w:bookmarkEnd w:id="84"/>
      <w:bookmarkEnd w:id="85"/>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（1）相关性原则。应当与绩效目标有直接的联系，能够恰当反映目标的实现程度。</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（2）重要性原则。应当优先使用最具评价对象代表性、最能反映评价要求的核心指标。</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（3）可比性原则。对同类评价对象要设定共性的绩效评价指标，以便于评价结果可以相互比较。</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（4）系统性原则。应当将定量指标与定性指标相结合，系统反映财政支出所产生的社会效益、经济效益、环境效益和可持续影响等。</w:t>
      </w:r>
    </w:p>
    <w:p>
      <w:pPr>
        <w:pStyle w:val="2"/>
        <w:pageBreakBefore w:val="0"/>
        <w:kinsoku/>
        <w:wordWrap/>
        <w:overflowPunct/>
        <w:topLinePunct w:val="0"/>
        <w:autoSpaceDE/>
        <w:autoSpaceDN/>
        <w:bidi w:val="0"/>
        <w:adjustRightInd/>
        <w:snapToGrid/>
        <w:spacing w:line="600" w:lineRule="exact"/>
        <w:ind w:firstLine="562"/>
        <w:textAlignment w:val="auto"/>
        <w:outlineLvl w:val="1"/>
        <w:rPr>
          <w:rFonts w:hint="default" w:ascii="Times New Roman" w:hAnsi="Times New Roman" w:eastAsia="仿宋_GB2312" w:cs="Times New Roman"/>
          <w:b w:val="0"/>
          <w:bCs w:val="0"/>
          <w:kern w:val="0"/>
          <w:sz w:val="32"/>
          <w:szCs w:val="32"/>
          <w:lang w:val="en-US" w:eastAsia="zh-CN" w:bidi="ar-SA"/>
        </w:rPr>
      </w:pPr>
      <w:bookmarkStart w:id="86" w:name="_Toc538"/>
      <w:bookmarkStart w:id="87" w:name="_Toc19933"/>
      <w:bookmarkStart w:id="88" w:name="_Toc24752"/>
      <w:r>
        <w:rPr>
          <w:rFonts w:hint="default" w:ascii="Times New Roman" w:hAnsi="Times New Roman" w:eastAsia="仿宋_GB2312" w:cs="Times New Roman"/>
          <w:b w:val="0"/>
          <w:bCs w:val="0"/>
          <w:kern w:val="0"/>
          <w:sz w:val="32"/>
          <w:szCs w:val="32"/>
          <w:lang w:val="en-US" w:eastAsia="zh-CN" w:bidi="ar-SA"/>
        </w:rPr>
        <w:t>（5）经济性原则。应当通俗易懂、简便易行，数据的获得应当考虑现实条件和可操作性，符合成本效益原则。</w:t>
      </w:r>
      <w:bookmarkEnd w:id="86"/>
      <w:bookmarkEnd w:id="87"/>
      <w:bookmarkEnd w:id="88"/>
    </w:p>
    <w:p>
      <w:pPr>
        <w:pStyle w:val="2"/>
        <w:pageBreakBefore w:val="0"/>
        <w:kinsoku/>
        <w:wordWrap/>
        <w:overflowPunct/>
        <w:topLinePunct w:val="0"/>
        <w:autoSpaceDE/>
        <w:autoSpaceDN/>
        <w:bidi w:val="0"/>
        <w:adjustRightInd/>
        <w:snapToGrid/>
        <w:spacing w:line="600" w:lineRule="exact"/>
        <w:ind w:firstLine="562"/>
        <w:textAlignment w:val="auto"/>
        <w:outlineLvl w:val="1"/>
        <w:rPr>
          <w:rFonts w:hint="default" w:ascii="Times New Roman" w:hAnsi="Times New Roman" w:eastAsia="仿宋_GB2312" w:cs="Times New Roman"/>
          <w:b w:val="0"/>
          <w:bCs w:val="0"/>
          <w:kern w:val="0"/>
          <w:sz w:val="32"/>
          <w:szCs w:val="32"/>
          <w:lang w:val="en-US" w:eastAsia="zh-CN" w:bidi="ar-SA"/>
        </w:rPr>
      </w:pPr>
      <w:bookmarkStart w:id="89" w:name="_Toc18080"/>
      <w:bookmarkStart w:id="90" w:name="_Toc4800"/>
      <w:bookmarkStart w:id="91" w:name="_Toc30030"/>
      <w:r>
        <w:rPr>
          <w:rFonts w:hint="default" w:ascii="Times New Roman" w:hAnsi="Times New Roman" w:eastAsia="仿宋_GB2312" w:cs="Times New Roman"/>
          <w:b w:val="0"/>
          <w:bCs w:val="0"/>
          <w:kern w:val="0"/>
          <w:sz w:val="32"/>
          <w:szCs w:val="32"/>
          <w:lang w:val="en-US" w:eastAsia="zh-CN" w:bidi="ar-SA"/>
        </w:rPr>
        <w:t>绩效评价标准是指衡量财政支出绩效目标完成程度的尺度。绩效评价标准具体包括：</w:t>
      </w:r>
      <w:bookmarkEnd w:id="89"/>
      <w:bookmarkEnd w:id="90"/>
      <w:bookmarkEnd w:id="91"/>
    </w:p>
    <w:p>
      <w:pPr>
        <w:pStyle w:val="2"/>
        <w:pageBreakBefore w:val="0"/>
        <w:kinsoku/>
        <w:wordWrap/>
        <w:overflowPunct/>
        <w:topLinePunct w:val="0"/>
        <w:autoSpaceDE/>
        <w:autoSpaceDN/>
        <w:bidi w:val="0"/>
        <w:adjustRightInd/>
        <w:snapToGrid/>
        <w:spacing w:line="600" w:lineRule="exact"/>
        <w:ind w:firstLine="562"/>
        <w:textAlignment w:val="auto"/>
        <w:outlineLvl w:val="1"/>
        <w:rPr>
          <w:rFonts w:hint="default" w:ascii="Times New Roman" w:hAnsi="Times New Roman" w:eastAsia="仿宋_GB2312" w:cs="Times New Roman"/>
          <w:b w:val="0"/>
          <w:bCs w:val="0"/>
          <w:kern w:val="0"/>
          <w:sz w:val="32"/>
          <w:szCs w:val="32"/>
          <w:lang w:val="en-US" w:eastAsia="zh-CN" w:bidi="ar-SA"/>
        </w:rPr>
      </w:pPr>
      <w:bookmarkStart w:id="92" w:name="_Toc30909"/>
      <w:bookmarkStart w:id="93" w:name="_Toc19994"/>
      <w:bookmarkStart w:id="94" w:name="_Toc23336"/>
      <w:r>
        <w:rPr>
          <w:rFonts w:hint="default" w:ascii="Times New Roman" w:hAnsi="Times New Roman" w:eastAsia="仿宋_GB2312" w:cs="Times New Roman"/>
          <w:b w:val="0"/>
          <w:bCs w:val="0"/>
          <w:kern w:val="0"/>
          <w:sz w:val="32"/>
          <w:szCs w:val="32"/>
          <w:lang w:val="en-US" w:eastAsia="zh-CN" w:bidi="ar-SA"/>
        </w:rPr>
        <w:t>（1）计划标准。是指以预先制定的目标、计划、预算、定额等数据作为评价的标准。</w:t>
      </w:r>
      <w:bookmarkEnd w:id="92"/>
      <w:bookmarkEnd w:id="93"/>
      <w:bookmarkEnd w:id="94"/>
    </w:p>
    <w:p>
      <w:pPr>
        <w:pStyle w:val="2"/>
        <w:pageBreakBefore w:val="0"/>
        <w:kinsoku/>
        <w:wordWrap/>
        <w:overflowPunct/>
        <w:topLinePunct w:val="0"/>
        <w:autoSpaceDE/>
        <w:autoSpaceDN/>
        <w:bidi w:val="0"/>
        <w:adjustRightInd/>
        <w:snapToGrid/>
        <w:spacing w:line="600" w:lineRule="exact"/>
        <w:ind w:firstLine="562"/>
        <w:textAlignment w:val="auto"/>
        <w:outlineLvl w:val="1"/>
        <w:rPr>
          <w:rFonts w:hint="default" w:ascii="Times New Roman" w:hAnsi="Times New Roman" w:eastAsia="仿宋_GB2312" w:cs="Times New Roman"/>
          <w:b w:val="0"/>
          <w:bCs w:val="0"/>
          <w:kern w:val="0"/>
          <w:sz w:val="32"/>
          <w:szCs w:val="32"/>
          <w:lang w:val="en-US" w:eastAsia="zh-CN" w:bidi="ar-SA"/>
        </w:rPr>
      </w:pPr>
      <w:bookmarkStart w:id="95" w:name="_Toc19576"/>
      <w:bookmarkStart w:id="96" w:name="_Toc29788"/>
      <w:bookmarkStart w:id="97" w:name="_Toc21025"/>
      <w:r>
        <w:rPr>
          <w:rFonts w:hint="default" w:ascii="Times New Roman" w:hAnsi="Times New Roman" w:eastAsia="仿宋_GB2312" w:cs="Times New Roman"/>
          <w:b w:val="0"/>
          <w:bCs w:val="0"/>
          <w:kern w:val="0"/>
          <w:sz w:val="32"/>
          <w:szCs w:val="32"/>
          <w:lang w:val="en-US" w:eastAsia="zh-CN" w:bidi="ar-SA"/>
        </w:rPr>
        <w:t>（2）行业标准。是指参照国家公布的行业指标数据制定的评价标准。</w:t>
      </w:r>
      <w:bookmarkEnd w:id="95"/>
      <w:bookmarkEnd w:id="96"/>
      <w:bookmarkEnd w:id="97"/>
    </w:p>
    <w:p>
      <w:pPr>
        <w:pStyle w:val="2"/>
        <w:pageBreakBefore w:val="0"/>
        <w:kinsoku/>
        <w:wordWrap/>
        <w:overflowPunct/>
        <w:topLinePunct w:val="0"/>
        <w:autoSpaceDE/>
        <w:autoSpaceDN/>
        <w:bidi w:val="0"/>
        <w:adjustRightInd/>
        <w:snapToGrid/>
        <w:spacing w:line="600" w:lineRule="exact"/>
        <w:ind w:firstLine="562"/>
        <w:textAlignment w:val="auto"/>
        <w:outlineLvl w:val="1"/>
        <w:rPr>
          <w:rFonts w:hint="default" w:ascii="Times New Roman" w:hAnsi="Times New Roman" w:eastAsia="仿宋_GB2312" w:cs="Times New Roman"/>
          <w:b w:val="0"/>
          <w:bCs w:val="0"/>
          <w:kern w:val="0"/>
          <w:sz w:val="32"/>
          <w:szCs w:val="32"/>
          <w:lang w:val="en-US" w:eastAsia="zh-CN" w:bidi="ar-SA"/>
        </w:rPr>
      </w:pPr>
      <w:bookmarkStart w:id="98" w:name="_Toc9725"/>
      <w:bookmarkStart w:id="99" w:name="_Toc22546"/>
      <w:bookmarkStart w:id="100" w:name="_Toc26641"/>
      <w:r>
        <w:rPr>
          <w:rFonts w:hint="default" w:ascii="Times New Roman" w:hAnsi="Times New Roman" w:eastAsia="仿宋_GB2312" w:cs="Times New Roman"/>
          <w:b w:val="0"/>
          <w:bCs w:val="0"/>
          <w:kern w:val="0"/>
          <w:sz w:val="32"/>
          <w:szCs w:val="32"/>
          <w:lang w:val="en-US" w:eastAsia="zh-CN" w:bidi="ar-SA"/>
        </w:rPr>
        <w:t>（3）历史标准。是指参照同类指标的历史数据制定的评价标准。</w:t>
      </w:r>
      <w:bookmarkEnd w:id="98"/>
      <w:bookmarkEnd w:id="99"/>
      <w:bookmarkEnd w:id="100"/>
    </w:p>
    <w:p>
      <w:pPr>
        <w:pStyle w:val="2"/>
        <w:pageBreakBefore w:val="0"/>
        <w:kinsoku/>
        <w:wordWrap/>
        <w:overflowPunct/>
        <w:topLinePunct w:val="0"/>
        <w:autoSpaceDE/>
        <w:autoSpaceDN/>
        <w:bidi w:val="0"/>
        <w:adjustRightInd/>
        <w:snapToGrid/>
        <w:spacing w:line="600" w:lineRule="exact"/>
        <w:ind w:firstLine="562"/>
        <w:textAlignment w:val="auto"/>
        <w:outlineLvl w:val="1"/>
        <w:rPr>
          <w:rFonts w:hint="default" w:ascii="Times New Roman" w:hAnsi="Times New Roman" w:eastAsia="仿宋_GB2312" w:cs="Times New Roman"/>
          <w:b w:val="0"/>
          <w:bCs w:val="0"/>
          <w:kern w:val="0"/>
          <w:sz w:val="32"/>
          <w:szCs w:val="32"/>
          <w:lang w:val="en-US" w:eastAsia="zh-CN" w:bidi="ar-SA"/>
        </w:rPr>
      </w:pPr>
      <w:bookmarkStart w:id="101" w:name="_Toc19242"/>
      <w:bookmarkStart w:id="102" w:name="_Toc6238"/>
      <w:bookmarkStart w:id="103" w:name="_Toc8830"/>
      <w:r>
        <w:rPr>
          <w:rFonts w:hint="default" w:ascii="Times New Roman" w:hAnsi="Times New Roman" w:eastAsia="仿宋_GB2312" w:cs="Times New Roman"/>
          <w:b w:val="0"/>
          <w:bCs w:val="0"/>
          <w:kern w:val="0"/>
          <w:sz w:val="32"/>
          <w:szCs w:val="32"/>
          <w:lang w:val="en-US" w:eastAsia="zh-CN" w:bidi="ar-SA"/>
        </w:rPr>
        <w:t>（4）其他标准。</w:t>
      </w:r>
      <w:bookmarkEnd w:id="101"/>
      <w:bookmarkEnd w:id="102"/>
      <w:bookmarkEnd w:id="103"/>
    </w:p>
    <w:p>
      <w:pPr>
        <w:pStyle w:val="6"/>
        <w:pageBreakBefore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2、评价方法</w:t>
      </w:r>
    </w:p>
    <w:p>
      <w:pPr>
        <w:pStyle w:val="2"/>
        <w:pageBreakBefore w:val="0"/>
        <w:kinsoku/>
        <w:wordWrap/>
        <w:overflowPunct/>
        <w:topLinePunct w:val="0"/>
        <w:autoSpaceDE/>
        <w:autoSpaceDN/>
        <w:bidi w:val="0"/>
        <w:adjustRightInd/>
        <w:snapToGrid/>
        <w:spacing w:line="600" w:lineRule="exact"/>
        <w:ind w:firstLine="562"/>
        <w:textAlignment w:val="auto"/>
        <w:outlineLvl w:val="1"/>
        <w:rPr>
          <w:rFonts w:hint="default" w:ascii="Times New Roman" w:hAnsi="Times New Roman" w:eastAsia="仿宋_GB2312" w:cs="Times New Roman"/>
          <w:b w:val="0"/>
          <w:bCs w:val="0"/>
          <w:kern w:val="0"/>
          <w:sz w:val="32"/>
          <w:szCs w:val="32"/>
          <w:lang w:val="en-US" w:eastAsia="zh-CN" w:bidi="ar-SA"/>
        </w:rPr>
      </w:pPr>
      <w:bookmarkStart w:id="104" w:name="_Toc26572"/>
      <w:bookmarkStart w:id="105" w:name="_Toc29220"/>
      <w:bookmarkStart w:id="106" w:name="_Toc7550"/>
      <w:r>
        <w:rPr>
          <w:rFonts w:hint="default" w:ascii="Times New Roman" w:hAnsi="Times New Roman" w:eastAsia="仿宋_GB2312" w:cs="Times New Roman"/>
          <w:b w:val="0"/>
          <w:bCs w:val="0"/>
          <w:kern w:val="0"/>
          <w:sz w:val="32"/>
          <w:szCs w:val="32"/>
          <w:lang w:val="en-US" w:eastAsia="zh-CN" w:bidi="ar-SA"/>
        </w:rPr>
        <w:t>绩效评价方法主要采用成本效益分析法、比较法、因素分析法、最低成本法、公众评判法等。</w:t>
      </w:r>
      <w:bookmarkEnd w:id="104"/>
      <w:bookmarkEnd w:id="105"/>
      <w:bookmarkEnd w:id="106"/>
    </w:p>
    <w:p>
      <w:pPr>
        <w:pStyle w:val="2"/>
        <w:pageBreakBefore w:val="0"/>
        <w:kinsoku/>
        <w:wordWrap/>
        <w:overflowPunct/>
        <w:topLinePunct w:val="0"/>
        <w:autoSpaceDE/>
        <w:autoSpaceDN/>
        <w:bidi w:val="0"/>
        <w:adjustRightInd/>
        <w:snapToGrid/>
        <w:spacing w:line="600" w:lineRule="exact"/>
        <w:ind w:firstLine="562"/>
        <w:textAlignment w:val="auto"/>
        <w:outlineLvl w:val="1"/>
        <w:rPr>
          <w:rFonts w:hint="default" w:ascii="Times New Roman" w:hAnsi="Times New Roman" w:eastAsia="仿宋_GB2312" w:cs="Times New Roman"/>
          <w:b w:val="0"/>
          <w:bCs w:val="0"/>
          <w:kern w:val="0"/>
          <w:sz w:val="32"/>
          <w:szCs w:val="32"/>
          <w:lang w:val="en-US" w:eastAsia="zh-CN" w:bidi="ar-SA"/>
        </w:rPr>
      </w:pPr>
      <w:bookmarkStart w:id="107" w:name="_Toc30695"/>
      <w:bookmarkStart w:id="108" w:name="_Toc29807"/>
      <w:bookmarkStart w:id="109" w:name="_Toc11169"/>
      <w:r>
        <w:rPr>
          <w:rFonts w:hint="default" w:ascii="Times New Roman" w:hAnsi="Times New Roman" w:eastAsia="仿宋_GB2312" w:cs="Times New Roman"/>
          <w:b w:val="0"/>
          <w:bCs w:val="0"/>
          <w:kern w:val="0"/>
          <w:sz w:val="32"/>
          <w:szCs w:val="32"/>
          <w:lang w:val="en-US" w:eastAsia="zh-CN" w:bidi="ar-SA"/>
        </w:rPr>
        <w:t>（1）成本效益分析法。是指将一定时期内的支出与效益进行对比分析以评价绩效目标实现程度。适用于成本、效益都能准确计量的项目绩效评价。</w:t>
      </w:r>
      <w:bookmarkEnd w:id="107"/>
      <w:bookmarkEnd w:id="108"/>
      <w:bookmarkEnd w:id="109"/>
    </w:p>
    <w:p>
      <w:pPr>
        <w:pStyle w:val="2"/>
        <w:pageBreakBefore w:val="0"/>
        <w:kinsoku/>
        <w:wordWrap/>
        <w:overflowPunct/>
        <w:topLinePunct w:val="0"/>
        <w:autoSpaceDE/>
        <w:autoSpaceDN/>
        <w:bidi w:val="0"/>
        <w:adjustRightInd/>
        <w:snapToGrid/>
        <w:spacing w:line="600" w:lineRule="exact"/>
        <w:ind w:firstLine="562"/>
        <w:textAlignment w:val="auto"/>
        <w:outlineLvl w:val="1"/>
        <w:rPr>
          <w:rFonts w:hint="default" w:ascii="Times New Roman" w:hAnsi="Times New Roman" w:eastAsia="仿宋_GB2312" w:cs="Times New Roman"/>
          <w:b w:val="0"/>
          <w:bCs w:val="0"/>
          <w:kern w:val="0"/>
          <w:sz w:val="32"/>
          <w:szCs w:val="32"/>
          <w:lang w:val="en-US" w:eastAsia="zh-CN" w:bidi="ar-SA"/>
        </w:rPr>
      </w:pPr>
      <w:bookmarkStart w:id="110" w:name="_Toc9819"/>
      <w:bookmarkStart w:id="111" w:name="_Toc28578"/>
      <w:bookmarkStart w:id="112" w:name="_Toc18928"/>
      <w:r>
        <w:rPr>
          <w:rFonts w:hint="default" w:ascii="Times New Roman" w:hAnsi="Times New Roman" w:eastAsia="仿宋_GB2312" w:cs="Times New Roman"/>
          <w:b w:val="0"/>
          <w:bCs w:val="0"/>
          <w:kern w:val="0"/>
          <w:sz w:val="32"/>
          <w:szCs w:val="32"/>
          <w:lang w:val="en-US" w:eastAsia="zh-CN" w:bidi="ar-SA"/>
        </w:rPr>
        <w:t>（2）比较法。是指通过对绩效目标与实施效果、历史与当期情况、不同部门和地区同类支出的比较，综合分析绩效目标实现程度。</w:t>
      </w:r>
      <w:bookmarkEnd w:id="110"/>
      <w:bookmarkEnd w:id="111"/>
      <w:bookmarkEnd w:id="112"/>
    </w:p>
    <w:p>
      <w:pPr>
        <w:pStyle w:val="2"/>
        <w:pageBreakBefore w:val="0"/>
        <w:kinsoku/>
        <w:wordWrap/>
        <w:overflowPunct/>
        <w:topLinePunct w:val="0"/>
        <w:autoSpaceDE/>
        <w:autoSpaceDN/>
        <w:bidi w:val="0"/>
        <w:adjustRightInd/>
        <w:snapToGrid/>
        <w:spacing w:line="600" w:lineRule="exact"/>
        <w:ind w:firstLine="562"/>
        <w:textAlignment w:val="auto"/>
        <w:outlineLvl w:val="1"/>
        <w:rPr>
          <w:rFonts w:hint="default" w:ascii="Times New Roman" w:hAnsi="Times New Roman" w:eastAsia="仿宋_GB2312" w:cs="Times New Roman"/>
          <w:b w:val="0"/>
          <w:bCs w:val="0"/>
          <w:kern w:val="0"/>
          <w:sz w:val="32"/>
          <w:szCs w:val="32"/>
          <w:lang w:val="en-US" w:eastAsia="zh-CN" w:bidi="ar-SA"/>
        </w:rPr>
      </w:pPr>
      <w:bookmarkStart w:id="113" w:name="_Toc30718"/>
      <w:bookmarkStart w:id="114" w:name="_Toc26950"/>
      <w:bookmarkStart w:id="115" w:name="_Toc21155"/>
      <w:r>
        <w:rPr>
          <w:rFonts w:hint="default" w:ascii="Times New Roman" w:hAnsi="Times New Roman" w:eastAsia="仿宋_GB2312" w:cs="Times New Roman"/>
          <w:b w:val="0"/>
          <w:bCs w:val="0"/>
          <w:kern w:val="0"/>
          <w:sz w:val="32"/>
          <w:szCs w:val="32"/>
          <w:lang w:val="en-US" w:eastAsia="zh-CN" w:bidi="ar-SA"/>
        </w:rPr>
        <w:t>（3）因素分析法。是指通过综合分析影响绩效目标实现、实施效果的内外因素，评价绩效目标实现程度。</w:t>
      </w:r>
      <w:bookmarkEnd w:id="113"/>
      <w:bookmarkEnd w:id="114"/>
      <w:bookmarkEnd w:id="115"/>
    </w:p>
    <w:p>
      <w:pPr>
        <w:pStyle w:val="2"/>
        <w:pageBreakBefore w:val="0"/>
        <w:kinsoku/>
        <w:wordWrap/>
        <w:overflowPunct/>
        <w:topLinePunct w:val="0"/>
        <w:autoSpaceDE/>
        <w:autoSpaceDN/>
        <w:bidi w:val="0"/>
        <w:adjustRightInd/>
        <w:snapToGrid/>
        <w:spacing w:line="600" w:lineRule="exact"/>
        <w:ind w:firstLine="562"/>
        <w:textAlignment w:val="auto"/>
        <w:outlineLvl w:val="1"/>
        <w:rPr>
          <w:rFonts w:hint="default" w:ascii="Times New Roman" w:hAnsi="Times New Roman" w:eastAsia="仿宋_GB2312" w:cs="Times New Roman"/>
          <w:b w:val="0"/>
          <w:bCs w:val="0"/>
          <w:kern w:val="0"/>
          <w:sz w:val="32"/>
          <w:szCs w:val="32"/>
          <w:lang w:val="en-US" w:eastAsia="zh-CN" w:bidi="ar-SA"/>
        </w:rPr>
      </w:pPr>
      <w:bookmarkStart w:id="116" w:name="_Toc19756"/>
      <w:bookmarkStart w:id="117" w:name="_Toc27284"/>
      <w:bookmarkStart w:id="118" w:name="_Toc17138"/>
      <w:r>
        <w:rPr>
          <w:rFonts w:hint="default" w:ascii="Times New Roman" w:hAnsi="Times New Roman" w:eastAsia="仿宋_GB2312" w:cs="Times New Roman"/>
          <w:b w:val="0"/>
          <w:bCs w:val="0"/>
          <w:kern w:val="0"/>
          <w:sz w:val="32"/>
          <w:szCs w:val="32"/>
          <w:lang w:val="en-US" w:eastAsia="zh-CN" w:bidi="ar-SA"/>
        </w:rPr>
        <w:t>（4）最低成本法。是指对效益确定却不易计量的多个同类对象的实施成本进行比较，评价绩效目标实现程度。适用于公共管理与服务、社会保障、文化、教育等领域支出的绩效评价。</w:t>
      </w:r>
      <w:bookmarkEnd w:id="116"/>
      <w:bookmarkEnd w:id="117"/>
      <w:bookmarkEnd w:id="118"/>
    </w:p>
    <w:p>
      <w:pPr>
        <w:pStyle w:val="2"/>
        <w:pageBreakBefore w:val="0"/>
        <w:kinsoku/>
        <w:wordWrap/>
        <w:overflowPunct/>
        <w:topLinePunct w:val="0"/>
        <w:autoSpaceDE/>
        <w:autoSpaceDN/>
        <w:bidi w:val="0"/>
        <w:adjustRightInd/>
        <w:snapToGrid/>
        <w:spacing w:line="600" w:lineRule="exact"/>
        <w:ind w:firstLine="562"/>
        <w:textAlignment w:val="auto"/>
        <w:outlineLvl w:val="1"/>
        <w:rPr>
          <w:rFonts w:hint="default" w:ascii="Times New Roman" w:hAnsi="Times New Roman" w:eastAsia="仿宋_GB2312" w:cs="Times New Roman"/>
          <w:b w:val="0"/>
          <w:bCs w:val="0"/>
          <w:kern w:val="0"/>
          <w:sz w:val="32"/>
          <w:szCs w:val="32"/>
          <w:lang w:val="en-US" w:eastAsia="zh-CN" w:bidi="ar-SA"/>
        </w:rPr>
      </w:pPr>
      <w:bookmarkStart w:id="119" w:name="_Toc2488"/>
      <w:bookmarkStart w:id="120" w:name="_Toc24044"/>
      <w:bookmarkStart w:id="121" w:name="_Toc25493"/>
      <w:r>
        <w:rPr>
          <w:rFonts w:hint="default" w:ascii="Times New Roman" w:hAnsi="Times New Roman" w:eastAsia="仿宋_GB2312" w:cs="Times New Roman"/>
          <w:b w:val="0"/>
          <w:bCs w:val="0"/>
          <w:kern w:val="0"/>
          <w:sz w:val="32"/>
          <w:szCs w:val="32"/>
          <w:lang w:val="en-US" w:eastAsia="zh-CN" w:bidi="ar-SA"/>
        </w:rPr>
        <w:t>（5）公众评判法。是指通过专家评估、公众问卷及抽样调查等对财政支出效果进行评判，评价绩效目标实现程度。</w:t>
      </w:r>
      <w:bookmarkEnd w:id="119"/>
      <w:bookmarkEnd w:id="120"/>
      <w:bookmarkEnd w:id="121"/>
    </w:p>
    <w:p>
      <w:pPr>
        <w:pStyle w:val="2"/>
        <w:pageBreakBefore w:val="0"/>
        <w:kinsoku/>
        <w:wordWrap/>
        <w:overflowPunct/>
        <w:topLinePunct w:val="0"/>
        <w:autoSpaceDE/>
        <w:autoSpaceDN/>
        <w:bidi w:val="0"/>
        <w:adjustRightInd/>
        <w:snapToGrid/>
        <w:spacing w:line="600" w:lineRule="exact"/>
        <w:ind w:firstLine="562"/>
        <w:textAlignment w:val="auto"/>
        <w:outlineLvl w:val="1"/>
        <w:rPr>
          <w:rFonts w:hint="default" w:ascii="Times New Roman" w:hAnsi="Times New Roman" w:eastAsia="楷体" w:cs="Times New Roman"/>
          <w:b w:val="0"/>
          <w:bCs w:val="0"/>
          <w:kern w:val="0"/>
          <w:sz w:val="32"/>
          <w:szCs w:val="32"/>
          <w:lang w:val="en-US" w:eastAsia="zh-CN" w:bidi="ar-SA"/>
        </w:rPr>
      </w:pPr>
      <w:bookmarkStart w:id="122" w:name="_Toc28994"/>
      <w:bookmarkStart w:id="123" w:name="_Toc25009"/>
      <w:bookmarkStart w:id="124" w:name="_Toc4298"/>
      <w:r>
        <w:rPr>
          <w:rFonts w:hint="default" w:ascii="Times New Roman" w:hAnsi="Times New Roman" w:eastAsia="仿宋_GB2312" w:cs="Times New Roman"/>
          <w:b w:val="0"/>
          <w:bCs w:val="0"/>
          <w:kern w:val="0"/>
          <w:sz w:val="32"/>
          <w:szCs w:val="32"/>
          <w:lang w:val="en-US" w:eastAsia="zh-CN" w:bidi="ar-SA"/>
        </w:rPr>
        <w:t>（6）其他评价方法。</w:t>
      </w:r>
      <w:bookmarkEnd w:id="122"/>
      <w:bookmarkEnd w:id="123"/>
      <w:bookmarkEnd w:id="124"/>
    </w:p>
    <w:p>
      <w:pPr>
        <w:pStyle w:val="5"/>
        <w:pageBreakBefore w:val="0"/>
        <w:kinsoku/>
        <w:wordWrap/>
        <w:overflowPunct/>
        <w:topLinePunct w:val="0"/>
        <w:autoSpaceDE/>
        <w:autoSpaceDN/>
        <w:bidi w:val="0"/>
        <w:adjustRightInd/>
        <w:snapToGrid/>
        <w:spacing w:line="600" w:lineRule="exact"/>
        <w:textAlignment w:val="auto"/>
        <w:rPr>
          <w:rFonts w:hint="default" w:ascii="Times New Roman" w:hAnsi="Times New Roman" w:cs="Times New Roman"/>
          <w:b w:val="0"/>
          <w:bCs w:val="0"/>
          <w:lang w:val="en-US" w:eastAsia="zh-CN"/>
        </w:rPr>
      </w:pPr>
      <w:bookmarkStart w:id="125" w:name="_Toc16312"/>
      <w:r>
        <w:rPr>
          <w:rFonts w:hint="default" w:ascii="Times New Roman" w:hAnsi="Times New Roman" w:cs="Times New Roman"/>
          <w:b w:val="0"/>
          <w:bCs w:val="0"/>
          <w:lang w:val="en-US" w:eastAsia="zh-CN"/>
        </w:rPr>
        <w:t>（五）绩效评价指标体系</w:t>
      </w:r>
      <w:bookmarkEnd w:id="78"/>
      <w:bookmarkEnd w:id="79"/>
      <w:bookmarkEnd w:id="80"/>
      <w:bookmarkEnd w:id="81"/>
      <w:bookmarkEnd w:id="125"/>
    </w:p>
    <w:p>
      <w:pPr>
        <w:pStyle w:val="6"/>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仿宋_GB2312" w:cs="Times New Roman"/>
          <w:b w:val="0"/>
          <w:bCs w:val="0"/>
          <w:kern w:val="0"/>
          <w:sz w:val="32"/>
          <w:szCs w:val="32"/>
          <w:lang w:val="en-US" w:eastAsia="zh-CN" w:bidi="ar-SA"/>
        </w:rPr>
      </w:pPr>
      <w:bookmarkStart w:id="126" w:name="_Toc25650501"/>
      <w:bookmarkStart w:id="127" w:name="_Toc28180160"/>
      <w:bookmarkStart w:id="128" w:name="_Toc28005408"/>
      <w:bookmarkStart w:id="129" w:name="_Toc11694_WPSOffice_Level3"/>
      <w:bookmarkStart w:id="130" w:name="_Toc21979"/>
      <w:bookmarkStart w:id="131" w:name="_Toc27571595"/>
      <w:bookmarkStart w:id="132" w:name="_Toc28279525"/>
      <w:r>
        <w:rPr>
          <w:rFonts w:hint="default" w:ascii="Times New Roman" w:hAnsi="Times New Roman" w:eastAsia="仿宋_GB2312" w:cs="Times New Roman"/>
          <w:b w:val="0"/>
          <w:bCs w:val="0"/>
          <w:kern w:val="0"/>
          <w:sz w:val="32"/>
          <w:szCs w:val="32"/>
          <w:lang w:val="en-US" w:eastAsia="zh-CN" w:bidi="ar-SA"/>
        </w:rPr>
        <w:t>1.指标设计总体思路</w:t>
      </w:r>
      <w:bookmarkEnd w:id="126"/>
      <w:bookmarkEnd w:id="127"/>
      <w:bookmarkEnd w:id="128"/>
      <w:bookmarkEnd w:id="129"/>
      <w:bookmarkEnd w:id="130"/>
      <w:bookmarkEnd w:id="131"/>
      <w:bookmarkEnd w:id="132"/>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sz w:val="32"/>
          <w:szCs w:val="32"/>
        </w:rPr>
      </w:pPr>
      <w:r>
        <w:rPr>
          <w:rFonts w:hint="default" w:ascii="Times New Roman" w:hAnsi="Times New Roman" w:eastAsia="仿宋_GB2312" w:cs="Times New Roman"/>
          <w:b w:val="0"/>
          <w:bCs w:val="0"/>
          <w:kern w:val="0"/>
          <w:sz w:val="32"/>
          <w:szCs w:val="32"/>
          <w:lang w:val="en-US" w:eastAsia="zh-CN" w:bidi="ar-SA"/>
        </w:rPr>
        <w:t>根据本次评价项目属性和特点等项目的实际情况，结合《关于印发&lt;预算绩效评价共性指标体系框架&gt;的通知》（财预〔2013〕53号）和《财政部关于印发&lt;财政支出绩效评价管理暂行办法&gt;的通知》（财预〔2011〕285号）等文件，参照省财政厅预算绩效管理处印发的《财政重点项目第三方绩效评价组织实施工作流程》等文件政策的要求，结合项目的具体情况，形成兖州区2021年机关事业单位基本养老保险基金支出项目绩效评价指标体系。</w:t>
      </w:r>
    </w:p>
    <w:p>
      <w:pPr>
        <w:pStyle w:val="6"/>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仿宋_GB2312" w:cs="Times New Roman"/>
          <w:b w:val="0"/>
          <w:bCs w:val="0"/>
          <w:kern w:val="0"/>
          <w:sz w:val="32"/>
          <w:szCs w:val="32"/>
          <w:lang w:val="en-US" w:eastAsia="zh-CN" w:bidi="ar-SA"/>
        </w:rPr>
      </w:pPr>
      <w:bookmarkStart w:id="133" w:name="_Toc25650503"/>
      <w:bookmarkStart w:id="134" w:name="_Toc32462_WPSOffice_Level3"/>
      <w:bookmarkStart w:id="135" w:name="_Toc28279527"/>
      <w:bookmarkStart w:id="136" w:name="_Toc15188"/>
      <w:bookmarkStart w:id="137" w:name="_Toc28005410"/>
      <w:bookmarkStart w:id="138" w:name="_Toc28180162"/>
      <w:bookmarkStart w:id="139" w:name="_Toc27571597"/>
      <w:r>
        <w:rPr>
          <w:rFonts w:hint="default" w:ascii="Times New Roman" w:hAnsi="Times New Roman" w:eastAsia="仿宋_GB2312" w:cs="Times New Roman"/>
          <w:b w:val="0"/>
          <w:bCs w:val="0"/>
          <w:kern w:val="0"/>
          <w:sz w:val="32"/>
          <w:szCs w:val="32"/>
          <w:lang w:val="en-US" w:eastAsia="zh-CN" w:bidi="ar-SA"/>
        </w:rPr>
        <w:t>2.</w:t>
      </w:r>
      <w:bookmarkEnd w:id="133"/>
      <w:bookmarkEnd w:id="134"/>
      <w:r>
        <w:rPr>
          <w:rFonts w:hint="default" w:ascii="Times New Roman" w:hAnsi="Times New Roman" w:eastAsia="仿宋_GB2312" w:cs="Times New Roman"/>
          <w:b w:val="0"/>
          <w:bCs w:val="0"/>
          <w:kern w:val="0"/>
          <w:sz w:val="32"/>
          <w:szCs w:val="32"/>
          <w:lang w:val="en-US" w:eastAsia="zh-CN" w:bidi="ar-SA"/>
        </w:rPr>
        <w:t>指标说明</w:t>
      </w:r>
      <w:bookmarkEnd w:id="135"/>
      <w:bookmarkEnd w:id="136"/>
      <w:bookmarkEnd w:id="137"/>
      <w:bookmarkEnd w:id="138"/>
      <w:bookmarkEnd w:id="139"/>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本次绩效评价指标总标准分值为100分，根据项目特点，绩效评价指标体系共设立了三级指标。根据分值与指标的重要性要密切相关的原则，先分别对决策、过程、产出、效果设定分值，再在决策、过程、产出、效果设定分值内根据重要程度对二级、三级指标确定分值。前述评价指标体系包括：指标内容、指标解释、指标说明及评价要点。</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eastAsiaTheme="minorEastAsia"/>
          <w:b w:val="0"/>
          <w:bCs w:val="0"/>
          <w:kern w:val="0"/>
          <w:sz w:val="32"/>
          <w:szCs w:val="32"/>
        </w:rPr>
      </w:pPr>
      <w:r>
        <w:rPr>
          <w:rFonts w:hint="default" w:ascii="Times New Roman" w:hAnsi="Times New Roman" w:eastAsia="仿宋_GB2312" w:cs="Times New Roman"/>
          <w:b w:val="0"/>
          <w:bCs w:val="0"/>
          <w:kern w:val="0"/>
          <w:sz w:val="32"/>
          <w:szCs w:val="32"/>
          <w:lang w:val="en-US" w:eastAsia="zh-CN" w:bidi="ar-SA"/>
        </w:rPr>
        <w:t>详见本报告附录1：《兖州区2021年机关事业单位基本养老保险基金支出项目绩效评价指标体系》。</w:t>
      </w:r>
    </w:p>
    <w:p>
      <w:pPr>
        <w:pStyle w:val="6"/>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仿宋_GB2312" w:cs="Times New Roman"/>
          <w:b w:val="0"/>
          <w:bCs w:val="0"/>
          <w:kern w:val="0"/>
          <w:sz w:val="32"/>
          <w:szCs w:val="32"/>
          <w:lang w:val="en-US" w:eastAsia="zh-CN" w:bidi="ar-SA"/>
        </w:rPr>
      </w:pPr>
      <w:bookmarkStart w:id="140" w:name="_Toc28279528"/>
      <w:bookmarkStart w:id="141" w:name="_Toc2152_WPSOffice_Level3"/>
      <w:bookmarkStart w:id="142" w:name="_Toc24733"/>
      <w:bookmarkStart w:id="143" w:name="_Toc28005411"/>
      <w:bookmarkStart w:id="144" w:name="_Toc25650504"/>
      <w:bookmarkStart w:id="145" w:name="_Toc27571598"/>
      <w:bookmarkStart w:id="146" w:name="_Toc28180163"/>
      <w:r>
        <w:rPr>
          <w:rFonts w:hint="default" w:ascii="Times New Roman" w:hAnsi="Times New Roman" w:eastAsia="仿宋_GB2312" w:cs="Times New Roman"/>
          <w:b w:val="0"/>
          <w:bCs w:val="0"/>
          <w:kern w:val="0"/>
          <w:sz w:val="32"/>
          <w:szCs w:val="32"/>
          <w:lang w:val="en-US" w:eastAsia="zh-CN" w:bidi="ar-SA"/>
        </w:rPr>
        <w:t>3.评价结果的评级分类</w:t>
      </w:r>
      <w:bookmarkEnd w:id="140"/>
      <w:bookmarkEnd w:id="141"/>
      <w:bookmarkEnd w:id="142"/>
      <w:bookmarkEnd w:id="143"/>
      <w:bookmarkEnd w:id="144"/>
      <w:bookmarkEnd w:id="145"/>
      <w:bookmarkEnd w:id="146"/>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本次绩效评价综合绩效级别根据山东省财政厅印发的《山东省省级预算支出项目第三方绩效评价工作规程（试行）》相关规定确定，综合绩效级别分为4个等级：</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（1）综合得分90-100分（含90分）为优；</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（2）综合得分80—89分（含80分）为良；</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（3）综合得分60-79分（含60分）为中；</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sz w:val="32"/>
          <w:szCs w:val="32"/>
        </w:rPr>
      </w:pPr>
      <w:r>
        <w:rPr>
          <w:rFonts w:hint="default" w:ascii="Times New Roman" w:hAnsi="Times New Roman" w:eastAsia="仿宋_GB2312" w:cs="Times New Roman"/>
          <w:b w:val="0"/>
          <w:bCs w:val="0"/>
          <w:kern w:val="0"/>
          <w:sz w:val="32"/>
          <w:szCs w:val="32"/>
          <w:lang w:val="en-US" w:eastAsia="zh-CN" w:bidi="ar-SA"/>
        </w:rPr>
        <w:t>（4）综合得分60分以下为差。</w:t>
      </w:r>
    </w:p>
    <w:p>
      <w:pPr>
        <w:pStyle w:val="5"/>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楷体" w:cs="Times New Roman"/>
          <w:b w:val="0"/>
          <w:bCs w:val="0"/>
          <w:kern w:val="0"/>
          <w:sz w:val="32"/>
          <w:szCs w:val="32"/>
        </w:rPr>
      </w:pPr>
      <w:bookmarkStart w:id="147" w:name="_Toc13428"/>
      <w:bookmarkStart w:id="148" w:name="_Toc2971"/>
      <w:bookmarkStart w:id="149" w:name="_Toc24279744"/>
      <w:bookmarkStart w:id="150" w:name="_Toc5647"/>
      <w:bookmarkStart w:id="151" w:name="_Toc4616"/>
      <w:bookmarkStart w:id="152" w:name="_Toc11183"/>
      <w:bookmarkStart w:id="153" w:name="_Toc29519"/>
      <w:bookmarkStart w:id="154" w:name="_Toc31117"/>
      <w:bookmarkStart w:id="155" w:name="_Toc27018"/>
      <w:r>
        <w:rPr>
          <w:rFonts w:hint="default" w:ascii="Times New Roman" w:hAnsi="Times New Roman" w:eastAsia="楷体" w:cs="Times New Roman"/>
          <w:b w:val="0"/>
          <w:bCs w:val="0"/>
          <w:kern w:val="0"/>
          <w:sz w:val="32"/>
          <w:szCs w:val="32"/>
        </w:rPr>
        <w:t>（</w:t>
      </w:r>
      <w:r>
        <w:rPr>
          <w:rFonts w:hint="default" w:ascii="Times New Roman" w:hAnsi="Times New Roman" w:eastAsia="楷体" w:cs="Times New Roman"/>
          <w:b w:val="0"/>
          <w:bCs w:val="0"/>
          <w:kern w:val="0"/>
          <w:sz w:val="32"/>
          <w:szCs w:val="32"/>
          <w:lang w:val="en-US" w:eastAsia="zh-CN"/>
        </w:rPr>
        <w:t>六</w:t>
      </w:r>
      <w:r>
        <w:rPr>
          <w:rFonts w:hint="default" w:ascii="Times New Roman" w:hAnsi="Times New Roman" w:eastAsia="楷体" w:cs="Times New Roman"/>
          <w:b w:val="0"/>
          <w:bCs w:val="0"/>
          <w:kern w:val="0"/>
          <w:sz w:val="32"/>
          <w:szCs w:val="32"/>
        </w:rPr>
        <w:t>）评价人员组成</w:t>
      </w:r>
      <w:bookmarkEnd w:id="147"/>
      <w:bookmarkEnd w:id="148"/>
      <w:bookmarkEnd w:id="149"/>
      <w:bookmarkEnd w:id="150"/>
      <w:bookmarkEnd w:id="151"/>
      <w:bookmarkEnd w:id="152"/>
      <w:bookmarkEnd w:id="153"/>
      <w:bookmarkEnd w:id="154"/>
      <w:bookmarkEnd w:id="155"/>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受济宁市兖州区财政局委托，山东德睿融投资咨询有限公司对2021年度济宁市兖州区环卫服务费项目进行绩效评价。评价相关方涉及委托方、主管部门和评价机构三方的相关人员，评价机构人员构成及职责见下表。</w:t>
      </w:r>
    </w:p>
    <w:p>
      <w:pPr>
        <w:pStyle w:val="2"/>
        <w:rPr>
          <w:rFonts w:hint="default" w:ascii="Times New Roman" w:hAnsi="Times New Roman" w:eastAsia="仿宋_GB2312" w:cs="Times New Roman"/>
          <w:b w:val="0"/>
          <w:bCs w:val="0"/>
          <w:kern w:val="0"/>
          <w:sz w:val="32"/>
          <w:szCs w:val="32"/>
          <w:lang w:val="en-US" w:eastAsia="zh-CN" w:bidi="ar-SA"/>
        </w:rPr>
      </w:pPr>
    </w:p>
    <w:p>
      <w:pPr>
        <w:rPr>
          <w:rFonts w:hint="default" w:ascii="Times New Roman" w:hAnsi="Times New Roman" w:eastAsia="仿宋_GB2312" w:cs="Times New Roman"/>
          <w:b w:val="0"/>
          <w:bCs w:val="0"/>
          <w:kern w:val="0"/>
          <w:sz w:val="32"/>
          <w:szCs w:val="32"/>
          <w:lang w:val="en-US" w:eastAsia="zh-CN" w:bidi="ar-SA"/>
        </w:rPr>
      </w:pPr>
    </w:p>
    <w:p>
      <w:pPr>
        <w:pStyle w:val="2"/>
        <w:rPr>
          <w:rFonts w:hint="default" w:ascii="Times New Roman" w:hAnsi="Times New Roman" w:eastAsia="仿宋_GB2312" w:cs="Times New Roman"/>
          <w:b w:val="0"/>
          <w:bCs w:val="0"/>
          <w:kern w:val="0"/>
          <w:sz w:val="32"/>
          <w:szCs w:val="32"/>
          <w:lang w:val="en-US" w:eastAsia="zh-CN" w:bidi="ar-SA"/>
        </w:rPr>
      </w:pPr>
    </w:p>
    <w:p>
      <w:pPr>
        <w:rPr>
          <w:rFonts w:hint="default" w:ascii="Times New Roman" w:hAnsi="Times New Roman" w:eastAsia="仿宋_GB2312" w:cs="Times New Roman"/>
          <w:b w:val="0"/>
          <w:bCs w:val="0"/>
          <w:kern w:val="0"/>
          <w:sz w:val="32"/>
          <w:szCs w:val="32"/>
          <w:lang w:val="en-US" w:eastAsia="zh-CN" w:bidi="ar-SA"/>
        </w:rPr>
      </w:pPr>
    </w:p>
    <w:p>
      <w:pPr>
        <w:pStyle w:val="2"/>
        <w:rPr>
          <w:rFonts w:hint="default" w:ascii="Times New Roman" w:hAnsi="Times New Roman" w:eastAsia="仿宋_GB2312" w:cs="Times New Roman"/>
          <w:b w:val="0"/>
          <w:bCs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before="157" w:beforeLines="50" w:after="157" w:afterLines="50"/>
        <w:ind w:left="0" w:leftChars="0" w:firstLine="0" w:firstLineChars="0"/>
        <w:jc w:val="center"/>
        <w:textAlignment w:val="auto"/>
        <w:rPr>
          <w:rFonts w:hint="default" w:ascii="Times New Roman" w:hAnsi="Times New Roman" w:eastAsia="方正小标宋_GBK" w:cs="Times New Roman"/>
          <w:b w:val="0"/>
          <w:bCs w:val="0"/>
          <w:color w:val="000000"/>
          <w:sz w:val="32"/>
          <w:szCs w:val="32"/>
        </w:rPr>
      </w:pPr>
      <w:r>
        <w:rPr>
          <w:rFonts w:hint="default" w:ascii="Times New Roman" w:hAnsi="Times New Roman" w:eastAsia="方正小标宋_GBK" w:cs="Times New Roman"/>
          <w:b w:val="0"/>
          <w:bCs w:val="0"/>
          <w:color w:val="000000"/>
          <w:sz w:val="32"/>
          <w:szCs w:val="32"/>
        </w:rPr>
        <w:t>表2</w:t>
      </w:r>
      <w:r>
        <w:rPr>
          <w:rFonts w:hint="default" w:ascii="Times New Roman" w:hAnsi="Times New Roman" w:eastAsia="方正小标宋_GBK" w:cs="Times New Roman"/>
          <w:b w:val="0"/>
          <w:bCs w:val="0"/>
          <w:color w:val="000000"/>
          <w:sz w:val="32"/>
          <w:szCs w:val="32"/>
          <w:lang w:val="en-US" w:eastAsia="zh-CN"/>
        </w:rPr>
        <w:t>.</w:t>
      </w:r>
      <w:r>
        <w:rPr>
          <w:rFonts w:hint="default" w:ascii="Times New Roman" w:hAnsi="Times New Roman" w:eastAsia="方正小标宋_GBK" w:cs="Times New Roman"/>
          <w:b w:val="0"/>
          <w:bCs w:val="0"/>
          <w:color w:val="000000"/>
          <w:sz w:val="32"/>
          <w:szCs w:val="32"/>
        </w:rPr>
        <w:t>评价小组成员构成与职责表</w:t>
      </w:r>
    </w:p>
    <w:tbl>
      <w:tblPr>
        <w:tblStyle w:val="22"/>
        <w:tblW w:w="9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2"/>
        <w:gridCol w:w="1059"/>
        <w:gridCol w:w="6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2" w:type="dxa"/>
            <w:vAlign w:val="center"/>
          </w:tcPr>
          <w:p>
            <w:pPr>
              <w:ind w:firstLine="0" w:firstLineChars="0"/>
              <w:jc w:val="center"/>
              <w:rPr>
                <w:rFonts w:hint="default" w:ascii="Times New Roman" w:hAnsi="Times New Roman" w:eastAsia="黑体" w:cs="Times New Roman"/>
                <w:b w:val="0"/>
                <w:bCs w:val="0"/>
                <w:kern w:val="0"/>
                <w:sz w:val="21"/>
                <w:szCs w:val="21"/>
                <w:lang w:val="en-US" w:eastAsia="zh-CN" w:bidi="ar-SA"/>
              </w:rPr>
            </w:pPr>
            <w:r>
              <w:rPr>
                <w:rFonts w:hint="default" w:ascii="Times New Roman" w:hAnsi="Times New Roman" w:eastAsia="黑体" w:cs="Times New Roman"/>
                <w:b w:val="0"/>
                <w:bCs w:val="0"/>
                <w:kern w:val="0"/>
                <w:sz w:val="21"/>
                <w:szCs w:val="21"/>
                <w:lang w:val="en-US" w:eastAsia="zh-CN" w:bidi="ar-SA"/>
              </w:rPr>
              <w:t>组内职务</w:t>
            </w:r>
          </w:p>
        </w:tc>
        <w:tc>
          <w:tcPr>
            <w:tcW w:w="1059" w:type="dxa"/>
            <w:vAlign w:val="center"/>
          </w:tcPr>
          <w:p>
            <w:pPr>
              <w:ind w:firstLine="0" w:firstLineChars="0"/>
              <w:jc w:val="center"/>
              <w:rPr>
                <w:rFonts w:hint="default" w:ascii="Times New Roman" w:hAnsi="Times New Roman" w:eastAsia="黑体" w:cs="Times New Roman"/>
                <w:b w:val="0"/>
                <w:bCs w:val="0"/>
                <w:kern w:val="0"/>
                <w:sz w:val="21"/>
                <w:szCs w:val="21"/>
                <w:lang w:val="en-US" w:eastAsia="zh-CN" w:bidi="ar-SA"/>
              </w:rPr>
            </w:pPr>
            <w:r>
              <w:rPr>
                <w:rFonts w:hint="default" w:ascii="Times New Roman" w:hAnsi="Times New Roman" w:eastAsia="黑体" w:cs="Times New Roman"/>
                <w:b w:val="0"/>
                <w:bCs w:val="0"/>
                <w:kern w:val="0"/>
                <w:sz w:val="21"/>
                <w:szCs w:val="21"/>
                <w:lang w:val="en-US" w:eastAsia="zh-CN" w:bidi="ar-SA"/>
              </w:rPr>
              <w:t>人员</w:t>
            </w:r>
          </w:p>
        </w:tc>
        <w:tc>
          <w:tcPr>
            <w:tcW w:w="6916" w:type="dxa"/>
            <w:vAlign w:val="center"/>
          </w:tcPr>
          <w:p>
            <w:pPr>
              <w:ind w:firstLine="0" w:firstLineChars="0"/>
              <w:jc w:val="center"/>
              <w:rPr>
                <w:rFonts w:hint="default" w:ascii="Times New Roman" w:hAnsi="Times New Roman" w:eastAsia="黑体" w:cs="Times New Roman"/>
                <w:b w:val="0"/>
                <w:bCs w:val="0"/>
                <w:kern w:val="0"/>
                <w:sz w:val="21"/>
                <w:szCs w:val="21"/>
                <w:lang w:val="en-US" w:eastAsia="zh-CN" w:bidi="ar-SA"/>
              </w:rPr>
            </w:pPr>
            <w:r>
              <w:rPr>
                <w:rFonts w:hint="default" w:ascii="Times New Roman" w:hAnsi="Times New Roman" w:eastAsia="黑体" w:cs="Times New Roman"/>
                <w:b w:val="0"/>
                <w:bCs w:val="0"/>
                <w:kern w:val="0"/>
                <w:sz w:val="21"/>
                <w:szCs w:val="21"/>
                <w:lang w:val="en-US" w:eastAsia="zh-CN" w:bidi="ar-SA"/>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2"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项目总负责人</w:t>
            </w:r>
          </w:p>
        </w:tc>
        <w:tc>
          <w:tcPr>
            <w:tcW w:w="1059"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常皓然</w:t>
            </w:r>
          </w:p>
        </w:tc>
        <w:tc>
          <w:tcPr>
            <w:tcW w:w="6916" w:type="dxa"/>
            <w:vAlign w:val="center"/>
          </w:tcPr>
          <w:p>
            <w:pPr>
              <w:ind w:firstLine="0" w:firstLineChars="0"/>
              <w:jc w:val="left"/>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全程监督评价活动实施，为评价活动提供必要支持；与相关部门、绩效管理专家、项目管理者沟通；审核评价报告初稿是否符合文件要求，是否符合评价机构文本质量要求，审定评价报告。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2"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高级项目经理</w:t>
            </w:r>
          </w:p>
        </w:tc>
        <w:tc>
          <w:tcPr>
            <w:tcW w:w="1059"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张旭东</w:t>
            </w:r>
          </w:p>
        </w:tc>
        <w:tc>
          <w:tcPr>
            <w:tcW w:w="6916" w:type="dxa"/>
            <w:vAlign w:val="center"/>
          </w:tcPr>
          <w:p>
            <w:pPr>
              <w:ind w:firstLine="0" w:firstLineChars="0"/>
              <w:jc w:val="left"/>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编写评价方案、专家工作手册；协调评价小组工作，指导评价小组理解评价任务要求，组织实施评价活动；分析评价数据，撰写绩效评价报告初稿，修改形成绩效评价报告。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2"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项目经理</w:t>
            </w:r>
          </w:p>
        </w:tc>
        <w:tc>
          <w:tcPr>
            <w:tcW w:w="1059"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韩泽晖</w:t>
            </w:r>
          </w:p>
        </w:tc>
        <w:tc>
          <w:tcPr>
            <w:tcW w:w="6916" w:type="dxa"/>
            <w:vAlign w:val="center"/>
          </w:tcPr>
          <w:p>
            <w:pPr>
              <w:ind w:firstLine="0" w:firstLineChars="0"/>
              <w:jc w:val="left"/>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组织实施现场评价工作，协助高级项目经理分析评价数据、撰写评价报告。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2"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项目助理</w:t>
            </w:r>
          </w:p>
        </w:tc>
        <w:tc>
          <w:tcPr>
            <w:tcW w:w="1059"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肖绘丽</w:t>
            </w:r>
          </w:p>
        </w:tc>
        <w:tc>
          <w:tcPr>
            <w:tcW w:w="6916" w:type="dxa"/>
            <w:vAlign w:val="center"/>
          </w:tcPr>
          <w:p>
            <w:pPr>
              <w:ind w:firstLine="0" w:firstLineChars="0"/>
              <w:jc w:val="left"/>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搜集、整理相关资料，协助项目经理开展绩效评价活动，汇总评价数据。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2"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行业专家</w:t>
            </w:r>
          </w:p>
        </w:tc>
        <w:tc>
          <w:tcPr>
            <w:tcW w:w="1059"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谢金廷</w:t>
            </w:r>
          </w:p>
        </w:tc>
        <w:tc>
          <w:tcPr>
            <w:tcW w:w="6916" w:type="dxa"/>
            <w:vAlign w:val="center"/>
          </w:tcPr>
          <w:p>
            <w:pPr>
              <w:ind w:firstLine="0" w:firstLineChars="0"/>
              <w:jc w:val="left"/>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对照评价指标体系，对项目业务方面的内容进行评价，出具评价意见。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2"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财务专家</w:t>
            </w:r>
          </w:p>
        </w:tc>
        <w:tc>
          <w:tcPr>
            <w:tcW w:w="1059"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刘德胜</w:t>
            </w:r>
          </w:p>
        </w:tc>
        <w:tc>
          <w:tcPr>
            <w:tcW w:w="6916" w:type="dxa"/>
            <w:vAlign w:val="center"/>
          </w:tcPr>
          <w:p>
            <w:pPr>
              <w:ind w:firstLine="0" w:firstLineChars="0"/>
              <w:jc w:val="left"/>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对照评价指标体系，对项目财务方面的内容进行评价，出具评价意见</w:t>
            </w:r>
          </w:p>
        </w:tc>
      </w:tr>
    </w:tbl>
    <w:p>
      <w:pPr>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sz w:val="32"/>
          <w:szCs w:val="32"/>
        </w:rPr>
      </w:pPr>
      <w:r>
        <w:rPr>
          <w:rFonts w:hint="default" w:ascii="Times New Roman" w:hAnsi="Times New Roman" w:eastAsia="仿宋_GB2312" w:cs="Times New Roman"/>
          <w:b w:val="0"/>
          <w:bCs w:val="0"/>
          <w:kern w:val="0"/>
          <w:sz w:val="32"/>
          <w:szCs w:val="32"/>
          <w:lang w:val="en-US" w:eastAsia="zh-CN" w:bidi="ar-SA"/>
        </w:rPr>
        <w:t>其中，评价机构相关人员包括评价专家组和工作人员。评价专家组由业务专家和财务专家组成：业务专家由具有副高级以上专业技术职称，具有多年被评价项目所属领域或行业的专业技术工作经验，熟悉被评价项目相关领域的政策法规，有良好的职业道德和敬业精神的专家组成；财务专家由具有丰富财会知识和管理经验的财会专业人员组成。工作人员由具备绩效评价知识和经验，熟悉评价项目、评价规范和技术规范的人员组成。</w:t>
      </w:r>
      <w:bookmarkStart w:id="156" w:name="_Toc26324"/>
      <w:bookmarkStart w:id="157" w:name="_Toc8653"/>
      <w:bookmarkStart w:id="158" w:name="_Toc14532"/>
      <w:bookmarkStart w:id="159" w:name="_Toc24968"/>
      <w:bookmarkStart w:id="160" w:name="_Toc9192"/>
      <w:bookmarkStart w:id="161" w:name="_Toc24279747"/>
      <w:bookmarkStart w:id="162" w:name="_Toc22474_WPSOffice_Level2"/>
      <w:bookmarkStart w:id="163" w:name="_Toc21666_WPSOffice_Level2"/>
      <w:bookmarkStart w:id="164" w:name="_Toc19503"/>
      <w:bookmarkStart w:id="165" w:name="_Toc1384"/>
    </w:p>
    <w:p>
      <w:pPr>
        <w:pStyle w:val="5"/>
        <w:pageBreakBefore w:val="0"/>
        <w:widowControl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楷体" w:cs="Times New Roman"/>
          <w:b w:val="0"/>
          <w:bCs w:val="0"/>
          <w:kern w:val="0"/>
          <w:sz w:val="32"/>
          <w:szCs w:val="32"/>
        </w:rPr>
      </w:pPr>
      <w:bookmarkStart w:id="166" w:name="_Toc4727"/>
      <w:r>
        <w:rPr>
          <w:rFonts w:hint="default" w:ascii="Times New Roman" w:hAnsi="Times New Roman" w:eastAsia="楷体" w:cs="Times New Roman"/>
          <w:b w:val="0"/>
          <w:bCs w:val="0"/>
          <w:kern w:val="0"/>
          <w:sz w:val="32"/>
          <w:szCs w:val="32"/>
        </w:rPr>
        <w:t>（</w:t>
      </w:r>
      <w:r>
        <w:rPr>
          <w:rFonts w:hint="default" w:ascii="Times New Roman" w:hAnsi="Times New Roman" w:eastAsia="楷体" w:cs="Times New Roman"/>
          <w:b w:val="0"/>
          <w:bCs w:val="0"/>
          <w:kern w:val="0"/>
          <w:sz w:val="32"/>
          <w:szCs w:val="32"/>
          <w:lang w:val="en-US" w:eastAsia="zh-CN"/>
        </w:rPr>
        <w:t>七</w:t>
      </w:r>
      <w:r>
        <w:rPr>
          <w:rFonts w:hint="default" w:ascii="Times New Roman" w:hAnsi="Times New Roman" w:eastAsia="楷体" w:cs="Times New Roman"/>
          <w:b w:val="0"/>
          <w:bCs w:val="0"/>
          <w:kern w:val="0"/>
          <w:sz w:val="32"/>
          <w:szCs w:val="32"/>
        </w:rPr>
        <w:t>）</w:t>
      </w:r>
      <w:r>
        <w:rPr>
          <w:rFonts w:hint="default" w:ascii="Times New Roman" w:hAnsi="Times New Roman" w:eastAsia="楷体" w:cs="Times New Roman"/>
          <w:b w:val="0"/>
          <w:bCs w:val="0"/>
          <w:kern w:val="0"/>
          <w:sz w:val="32"/>
          <w:szCs w:val="32"/>
          <w:lang w:val="en-US" w:eastAsia="zh-CN"/>
        </w:rPr>
        <w:t>绩效</w:t>
      </w:r>
      <w:r>
        <w:rPr>
          <w:rFonts w:hint="default" w:ascii="Times New Roman" w:hAnsi="Times New Roman" w:eastAsia="楷体" w:cs="Times New Roman"/>
          <w:b w:val="0"/>
          <w:bCs w:val="0"/>
          <w:kern w:val="0"/>
          <w:sz w:val="32"/>
          <w:szCs w:val="32"/>
        </w:rPr>
        <w:t>评价工作</w:t>
      </w:r>
      <w:bookmarkEnd w:id="156"/>
      <w:bookmarkEnd w:id="157"/>
      <w:bookmarkEnd w:id="158"/>
      <w:bookmarkEnd w:id="159"/>
      <w:bookmarkEnd w:id="160"/>
      <w:bookmarkEnd w:id="161"/>
      <w:bookmarkEnd w:id="162"/>
      <w:bookmarkEnd w:id="163"/>
      <w:bookmarkEnd w:id="164"/>
      <w:bookmarkEnd w:id="165"/>
      <w:r>
        <w:rPr>
          <w:rFonts w:hint="default" w:ascii="Times New Roman" w:hAnsi="Times New Roman" w:eastAsia="楷体" w:cs="Times New Roman"/>
          <w:b w:val="0"/>
          <w:bCs w:val="0"/>
          <w:kern w:val="0"/>
          <w:sz w:val="32"/>
          <w:szCs w:val="32"/>
        </w:rPr>
        <w:t>流程</w:t>
      </w:r>
      <w:bookmarkEnd w:id="166"/>
    </w:p>
    <w:p>
      <w:pPr>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rPr>
      </w:pPr>
      <w:r>
        <w:rPr>
          <w:rFonts w:hint="default" w:ascii="Times New Roman" w:hAnsi="Times New Roman" w:eastAsia="仿宋_GB2312" w:cs="Times New Roman"/>
          <w:b w:val="0"/>
          <w:bCs w:val="0"/>
          <w:kern w:val="0"/>
          <w:sz w:val="32"/>
          <w:szCs w:val="32"/>
          <w:lang w:val="en-US" w:eastAsia="zh-CN" w:bidi="ar-SA"/>
        </w:rPr>
        <w:t>本次绩效评价是在项目执行单位提供评价所需材料的基础上，对所有项目资料进行书面（非现场）评审。本次绩效评价组织实施过程共分为四个阶段，包括前期准备、组织实施、分析评价、报告撰写（见图1）：</w:t>
      </w:r>
      <w:bookmarkStart w:id="167" w:name="_Toc25495_WPSOffice_Level3"/>
    </w:p>
    <w:p>
      <w:pPr>
        <w:ind w:firstLine="0" w:firstLineChars="0"/>
        <w:jc w:val="center"/>
        <w:rPr>
          <w:rFonts w:hint="default" w:ascii="Times New Roman" w:hAnsi="Times New Roman" w:cs="Times New Roman"/>
          <w:b w:val="0"/>
          <w:bCs w:val="0"/>
        </w:rPr>
      </w:pPr>
      <w:r>
        <w:rPr>
          <w:rFonts w:hint="default" w:ascii="Times New Roman" w:hAnsi="Times New Roman" w:cs="Times New Roman"/>
          <w:b w:val="0"/>
          <w:bCs w:val="0"/>
        </w:rPr>
        <w:drawing>
          <wp:inline distT="0" distB="0" distL="114300" distR="114300">
            <wp:extent cx="5267960" cy="29527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5267960" cy="2952750"/>
                    </a:xfrm>
                    <a:prstGeom prst="rect">
                      <a:avLst/>
                    </a:prstGeom>
                    <a:noFill/>
                    <a:ln>
                      <a:noFill/>
                    </a:ln>
                  </pic:spPr>
                </pic:pic>
              </a:graphicData>
            </a:graphic>
          </wp:inline>
        </w:drawing>
      </w:r>
    </w:p>
    <w:p>
      <w:pPr>
        <w:ind w:firstLine="0" w:firstLineChars="0"/>
        <w:jc w:val="center"/>
        <w:rPr>
          <w:rFonts w:hint="default" w:ascii="Times New Roman" w:hAnsi="Times New Roman" w:cs="Times New Roman"/>
          <w:b w:val="0"/>
          <w:bCs w:val="0"/>
          <w:sz w:val="26"/>
          <w:szCs w:val="26"/>
        </w:rPr>
      </w:pPr>
      <w:r>
        <w:rPr>
          <w:rFonts w:hint="default" w:ascii="Times New Roman" w:hAnsi="Times New Roman" w:eastAsia="方正小标宋_GBK" w:cs="Times New Roman"/>
          <w:b w:val="0"/>
          <w:bCs w:val="0"/>
          <w:sz w:val="21"/>
          <w:szCs w:val="21"/>
        </w:rPr>
        <w:t>图1</w:t>
      </w:r>
      <w:r>
        <w:rPr>
          <w:rFonts w:hint="default" w:ascii="Times New Roman" w:hAnsi="Times New Roman" w:eastAsia="方正小标宋_GBK" w:cs="Times New Roman"/>
          <w:b w:val="0"/>
          <w:bCs w:val="0"/>
          <w:sz w:val="21"/>
          <w:szCs w:val="21"/>
          <w:lang w:val="en-US" w:eastAsia="zh-CN"/>
        </w:rPr>
        <w:t>.</w:t>
      </w:r>
      <w:r>
        <w:rPr>
          <w:rFonts w:hint="default" w:ascii="Times New Roman" w:hAnsi="Times New Roman" w:eastAsia="方正小标宋_GBK" w:cs="Times New Roman"/>
          <w:b w:val="0"/>
          <w:bCs w:val="0"/>
          <w:sz w:val="21"/>
          <w:szCs w:val="21"/>
        </w:rPr>
        <w:t>绩效评价工作流程</w:t>
      </w:r>
    </w:p>
    <w:p>
      <w:pPr>
        <w:pStyle w:val="6"/>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仿宋_GB2312" w:cs="Times New Roman"/>
          <w:b w:val="0"/>
          <w:bCs w:val="0"/>
          <w:kern w:val="0"/>
          <w:sz w:val="32"/>
          <w:szCs w:val="32"/>
          <w:lang w:val="en-US" w:eastAsia="zh-CN" w:bidi="ar-SA"/>
        </w:rPr>
      </w:pPr>
      <w:bookmarkStart w:id="168" w:name="_Toc6814"/>
      <w:bookmarkStart w:id="169" w:name="_Toc24279748"/>
      <w:bookmarkStart w:id="170" w:name="_Toc6970"/>
      <w:bookmarkStart w:id="171" w:name="_Toc23343"/>
      <w:bookmarkStart w:id="172" w:name="_Toc22852"/>
      <w:bookmarkStart w:id="173" w:name="_Toc7124"/>
      <w:bookmarkStart w:id="174" w:name="_Toc5398"/>
      <w:r>
        <w:rPr>
          <w:rFonts w:hint="default" w:ascii="Times New Roman" w:hAnsi="Times New Roman" w:eastAsia="仿宋_GB2312" w:cs="Times New Roman"/>
          <w:b w:val="0"/>
          <w:bCs w:val="0"/>
          <w:kern w:val="0"/>
          <w:sz w:val="32"/>
          <w:szCs w:val="32"/>
          <w:lang w:val="en-US" w:eastAsia="zh-CN" w:bidi="ar-SA"/>
        </w:rPr>
        <w:t>1、前期准备</w:t>
      </w:r>
      <w:bookmarkEnd w:id="167"/>
      <w:bookmarkEnd w:id="168"/>
      <w:bookmarkEnd w:id="169"/>
      <w:bookmarkEnd w:id="170"/>
      <w:bookmarkEnd w:id="171"/>
      <w:bookmarkEnd w:id="172"/>
      <w:bookmarkEnd w:id="173"/>
      <w:bookmarkEnd w:id="174"/>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本次绩效评价工作的前期准备工作从2022年8月份开始，前期准备工作主要包括以下内容：</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（1）进行专业理论知识学习。公司组织业务骨干人员参加绩效评价培训研讨会议，深入学习财政资金绩效评价的理论创新发展和实务前沿，为后期绩效评价工作有序开展提供了坚实的理论支持。</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2）成立绩效评价质量标准委员会。绩效评价质量标准委员会由具有良好理论素养和丰富实践经验的工作人员组成，包括注册会计师、税务师以及专家教授等组成。绩效评价质量标准委员会主要负责制定绩效评价指标体系、编写绩效评价实施方案、组织绩效评价人员培训、进行现场评价工作指导、撰写专项资金绩效评价总报告等工作。</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3）制定绩效评价指标体系。绩效评价质量标准委员会负责制定绩效评价指标体系。本次绩效评价指标体系制定以《关于印发〈预算绩效评价共性指标体系框架〉的通知》（财预〔2013〕53号）和《财政部关于印发〈财政支出绩效评价管理暂行办法〉的通知》（财预〔2011〕285号），参照省财政厅预算绩效管理处印发的《财政重点项目第三方绩效评价组织实施工作流程》，结合项目的特有属性及项目实际情况，设计指标体系，进行指标细化和分值设定。</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（4）初步制定绩效评价实施方案。本次绩效评价实施方案由质量标准委员会制定初稿，针对委托方与相关专家意见质量指标委员会进行再次讨论并定稿。</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sz w:val="32"/>
          <w:szCs w:val="32"/>
        </w:rPr>
      </w:pPr>
      <w:r>
        <w:rPr>
          <w:rFonts w:hint="default" w:ascii="Times New Roman" w:hAnsi="Times New Roman" w:eastAsia="仿宋_GB2312" w:cs="Times New Roman"/>
          <w:b w:val="0"/>
          <w:bCs w:val="0"/>
          <w:kern w:val="0"/>
          <w:sz w:val="32"/>
          <w:szCs w:val="32"/>
          <w:lang w:val="en-US" w:eastAsia="zh-CN" w:bidi="ar-SA"/>
        </w:rPr>
        <w:t>（5）进行绩效评价工作人员培训。评价工作开始前专门针对财政专项资金绩效评价工作进行了系统培训，培训工作由质量标准委员会组织，本次绩效评价员工培训内容包括绩效评价基础理论、绩效评价实务工作流程、绩效评价过程中容易出现的问题和应对措施、绩效评价指标体系说明，其中指标体系说明包括指标说明、评价标准说明。</w:t>
      </w:r>
      <w:bookmarkStart w:id="175" w:name="_Toc980"/>
      <w:bookmarkStart w:id="176" w:name="_Toc9029_WPSOffice_Level3"/>
      <w:bookmarkStart w:id="177" w:name="_Toc24279749"/>
      <w:bookmarkStart w:id="178" w:name="_Toc15847"/>
      <w:bookmarkStart w:id="179" w:name="_Toc22472"/>
      <w:bookmarkStart w:id="180" w:name="_Toc13311"/>
      <w:bookmarkStart w:id="181" w:name="_Toc9409"/>
    </w:p>
    <w:p>
      <w:pPr>
        <w:pStyle w:val="6"/>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仿宋_GB2312" w:cs="Times New Roman"/>
          <w:b w:val="0"/>
          <w:bCs w:val="0"/>
          <w:kern w:val="0"/>
          <w:sz w:val="32"/>
          <w:szCs w:val="32"/>
          <w:lang w:val="en-US" w:eastAsia="zh-CN" w:bidi="ar-SA"/>
        </w:rPr>
      </w:pPr>
      <w:bookmarkStart w:id="182" w:name="_Toc30407"/>
      <w:r>
        <w:rPr>
          <w:rFonts w:hint="default" w:ascii="Times New Roman" w:hAnsi="Times New Roman" w:eastAsia="仿宋_GB2312" w:cs="Times New Roman"/>
          <w:b w:val="0"/>
          <w:bCs w:val="0"/>
          <w:kern w:val="0"/>
          <w:sz w:val="32"/>
          <w:szCs w:val="32"/>
          <w:lang w:val="en-US" w:eastAsia="zh-CN" w:bidi="ar-SA"/>
        </w:rPr>
        <w:t>2、组织实施</w:t>
      </w:r>
      <w:bookmarkEnd w:id="175"/>
      <w:bookmarkEnd w:id="176"/>
      <w:bookmarkEnd w:id="177"/>
      <w:bookmarkEnd w:id="178"/>
      <w:bookmarkEnd w:id="179"/>
      <w:bookmarkEnd w:id="180"/>
      <w:bookmarkEnd w:id="181"/>
      <w:bookmarkEnd w:id="182"/>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 w:cs="Times New Roman"/>
          <w:b w:val="0"/>
          <w:bCs w:val="0"/>
          <w:color w:val="000000" w:themeColor="text1"/>
          <w:kern w:val="2"/>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本次绩效评价组织实施包括事前沟通、收集评价资料、针对项目单位提供的书面材料进行评价打分、现场评价四个部分。</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（1）事前沟通</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在进驻项目单位之前，与济宁市兖州区财政局相关负责人、项目单位进行联系，就评价流程、评价时间安排、评价资料收集进行沟通，要求主管部门以及项目单位针对本次绩效评价工作进行相关资料准备工作。同时，由济宁市兖州区财政局相关负责人把绩效评价项目第三方单位负责人的联系方式告知项目单位，以便于及时沟通解决项目单位在资料准备过程中疑问。</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（2）书面评价</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项目评价小组依据主管部门和项目单位提供的材料，按照评价指标体系对项目单位绩效情况进行打分。</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①资料收集并审核。评价准备阶段要求各项目单位把相关评价材料准备齐全后统一归集到绩效评价的评价工作点。评价小组到达工作地点后，对项目单位提交的材料进行审核，针对每一个项目列出缺失资料清单，要求项目单位进行资料补充。</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②书面资料评价打分。评价小组根据所收集资料，按照评级指标和评价标准，对全部项目进行打分。这一工作大幅度增加了绩效评价工作复杂性，但同时增加了绩效评价结果反映的全面性和评价结果精准性。</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（3）现场评价</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现场评价的基本流程包括以下三个步骤：</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①资料审核并进行二次收集。针对现场评价项目所提供的材料，进行资料清单的查阅，包括未提供原始资料的文件要求进行二次补充。</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②书面评价。评价小组根据所收集资料，按照评级指标和评价标准，对需要现场评价的项目进行打分。</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sz w:val="32"/>
          <w:szCs w:val="32"/>
        </w:rPr>
      </w:pPr>
      <w:r>
        <w:rPr>
          <w:rFonts w:hint="default" w:ascii="Times New Roman" w:hAnsi="Times New Roman" w:eastAsia="仿宋_GB2312" w:cs="Times New Roman"/>
          <w:b w:val="0"/>
          <w:bCs w:val="0"/>
          <w:kern w:val="0"/>
          <w:sz w:val="32"/>
          <w:szCs w:val="32"/>
          <w:lang w:val="en-US" w:eastAsia="zh-CN" w:bidi="ar-SA"/>
        </w:rPr>
        <w:t>③现场评价。项目评价小组在书面评价结果基础上进行现场评价。现场评价主要包括实地考评和材料核实两方面。</w:t>
      </w:r>
    </w:p>
    <w:p>
      <w:pPr>
        <w:pStyle w:val="6"/>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仿宋_GB2312" w:cs="Times New Roman"/>
          <w:b w:val="0"/>
          <w:bCs w:val="0"/>
          <w:kern w:val="0"/>
          <w:sz w:val="32"/>
          <w:szCs w:val="32"/>
          <w:lang w:val="en-US" w:eastAsia="zh-CN" w:bidi="ar-SA"/>
        </w:rPr>
      </w:pPr>
      <w:bookmarkStart w:id="183" w:name="_Toc22657"/>
      <w:bookmarkStart w:id="184" w:name="_Toc24279750"/>
      <w:bookmarkStart w:id="185" w:name="_Toc20505"/>
      <w:bookmarkStart w:id="186" w:name="_Toc10964"/>
      <w:bookmarkStart w:id="187" w:name="_Toc11083"/>
      <w:bookmarkStart w:id="188" w:name="_Toc29414"/>
      <w:bookmarkStart w:id="189" w:name="_Toc1277_WPSOffice_Level3"/>
      <w:bookmarkStart w:id="190" w:name="_Toc5490"/>
      <w:r>
        <w:rPr>
          <w:rFonts w:hint="default" w:ascii="Times New Roman" w:hAnsi="Times New Roman" w:eastAsia="仿宋_GB2312" w:cs="Times New Roman"/>
          <w:b w:val="0"/>
          <w:bCs w:val="0"/>
          <w:kern w:val="0"/>
          <w:sz w:val="32"/>
          <w:szCs w:val="32"/>
          <w:lang w:val="en-US" w:eastAsia="zh-CN" w:bidi="ar-SA"/>
        </w:rPr>
        <w:t>3、评价分析</w:t>
      </w:r>
      <w:bookmarkEnd w:id="183"/>
      <w:bookmarkEnd w:id="184"/>
      <w:bookmarkEnd w:id="185"/>
      <w:bookmarkEnd w:id="186"/>
      <w:bookmarkEnd w:id="187"/>
      <w:bookmarkEnd w:id="188"/>
      <w:bookmarkEnd w:id="189"/>
      <w:bookmarkEnd w:id="190"/>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评价分析是本次绩效评价的主要过程，包括：</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（1）各项目小组针对绩效评价打分情况，完成绩效评价汇总表；</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sz w:val="32"/>
          <w:szCs w:val="32"/>
        </w:rPr>
      </w:pPr>
      <w:r>
        <w:rPr>
          <w:rFonts w:hint="default" w:ascii="Times New Roman" w:hAnsi="Times New Roman" w:eastAsia="仿宋_GB2312" w:cs="Times New Roman"/>
          <w:b w:val="0"/>
          <w:bCs w:val="0"/>
          <w:kern w:val="0"/>
          <w:sz w:val="32"/>
          <w:szCs w:val="32"/>
          <w:lang w:val="en-US" w:eastAsia="zh-CN" w:bidi="ar-SA"/>
        </w:rPr>
        <w:t>（2）分指标对项目的业务和财务情况进行分析评价。</w:t>
      </w:r>
    </w:p>
    <w:p>
      <w:pPr>
        <w:pStyle w:val="6"/>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仿宋_GB2312" w:cs="Times New Roman"/>
          <w:b w:val="0"/>
          <w:bCs w:val="0"/>
          <w:kern w:val="0"/>
          <w:sz w:val="32"/>
          <w:szCs w:val="32"/>
          <w:lang w:val="en-US" w:eastAsia="zh-CN" w:bidi="ar-SA"/>
        </w:rPr>
      </w:pPr>
      <w:bookmarkStart w:id="191" w:name="_Toc18932"/>
      <w:bookmarkStart w:id="192" w:name="_Toc16350"/>
      <w:bookmarkStart w:id="193" w:name="_Toc65_WPSOffice_Level3"/>
      <w:bookmarkStart w:id="194" w:name="_Toc30982"/>
      <w:bookmarkStart w:id="195" w:name="_Toc13256"/>
      <w:bookmarkStart w:id="196" w:name="_Toc23737"/>
      <w:bookmarkStart w:id="197" w:name="_Toc8248"/>
      <w:bookmarkStart w:id="198" w:name="_Toc24279751"/>
      <w:r>
        <w:rPr>
          <w:rFonts w:hint="default" w:ascii="Times New Roman" w:hAnsi="Times New Roman" w:eastAsia="仿宋_GB2312" w:cs="Times New Roman"/>
          <w:b w:val="0"/>
          <w:bCs w:val="0"/>
          <w:kern w:val="0"/>
          <w:sz w:val="32"/>
          <w:szCs w:val="32"/>
          <w:lang w:val="en-US" w:eastAsia="zh-CN" w:bidi="ar-SA"/>
        </w:rPr>
        <w:t>4、报告撰写</w:t>
      </w:r>
      <w:bookmarkEnd w:id="191"/>
      <w:bookmarkEnd w:id="192"/>
      <w:bookmarkEnd w:id="193"/>
      <w:bookmarkEnd w:id="194"/>
      <w:bookmarkEnd w:id="195"/>
      <w:bookmarkEnd w:id="196"/>
      <w:bookmarkEnd w:id="197"/>
      <w:bookmarkEnd w:id="198"/>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sz w:val="32"/>
          <w:szCs w:val="32"/>
        </w:rPr>
      </w:pPr>
      <w:r>
        <w:rPr>
          <w:rFonts w:hint="default" w:ascii="Times New Roman" w:hAnsi="Times New Roman" w:eastAsia="仿宋_GB2312" w:cs="Times New Roman"/>
          <w:b w:val="0"/>
          <w:bCs w:val="0"/>
          <w:kern w:val="0"/>
          <w:sz w:val="32"/>
          <w:szCs w:val="32"/>
          <w:lang w:val="en-US" w:eastAsia="zh-CN" w:bidi="ar-SA"/>
        </w:rPr>
        <w:t>报告的撰写包括三个步骤。首先，质量标准委员会负责编制初稿并进行讨论修改；第二，与相关部门负责人就初稿进行讨论；第三，针对初稿的修改意见，质量标准委员会进行初稿的修改，并经过济宁市兖州区财政局沟通汇报并审核后出具正式评价报告。</w:t>
      </w:r>
      <w:bookmarkStart w:id="199" w:name="_Toc24374216"/>
      <w:bookmarkStart w:id="200" w:name="_Toc25650511"/>
      <w:bookmarkStart w:id="201" w:name="_Toc24374857"/>
      <w:bookmarkStart w:id="202" w:name="_Toc24311769"/>
    </w:p>
    <w:p>
      <w:pPr>
        <w:pStyle w:val="3"/>
        <w:keepNext w:val="0"/>
        <w:keepLines/>
        <w:pageBreakBefore w:val="0"/>
        <w:widowControl/>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cs="Times New Roman"/>
          <w:b w:val="0"/>
          <w:bCs w:val="0"/>
        </w:rPr>
      </w:pPr>
      <w:bookmarkStart w:id="367" w:name="_GoBack"/>
      <w:bookmarkEnd w:id="367"/>
      <w:bookmarkStart w:id="203" w:name="_Toc24170"/>
      <w:r>
        <w:rPr>
          <w:rFonts w:hint="default" w:ascii="Times New Roman" w:hAnsi="Times New Roman" w:cs="Times New Roman"/>
          <w:b w:val="0"/>
          <w:bCs w:val="0"/>
        </w:rPr>
        <w:t>四、评价</w:t>
      </w:r>
      <w:bookmarkEnd w:id="199"/>
      <w:bookmarkEnd w:id="200"/>
      <w:bookmarkEnd w:id="201"/>
      <w:bookmarkEnd w:id="202"/>
      <w:r>
        <w:rPr>
          <w:rFonts w:hint="default" w:ascii="Times New Roman" w:hAnsi="Times New Roman" w:cs="Times New Roman"/>
          <w:b w:val="0"/>
          <w:bCs w:val="0"/>
          <w:lang w:val="en-US" w:eastAsia="zh-CN"/>
        </w:rPr>
        <w:t>结论及</w:t>
      </w:r>
      <w:r>
        <w:rPr>
          <w:rFonts w:hint="default" w:ascii="Times New Roman" w:hAnsi="Times New Roman" w:cs="Times New Roman"/>
          <w:b w:val="0"/>
          <w:bCs w:val="0"/>
        </w:rPr>
        <w:t>分析</w:t>
      </w:r>
      <w:bookmarkEnd w:id="203"/>
    </w:p>
    <w:p>
      <w:pPr>
        <w:pStyle w:val="5"/>
        <w:keepNext w:val="0"/>
        <w:keepLines/>
        <w:pageBreakBefore w:val="0"/>
        <w:widowControl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仿宋_GB2312" w:cs="Times New Roman"/>
          <w:b w:val="0"/>
          <w:bCs w:val="0"/>
          <w:kern w:val="0"/>
          <w:sz w:val="32"/>
          <w:szCs w:val="32"/>
          <w:lang w:val="en-US" w:eastAsia="zh-CN" w:bidi="ar-SA"/>
        </w:rPr>
      </w:pPr>
      <w:bookmarkStart w:id="204" w:name="_Toc25650512"/>
      <w:bookmarkStart w:id="205" w:name="_Toc24374217"/>
      <w:bookmarkStart w:id="206" w:name="_Toc24374858"/>
      <w:bookmarkStart w:id="207" w:name="_Toc14526"/>
      <w:r>
        <w:rPr>
          <w:rFonts w:hint="default" w:ascii="Times New Roman" w:hAnsi="Times New Roman" w:eastAsia="楷体" w:cs="Times New Roman"/>
          <w:b w:val="0"/>
          <w:bCs w:val="0"/>
          <w:kern w:val="0"/>
          <w:sz w:val="32"/>
          <w:szCs w:val="32"/>
        </w:rPr>
        <w:t>（一）</w:t>
      </w:r>
      <w:bookmarkEnd w:id="204"/>
      <w:bookmarkEnd w:id="205"/>
      <w:bookmarkEnd w:id="206"/>
      <w:r>
        <w:rPr>
          <w:rFonts w:hint="default" w:ascii="Times New Roman" w:hAnsi="Times New Roman" w:eastAsia="楷体" w:cs="Times New Roman"/>
          <w:b w:val="0"/>
          <w:bCs w:val="0"/>
          <w:kern w:val="0"/>
          <w:sz w:val="32"/>
          <w:szCs w:val="32"/>
          <w:lang w:val="en-US" w:eastAsia="zh-CN"/>
        </w:rPr>
        <w:t>综合评价情况及结论</w:t>
      </w:r>
      <w:bookmarkEnd w:id="207"/>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lang w:val="en-US" w:eastAsia="zh-CN"/>
        </w:rPr>
      </w:pPr>
      <w:r>
        <w:rPr>
          <w:rFonts w:hint="default" w:ascii="Times New Roman" w:hAnsi="Times New Roman" w:eastAsia="仿宋_GB2312" w:cs="Times New Roman"/>
          <w:b w:val="0"/>
          <w:bCs w:val="0"/>
          <w:kern w:val="0"/>
          <w:sz w:val="32"/>
          <w:szCs w:val="32"/>
          <w:lang w:val="en-US" w:eastAsia="zh-CN" w:bidi="ar-SA"/>
        </w:rPr>
        <w:t>本次兖州区2021年机关事业单位基本养老保险基金支出项目资金绩效评价得分85.5分，评价等级为“良”。该项目立项依据充分，程序规范，执行到位，项目基本实现了预期目标，取得了较好的社会效益。但存在的问题也较为突出，比如，预算工作应更加严谨细致；业务管理有待进一步规范，管理制度需要细化和明确，并加强执行；绩效管理工作意识不足，绩效目标申报（长期和年度）和自评工作有待加强；工作计划与总结不到位等等。</w:t>
      </w:r>
    </w:p>
    <w:p>
      <w:pPr>
        <w:pStyle w:val="5"/>
        <w:pageBreakBefore w:val="0"/>
        <w:kinsoku/>
        <w:wordWrap/>
        <w:overflowPunct/>
        <w:topLinePunct w:val="0"/>
        <w:autoSpaceDE/>
        <w:autoSpaceDN/>
        <w:bidi w:val="0"/>
        <w:adjustRightInd/>
        <w:snapToGrid/>
        <w:spacing w:line="600" w:lineRule="exact"/>
        <w:textAlignment w:val="auto"/>
        <w:rPr>
          <w:rFonts w:hint="default" w:ascii="Times New Roman" w:hAnsi="Times New Roman" w:cs="Times New Roman"/>
          <w:b w:val="0"/>
          <w:bCs w:val="0"/>
          <w:lang w:val="en-US" w:eastAsia="zh-CN"/>
        </w:rPr>
      </w:pPr>
      <w:bookmarkStart w:id="208" w:name="_Toc32749"/>
      <w:r>
        <w:rPr>
          <w:rFonts w:hint="default" w:ascii="Times New Roman" w:hAnsi="Times New Roman" w:cs="Times New Roman"/>
          <w:b w:val="0"/>
          <w:bCs w:val="0"/>
          <w:lang w:val="en-US" w:eastAsia="zh-CN"/>
        </w:rPr>
        <w:t>（二）绩效评价结果分析</w:t>
      </w:r>
      <w:bookmarkEnd w:id="208"/>
    </w:p>
    <w:p>
      <w:pPr>
        <w:pStyle w:val="6"/>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仿宋_GB2312" w:cs="Times New Roman"/>
          <w:b w:val="0"/>
          <w:bCs w:val="0"/>
          <w:kern w:val="0"/>
          <w:sz w:val="32"/>
          <w:szCs w:val="32"/>
          <w:lang w:val="en-US" w:eastAsia="zh-CN" w:bidi="ar-SA"/>
        </w:rPr>
      </w:pPr>
      <w:bookmarkStart w:id="209" w:name="_Toc25650513"/>
      <w:bookmarkStart w:id="210" w:name="_Toc28279531"/>
      <w:bookmarkStart w:id="211" w:name="_Toc28005414"/>
      <w:bookmarkStart w:id="212" w:name="_Toc28180166"/>
      <w:bookmarkStart w:id="213" w:name="_Toc27571601"/>
      <w:bookmarkStart w:id="214" w:name="_Toc3925"/>
      <w:r>
        <w:rPr>
          <w:rFonts w:hint="default" w:ascii="Times New Roman" w:hAnsi="Times New Roman" w:eastAsia="仿宋_GB2312" w:cs="Times New Roman"/>
          <w:b w:val="0"/>
          <w:bCs w:val="0"/>
          <w:kern w:val="0"/>
          <w:sz w:val="32"/>
          <w:szCs w:val="32"/>
          <w:lang w:val="en-US" w:eastAsia="zh-CN" w:bidi="ar-SA"/>
        </w:rPr>
        <w:t>1.</w:t>
      </w:r>
      <w:bookmarkEnd w:id="209"/>
      <w:r>
        <w:rPr>
          <w:rFonts w:hint="default" w:ascii="Times New Roman" w:hAnsi="Times New Roman" w:eastAsia="仿宋_GB2312" w:cs="Times New Roman"/>
          <w:b w:val="0"/>
          <w:bCs w:val="0"/>
          <w:kern w:val="0"/>
          <w:sz w:val="32"/>
          <w:szCs w:val="32"/>
          <w:lang w:val="en-US" w:eastAsia="zh-CN" w:bidi="ar-SA"/>
        </w:rPr>
        <w:t>决策情况</w:t>
      </w:r>
      <w:bookmarkEnd w:id="210"/>
      <w:bookmarkEnd w:id="211"/>
      <w:bookmarkEnd w:id="212"/>
      <w:bookmarkEnd w:id="213"/>
      <w:bookmarkEnd w:id="214"/>
    </w:p>
    <w:p>
      <w:pPr>
        <w:pStyle w:val="2"/>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bookmarkStart w:id="215" w:name="_Hlk27574350"/>
      <w:r>
        <w:rPr>
          <w:rFonts w:hint="default" w:ascii="Times New Roman" w:hAnsi="Times New Roman" w:eastAsia="仿宋_GB2312" w:cs="Times New Roman"/>
          <w:b w:val="0"/>
          <w:bCs w:val="0"/>
          <w:kern w:val="0"/>
          <w:sz w:val="32"/>
          <w:szCs w:val="32"/>
          <w:lang w:val="en-US" w:eastAsia="zh-CN" w:bidi="ar-SA"/>
        </w:rPr>
        <w:t>决策指标满分为20分，分为三个二级指标：项目立项、绩效目标和资金投入，该项评价得分为15.5分</w:t>
      </w:r>
      <w:bookmarkEnd w:id="215"/>
      <w:r>
        <w:rPr>
          <w:rFonts w:hint="default" w:ascii="Times New Roman" w:hAnsi="Times New Roman" w:eastAsia="仿宋_GB2312" w:cs="Times New Roman"/>
          <w:b w:val="0"/>
          <w:bCs w:val="0"/>
          <w:kern w:val="0"/>
          <w:sz w:val="32"/>
          <w:szCs w:val="32"/>
          <w:lang w:val="en-US" w:eastAsia="zh-CN" w:bidi="ar-SA"/>
        </w:rPr>
        <w:t>。</w:t>
      </w:r>
    </w:p>
    <w:p>
      <w:pPr>
        <w:pStyle w:val="6"/>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仿宋_GB2312" w:cs="Times New Roman"/>
          <w:b w:val="0"/>
          <w:bCs w:val="0"/>
          <w:kern w:val="0"/>
          <w:sz w:val="32"/>
          <w:szCs w:val="32"/>
          <w:lang w:val="en-US" w:eastAsia="zh-CN" w:bidi="ar-SA"/>
        </w:rPr>
      </w:pPr>
      <w:bookmarkStart w:id="216" w:name="_Toc25650514"/>
      <w:bookmarkStart w:id="217" w:name="_Toc28005415"/>
      <w:bookmarkStart w:id="218" w:name="_Toc21887"/>
      <w:bookmarkStart w:id="219" w:name="_Toc28279532"/>
      <w:bookmarkStart w:id="220" w:name="_Toc28180167"/>
      <w:bookmarkStart w:id="221" w:name="_Toc27571602"/>
      <w:r>
        <w:rPr>
          <w:rFonts w:hint="default" w:ascii="Times New Roman" w:hAnsi="Times New Roman" w:eastAsia="仿宋_GB2312" w:cs="Times New Roman"/>
          <w:b w:val="0"/>
          <w:bCs w:val="0"/>
          <w:kern w:val="0"/>
          <w:sz w:val="32"/>
          <w:szCs w:val="32"/>
          <w:lang w:val="en-US" w:eastAsia="zh-CN" w:bidi="ar-SA"/>
        </w:rPr>
        <w:t>2.</w:t>
      </w:r>
      <w:bookmarkEnd w:id="216"/>
      <w:r>
        <w:rPr>
          <w:rFonts w:hint="default" w:ascii="Times New Roman" w:hAnsi="Times New Roman" w:eastAsia="仿宋_GB2312" w:cs="Times New Roman"/>
          <w:b w:val="0"/>
          <w:bCs w:val="0"/>
          <w:kern w:val="0"/>
          <w:sz w:val="32"/>
          <w:szCs w:val="32"/>
          <w:lang w:val="en-US" w:eastAsia="zh-CN" w:bidi="ar-SA"/>
        </w:rPr>
        <w:t>过程情况</w:t>
      </w:r>
      <w:bookmarkEnd w:id="217"/>
      <w:bookmarkEnd w:id="218"/>
      <w:bookmarkEnd w:id="219"/>
      <w:bookmarkEnd w:id="220"/>
      <w:bookmarkEnd w:id="221"/>
    </w:p>
    <w:p>
      <w:pPr>
        <w:pStyle w:val="2"/>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sz w:val="32"/>
          <w:szCs w:val="32"/>
        </w:rPr>
      </w:pPr>
      <w:r>
        <w:rPr>
          <w:rFonts w:hint="default" w:ascii="Times New Roman" w:hAnsi="Times New Roman" w:eastAsia="仿宋_GB2312" w:cs="Times New Roman"/>
          <w:b w:val="0"/>
          <w:bCs w:val="0"/>
          <w:kern w:val="0"/>
          <w:sz w:val="32"/>
          <w:szCs w:val="32"/>
          <w:lang w:val="en-US" w:eastAsia="zh-CN" w:bidi="ar-SA"/>
        </w:rPr>
        <w:t>过程指标满分为20分，分为两个二级指标：资金管理和组织实施，该项评价得分为16分。</w:t>
      </w:r>
    </w:p>
    <w:p>
      <w:pPr>
        <w:pStyle w:val="6"/>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仿宋_GB2312" w:cs="Times New Roman"/>
          <w:b w:val="0"/>
          <w:bCs w:val="0"/>
          <w:kern w:val="0"/>
          <w:sz w:val="32"/>
          <w:szCs w:val="32"/>
          <w:lang w:val="en-US" w:eastAsia="zh-CN" w:bidi="ar-SA"/>
        </w:rPr>
      </w:pPr>
      <w:bookmarkStart w:id="222" w:name="_Toc5679"/>
      <w:r>
        <w:rPr>
          <w:rFonts w:hint="default" w:ascii="Times New Roman" w:hAnsi="Times New Roman" w:eastAsia="仿宋_GB2312" w:cs="Times New Roman"/>
          <w:b w:val="0"/>
          <w:bCs w:val="0"/>
          <w:kern w:val="0"/>
          <w:sz w:val="32"/>
          <w:szCs w:val="32"/>
          <w:lang w:val="en-US" w:eastAsia="zh-CN" w:bidi="ar-SA"/>
        </w:rPr>
        <w:t>3.产出情况</w:t>
      </w:r>
      <w:bookmarkEnd w:id="222"/>
    </w:p>
    <w:p>
      <w:pPr>
        <w:pStyle w:val="2"/>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sz w:val="32"/>
          <w:szCs w:val="32"/>
        </w:rPr>
      </w:pPr>
      <w:r>
        <w:rPr>
          <w:rFonts w:hint="default" w:ascii="Times New Roman" w:hAnsi="Times New Roman" w:eastAsia="仿宋_GB2312" w:cs="Times New Roman"/>
          <w:b w:val="0"/>
          <w:bCs w:val="0"/>
          <w:kern w:val="0"/>
          <w:sz w:val="32"/>
          <w:szCs w:val="32"/>
          <w:lang w:val="en-US" w:eastAsia="zh-CN" w:bidi="ar-SA"/>
        </w:rPr>
        <w:t>产出指标满分为30分，分为四个二级指标：产出数量、产出质量、产出时效和产出成本，该项评价得分为26分。</w:t>
      </w:r>
    </w:p>
    <w:p>
      <w:pPr>
        <w:pStyle w:val="6"/>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仿宋_GB2312" w:cs="Times New Roman"/>
          <w:b w:val="0"/>
          <w:bCs w:val="0"/>
          <w:kern w:val="0"/>
          <w:sz w:val="32"/>
          <w:szCs w:val="32"/>
          <w:lang w:val="en-US" w:eastAsia="zh-CN" w:bidi="ar-SA"/>
        </w:rPr>
      </w:pPr>
      <w:bookmarkStart w:id="223" w:name="_Toc25650515"/>
      <w:bookmarkStart w:id="224" w:name="_Toc28005416"/>
      <w:bookmarkStart w:id="225" w:name="_Toc28279533"/>
      <w:bookmarkStart w:id="226" w:name="_Toc28180168"/>
      <w:bookmarkStart w:id="227" w:name="_Toc31818"/>
      <w:bookmarkStart w:id="228" w:name="_Toc27571603"/>
      <w:r>
        <w:rPr>
          <w:rFonts w:hint="default" w:ascii="Times New Roman" w:hAnsi="Times New Roman" w:eastAsia="仿宋_GB2312" w:cs="Times New Roman"/>
          <w:b w:val="0"/>
          <w:bCs w:val="0"/>
          <w:kern w:val="0"/>
          <w:sz w:val="32"/>
          <w:szCs w:val="32"/>
          <w:lang w:val="en-US" w:eastAsia="zh-CN" w:bidi="ar-SA"/>
        </w:rPr>
        <w:t>4.</w:t>
      </w:r>
      <w:bookmarkEnd w:id="223"/>
      <w:r>
        <w:rPr>
          <w:rFonts w:hint="default" w:ascii="Times New Roman" w:hAnsi="Times New Roman" w:eastAsia="仿宋_GB2312" w:cs="Times New Roman"/>
          <w:b w:val="0"/>
          <w:bCs w:val="0"/>
          <w:kern w:val="0"/>
          <w:sz w:val="32"/>
          <w:szCs w:val="32"/>
          <w:lang w:val="en-US" w:eastAsia="zh-CN" w:bidi="ar-SA"/>
        </w:rPr>
        <w:t>效益情况</w:t>
      </w:r>
      <w:bookmarkEnd w:id="224"/>
      <w:bookmarkEnd w:id="225"/>
      <w:bookmarkEnd w:id="226"/>
      <w:bookmarkEnd w:id="227"/>
      <w:bookmarkEnd w:id="228"/>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项目绩效指标满分为30分，包含项目效益一个二级指标，三个三级指标：社会效益、可持续影响和服务对象满意度，该项评价得分为28分。</w:t>
      </w:r>
    </w:p>
    <w:p>
      <w:pPr>
        <w:pStyle w:val="5"/>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楷体" w:cs="Times New Roman"/>
          <w:b w:val="0"/>
          <w:bCs w:val="0"/>
          <w:kern w:val="0"/>
          <w:sz w:val="32"/>
          <w:szCs w:val="32"/>
        </w:rPr>
      </w:pPr>
      <w:bookmarkStart w:id="229" w:name="_Toc24374218"/>
      <w:bookmarkStart w:id="230" w:name="_Toc25650518"/>
      <w:bookmarkStart w:id="231" w:name="_Toc24374859"/>
      <w:bookmarkStart w:id="232" w:name="_Toc13774"/>
      <w:r>
        <w:rPr>
          <w:rFonts w:hint="default" w:ascii="Times New Roman" w:hAnsi="Times New Roman" w:eastAsia="楷体" w:cs="Times New Roman"/>
          <w:b w:val="0"/>
          <w:bCs w:val="0"/>
          <w:kern w:val="0"/>
          <w:sz w:val="32"/>
          <w:szCs w:val="32"/>
        </w:rPr>
        <w:t>（</w:t>
      </w:r>
      <w:r>
        <w:rPr>
          <w:rFonts w:hint="default" w:ascii="Times New Roman" w:hAnsi="Times New Roman" w:eastAsia="楷体" w:cs="Times New Roman"/>
          <w:b w:val="0"/>
          <w:bCs w:val="0"/>
          <w:kern w:val="0"/>
          <w:sz w:val="32"/>
          <w:szCs w:val="32"/>
          <w:lang w:val="en-US" w:eastAsia="zh-CN"/>
        </w:rPr>
        <w:t>三</w:t>
      </w:r>
      <w:r>
        <w:rPr>
          <w:rFonts w:hint="default" w:ascii="Times New Roman" w:hAnsi="Times New Roman" w:eastAsia="楷体" w:cs="Times New Roman"/>
          <w:b w:val="0"/>
          <w:bCs w:val="0"/>
          <w:kern w:val="0"/>
          <w:sz w:val="32"/>
          <w:szCs w:val="32"/>
        </w:rPr>
        <w:t>）</w:t>
      </w:r>
      <w:bookmarkEnd w:id="229"/>
      <w:bookmarkEnd w:id="230"/>
      <w:bookmarkEnd w:id="231"/>
      <w:r>
        <w:rPr>
          <w:rFonts w:hint="default" w:ascii="Times New Roman" w:hAnsi="Times New Roman" w:eastAsia="楷体" w:cs="Times New Roman"/>
          <w:b w:val="0"/>
          <w:bCs w:val="0"/>
          <w:kern w:val="0"/>
          <w:sz w:val="32"/>
          <w:szCs w:val="32"/>
        </w:rPr>
        <w:t>评价</w:t>
      </w:r>
      <w:r>
        <w:rPr>
          <w:rFonts w:hint="default" w:ascii="Times New Roman" w:hAnsi="Times New Roman" w:eastAsia="楷体" w:cs="Times New Roman"/>
          <w:b w:val="0"/>
          <w:bCs w:val="0"/>
          <w:kern w:val="0"/>
          <w:sz w:val="32"/>
          <w:szCs w:val="32"/>
          <w:lang w:val="en-US" w:eastAsia="zh-CN"/>
        </w:rPr>
        <w:t>得分及</w:t>
      </w:r>
      <w:r>
        <w:rPr>
          <w:rFonts w:hint="default" w:ascii="Times New Roman" w:hAnsi="Times New Roman" w:eastAsia="楷体" w:cs="Times New Roman"/>
          <w:b w:val="0"/>
          <w:bCs w:val="0"/>
          <w:kern w:val="0"/>
          <w:sz w:val="32"/>
          <w:szCs w:val="32"/>
        </w:rPr>
        <w:t>结论</w:t>
      </w:r>
      <w:bookmarkEnd w:id="232"/>
    </w:p>
    <w:p>
      <w:pPr>
        <w:pStyle w:val="6"/>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仿宋_GB2312" w:cs="Times New Roman"/>
          <w:b w:val="0"/>
          <w:bCs w:val="0"/>
          <w:kern w:val="0"/>
          <w:sz w:val="32"/>
          <w:szCs w:val="32"/>
          <w:lang w:val="en-US" w:eastAsia="zh-CN" w:bidi="ar-SA"/>
        </w:rPr>
      </w:pPr>
      <w:bookmarkStart w:id="233" w:name="_Toc25650519"/>
      <w:bookmarkStart w:id="234" w:name="_Toc9185"/>
      <w:bookmarkStart w:id="235" w:name="_Toc28180170"/>
      <w:bookmarkStart w:id="236" w:name="_Toc11970"/>
      <w:bookmarkStart w:id="237" w:name="_Toc28279535"/>
      <w:bookmarkStart w:id="238" w:name="_Toc27571605"/>
      <w:bookmarkStart w:id="239" w:name="_Toc28005418"/>
      <w:r>
        <w:rPr>
          <w:rFonts w:hint="default" w:ascii="Times New Roman" w:hAnsi="Times New Roman" w:eastAsia="仿宋_GB2312" w:cs="Times New Roman"/>
          <w:b w:val="0"/>
          <w:bCs w:val="0"/>
          <w:kern w:val="0"/>
          <w:sz w:val="32"/>
          <w:szCs w:val="32"/>
          <w:lang w:val="en-US" w:eastAsia="zh-CN" w:bidi="ar-SA"/>
        </w:rPr>
        <w:t>1.</w:t>
      </w:r>
      <w:bookmarkEnd w:id="233"/>
      <w:r>
        <w:rPr>
          <w:rFonts w:hint="default" w:ascii="Times New Roman" w:hAnsi="Times New Roman" w:eastAsia="仿宋_GB2312" w:cs="Times New Roman"/>
          <w:b w:val="0"/>
          <w:bCs w:val="0"/>
          <w:kern w:val="0"/>
          <w:sz w:val="32"/>
          <w:szCs w:val="32"/>
          <w:lang w:val="en-US" w:eastAsia="zh-CN" w:bidi="ar-SA"/>
        </w:rPr>
        <w:t>评分</w:t>
      </w:r>
      <w:bookmarkEnd w:id="234"/>
      <w:bookmarkEnd w:id="235"/>
      <w:bookmarkEnd w:id="236"/>
      <w:bookmarkEnd w:id="237"/>
      <w:bookmarkEnd w:id="238"/>
      <w:bookmarkEnd w:id="239"/>
      <w:r>
        <w:rPr>
          <w:rFonts w:hint="default" w:ascii="Times New Roman" w:hAnsi="Times New Roman" w:eastAsia="仿宋_GB2312" w:cs="Times New Roman"/>
          <w:b w:val="0"/>
          <w:bCs w:val="0"/>
          <w:kern w:val="0"/>
          <w:sz w:val="32"/>
          <w:szCs w:val="32"/>
          <w:lang w:val="en-US" w:eastAsia="zh-CN" w:bidi="ar-SA"/>
        </w:rPr>
        <w:t>得分</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bookmarkStart w:id="240" w:name="_Toc28279536"/>
      <w:bookmarkStart w:id="241" w:name="_Toc27571606"/>
      <w:bookmarkStart w:id="242" w:name="_Toc28005419"/>
      <w:bookmarkStart w:id="243" w:name="_Toc28180171"/>
      <w:bookmarkStart w:id="244" w:name="_Toc27499174"/>
      <w:bookmarkStart w:id="245" w:name="_Toc27498927"/>
      <w:bookmarkStart w:id="246" w:name="_Toc25650520"/>
      <w:r>
        <w:rPr>
          <w:rFonts w:hint="default" w:ascii="Times New Roman" w:hAnsi="Times New Roman" w:eastAsia="仿宋_GB2312" w:cs="Times New Roman"/>
          <w:b w:val="0"/>
          <w:bCs w:val="0"/>
          <w:kern w:val="0"/>
          <w:sz w:val="32"/>
          <w:szCs w:val="32"/>
          <w:lang w:val="en-US" w:eastAsia="zh-CN" w:bidi="ar-SA"/>
        </w:rPr>
        <w:t>本次兖州区2021年机关事业单位基本养老保险基金支出项目资金绩效评价得分85.5分。评级等次根据项目总得分确定为优（100--90）、良（89--80）、中（79--60）、差（59--0）四个等级。本项目评价总分85.5分，评价等级为“良”。</w:t>
      </w:r>
      <w:bookmarkEnd w:id="240"/>
      <w:bookmarkEnd w:id="241"/>
      <w:bookmarkEnd w:id="242"/>
      <w:bookmarkEnd w:id="243"/>
      <w:bookmarkEnd w:id="244"/>
      <w:bookmarkEnd w:id="245"/>
      <w:r>
        <w:rPr>
          <w:rFonts w:hint="default" w:ascii="Times New Roman" w:hAnsi="Times New Roman" w:eastAsia="仿宋_GB2312" w:cs="Times New Roman"/>
          <w:b w:val="0"/>
          <w:bCs w:val="0"/>
          <w:kern w:val="0"/>
          <w:sz w:val="32"/>
          <w:szCs w:val="32"/>
          <w:lang w:val="en-US" w:eastAsia="zh-CN" w:bidi="ar-SA"/>
        </w:rPr>
        <w:t>具体见表3：</w:t>
      </w:r>
    </w:p>
    <w:p>
      <w:pPr>
        <w:pStyle w:val="2"/>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jc w:val="center"/>
        <w:textAlignment w:val="auto"/>
        <w:rPr>
          <w:rFonts w:hint="default" w:ascii="Times New Roman" w:hAnsi="Times New Roman" w:eastAsia="方正小标宋_GBK" w:cs="Times New Roman"/>
          <w:b w:val="0"/>
          <w:bCs w:val="0"/>
          <w:kern w:val="0"/>
          <w:sz w:val="32"/>
          <w:szCs w:val="32"/>
          <w:lang w:val="en-US" w:eastAsia="zh-CN" w:bidi="ar-SA"/>
        </w:rPr>
      </w:pPr>
      <w:r>
        <w:rPr>
          <w:rFonts w:hint="default" w:ascii="Times New Roman" w:hAnsi="Times New Roman" w:eastAsia="方正小标宋_GBK" w:cs="Times New Roman"/>
          <w:b w:val="0"/>
          <w:bCs w:val="0"/>
          <w:kern w:val="0"/>
          <w:sz w:val="32"/>
          <w:szCs w:val="32"/>
          <w:lang w:val="en-US" w:eastAsia="zh-CN" w:bidi="ar-SA"/>
        </w:rPr>
        <w:t>表3.2021年机关事业单位基本养老保险基金支出</w:t>
      </w:r>
    </w:p>
    <w:tbl>
      <w:tblPr>
        <w:tblStyle w:val="22"/>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9"/>
        <w:gridCol w:w="2840"/>
        <w:gridCol w:w="2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71" w:type="dxa"/>
            <w:vAlign w:val="center"/>
          </w:tcPr>
          <w:p>
            <w:pPr>
              <w:ind w:firstLine="0" w:firstLineChars="0"/>
              <w:jc w:val="center"/>
              <w:rPr>
                <w:rFonts w:hint="default" w:ascii="Times New Roman" w:hAnsi="Times New Roman" w:eastAsia="黑体" w:cs="Times New Roman"/>
                <w:b w:val="0"/>
                <w:bCs w:val="0"/>
                <w:kern w:val="0"/>
                <w:sz w:val="21"/>
                <w:szCs w:val="21"/>
                <w:lang w:val="en-US" w:eastAsia="zh-CN" w:bidi="ar-SA"/>
              </w:rPr>
            </w:pPr>
            <w:r>
              <w:rPr>
                <w:rFonts w:hint="default" w:ascii="Times New Roman" w:hAnsi="Times New Roman" w:eastAsia="黑体" w:cs="Times New Roman"/>
                <w:b w:val="0"/>
                <w:bCs w:val="0"/>
                <w:kern w:val="0"/>
                <w:sz w:val="21"/>
                <w:szCs w:val="21"/>
                <w:lang w:val="en-US" w:eastAsia="zh-CN" w:bidi="ar-SA"/>
              </w:rPr>
              <w:t>评价指标</w:t>
            </w:r>
          </w:p>
        </w:tc>
        <w:tc>
          <w:tcPr>
            <w:tcW w:w="9071" w:type="dxa"/>
            <w:vAlign w:val="center"/>
          </w:tcPr>
          <w:p>
            <w:pPr>
              <w:ind w:firstLine="0" w:firstLineChars="0"/>
              <w:jc w:val="center"/>
              <w:rPr>
                <w:rFonts w:hint="default" w:ascii="Times New Roman" w:hAnsi="Times New Roman" w:eastAsia="黑体" w:cs="Times New Roman"/>
                <w:b w:val="0"/>
                <w:bCs w:val="0"/>
                <w:kern w:val="0"/>
                <w:sz w:val="21"/>
                <w:szCs w:val="21"/>
                <w:lang w:val="en-US" w:eastAsia="zh-CN" w:bidi="ar-SA"/>
              </w:rPr>
            </w:pPr>
            <w:r>
              <w:rPr>
                <w:rFonts w:hint="default" w:ascii="Times New Roman" w:hAnsi="Times New Roman" w:eastAsia="黑体" w:cs="Times New Roman"/>
                <w:b w:val="0"/>
                <w:bCs w:val="0"/>
                <w:kern w:val="0"/>
                <w:sz w:val="21"/>
                <w:szCs w:val="21"/>
                <w:lang w:val="en-US" w:eastAsia="zh-CN" w:bidi="ar-SA"/>
              </w:rPr>
              <w:t>评价分值</w:t>
            </w:r>
          </w:p>
        </w:tc>
        <w:tc>
          <w:tcPr>
            <w:tcW w:w="9071" w:type="dxa"/>
            <w:vAlign w:val="center"/>
          </w:tcPr>
          <w:p>
            <w:pPr>
              <w:ind w:firstLine="0" w:firstLineChars="0"/>
              <w:jc w:val="center"/>
              <w:rPr>
                <w:rFonts w:hint="default" w:ascii="Times New Roman" w:hAnsi="Times New Roman" w:eastAsia="黑体" w:cs="Times New Roman"/>
                <w:b w:val="0"/>
                <w:bCs w:val="0"/>
                <w:kern w:val="0"/>
                <w:sz w:val="21"/>
                <w:szCs w:val="21"/>
                <w:lang w:val="en-US" w:eastAsia="zh-CN" w:bidi="ar-SA"/>
              </w:rPr>
            </w:pPr>
            <w:r>
              <w:rPr>
                <w:rFonts w:hint="default" w:ascii="Times New Roman" w:hAnsi="Times New Roman" w:eastAsia="黑体" w:cs="Times New Roman"/>
                <w:b w:val="0"/>
                <w:bCs w:val="0"/>
                <w:kern w:val="0"/>
                <w:sz w:val="21"/>
                <w:szCs w:val="21"/>
                <w:lang w:val="en-US" w:eastAsia="zh-CN" w:bidi="ar-SA"/>
              </w:rPr>
              <w:t>项目得分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71"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决策指标</w:t>
            </w:r>
          </w:p>
        </w:tc>
        <w:tc>
          <w:tcPr>
            <w:tcW w:w="9071"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20</w:t>
            </w:r>
          </w:p>
        </w:tc>
        <w:tc>
          <w:tcPr>
            <w:tcW w:w="9071"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71"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过程指标</w:t>
            </w:r>
          </w:p>
        </w:tc>
        <w:tc>
          <w:tcPr>
            <w:tcW w:w="9071"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20</w:t>
            </w:r>
          </w:p>
        </w:tc>
        <w:tc>
          <w:tcPr>
            <w:tcW w:w="9071"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71"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产出指标</w:t>
            </w:r>
          </w:p>
        </w:tc>
        <w:tc>
          <w:tcPr>
            <w:tcW w:w="9071"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30</w:t>
            </w:r>
          </w:p>
        </w:tc>
        <w:tc>
          <w:tcPr>
            <w:tcW w:w="9071"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71"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效益指标</w:t>
            </w:r>
          </w:p>
        </w:tc>
        <w:tc>
          <w:tcPr>
            <w:tcW w:w="9071"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30</w:t>
            </w:r>
          </w:p>
        </w:tc>
        <w:tc>
          <w:tcPr>
            <w:tcW w:w="9071"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71"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合计</w:t>
            </w:r>
          </w:p>
        </w:tc>
        <w:tc>
          <w:tcPr>
            <w:tcW w:w="9071"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100</w:t>
            </w:r>
          </w:p>
        </w:tc>
        <w:tc>
          <w:tcPr>
            <w:tcW w:w="9071"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85.5</w:t>
            </w:r>
          </w:p>
        </w:tc>
      </w:tr>
    </w:tbl>
    <w:p>
      <w:pPr>
        <w:pStyle w:val="6"/>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仿宋_GB2312" w:cs="Times New Roman"/>
          <w:b w:val="0"/>
          <w:bCs w:val="0"/>
          <w:kern w:val="0"/>
          <w:sz w:val="32"/>
          <w:szCs w:val="32"/>
          <w:lang w:val="en-US" w:eastAsia="zh-CN" w:bidi="ar-SA"/>
        </w:rPr>
      </w:pPr>
      <w:bookmarkStart w:id="247" w:name="_Toc22624"/>
      <w:bookmarkStart w:id="248" w:name="_Toc10692"/>
      <w:bookmarkStart w:id="249" w:name="_Toc28279537"/>
      <w:bookmarkStart w:id="250" w:name="_Toc28005420"/>
      <w:bookmarkStart w:id="251" w:name="_Toc28180172"/>
      <w:bookmarkStart w:id="252" w:name="_Toc27571607"/>
      <w:r>
        <w:rPr>
          <w:rFonts w:hint="default" w:ascii="Times New Roman" w:hAnsi="Times New Roman" w:eastAsia="仿宋_GB2312" w:cs="Times New Roman"/>
          <w:b w:val="0"/>
          <w:bCs w:val="0"/>
          <w:kern w:val="0"/>
          <w:sz w:val="32"/>
          <w:szCs w:val="32"/>
          <w:lang w:val="en-US" w:eastAsia="zh-CN" w:bidi="ar-SA"/>
        </w:rPr>
        <w:t>2.</w:t>
      </w:r>
      <w:bookmarkEnd w:id="246"/>
      <w:r>
        <w:rPr>
          <w:rFonts w:hint="default" w:ascii="Times New Roman" w:hAnsi="Times New Roman" w:eastAsia="仿宋_GB2312" w:cs="Times New Roman"/>
          <w:b w:val="0"/>
          <w:bCs w:val="0"/>
          <w:kern w:val="0"/>
          <w:sz w:val="32"/>
          <w:szCs w:val="32"/>
          <w:lang w:val="en-US" w:eastAsia="zh-CN" w:bidi="ar-SA"/>
        </w:rPr>
        <w:t>评价结论</w:t>
      </w:r>
      <w:bookmarkEnd w:id="247"/>
      <w:bookmarkEnd w:id="248"/>
      <w:bookmarkEnd w:id="249"/>
      <w:bookmarkEnd w:id="250"/>
      <w:bookmarkEnd w:id="251"/>
      <w:bookmarkEnd w:id="252"/>
    </w:p>
    <w:p>
      <w:pPr>
        <w:pStyle w:val="2"/>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国家历来重视和解决养老问题，这也是保障和改善民生的重要举措。本项目根据《国务院关于机关事业单位工作人员养老保险制度改革的决定》（国发〔2015〕2号）等相关文件精神，中央及省市区各级政府均对养老保险作出了专门的制度规定，立项依据充分、合理，程序规范。按照相关政策规定，根据职工工资增长和物价变动等情况，统筹安排机关事业单位和企业退休人员的基本养老金调整，逐步建立兼顾各类人员的养老保险待遇正常调整机制，分享经济社会发展成果，保障退休人员基本生活。按照国家规定调整养老金待遇水平，确保退休人员基本养老金足额按时发放。2021年兖州区机关事业单位养老保险基金实际支出51042万元，其中包括机关事业单位养老保险补贴25800万元。养老金的及时足额发放对于保障退休人员生活、促进社会和谐稳定、提高人民群众幸福感和获得感具有显著影响。</w:t>
      </w:r>
    </w:p>
    <w:p>
      <w:pPr>
        <w:pStyle w:val="2"/>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综上，该项目立项依据充分，程序规范，执行到位，项目基本实现了预期目标，取得了较好的社会效益。但存在的问题也较为突出，比如，预算工作应更加严谨细致；业务管理有待进一步规范，管理制度需要细化和明确，并加强执行；绩效管理工作意识不足，绩效目标申报（长期和年度）和自评工作有待加强；工作计划与总结不到位等等。</w:t>
      </w:r>
      <w:bookmarkStart w:id="253" w:name="_Toc24374865"/>
      <w:bookmarkStart w:id="254" w:name="_Toc24374224"/>
      <w:bookmarkStart w:id="255" w:name="_Toc25650534"/>
      <w:bookmarkStart w:id="256" w:name="_Toc24311771"/>
    </w:p>
    <w:p>
      <w:pPr>
        <w:pStyle w:val="3"/>
        <w:pageBreakBefore w:val="0"/>
        <w:kinsoku/>
        <w:wordWrap/>
        <w:overflowPunct/>
        <w:topLinePunct w:val="0"/>
        <w:autoSpaceDE/>
        <w:autoSpaceDN/>
        <w:bidi w:val="0"/>
        <w:adjustRightInd/>
        <w:snapToGrid/>
        <w:spacing w:line="600" w:lineRule="exact"/>
        <w:textAlignment w:val="auto"/>
        <w:rPr>
          <w:rFonts w:hint="default" w:ascii="Times New Roman" w:hAnsi="Times New Roman" w:cs="Times New Roman"/>
          <w:b w:val="0"/>
          <w:bCs w:val="0"/>
          <w:lang w:val="en-US" w:eastAsia="zh-CN"/>
        </w:rPr>
      </w:pPr>
      <w:bookmarkStart w:id="257" w:name="_Toc2060"/>
      <w:r>
        <w:rPr>
          <w:rFonts w:hint="default" w:ascii="Times New Roman" w:hAnsi="Times New Roman" w:cs="Times New Roman"/>
          <w:b w:val="0"/>
          <w:bCs w:val="0"/>
          <w:lang w:val="en-US" w:eastAsia="zh-CN"/>
        </w:rPr>
        <w:t>五、绩效评价指标分析</w:t>
      </w:r>
      <w:bookmarkEnd w:id="257"/>
    </w:p>
    <w:p>
      <w:pPr>
        <w:pStyle w:val="5"/>
        <w:pageBreakBefore w:val="0"/>
        <w:kinsoku/>
        <w:wordWrap/>
        <w:overflowPunct/>
        <w:topLinePunct w:val="0"/>
        <w:autoSpaceDE/>
        <w:autoSpaceDN/>
        <w:bidi w:val="0"/>
        <w:adjustRightInd/>
        <w:snapToGrid/>
        <w:spacing w:line="600" w:lineRule="exact"/>
        <w:textAlignment w:val="auto"/>
        <w:rPr>
          <w:rFonts w:hint="default" w:ascii="Times New Roman" w:hAnsi="Times New Roman" w:cs="Times New Roman"/>
          <w:b w:val="0"/>
          <w:bCs w:val="0"/>
          <w:lang w:val="en-US" w:eastAsia="zh-CN"/>
        </w:rPr>
      </w:pPr>
      <w:bookmarkStart w:id="258" w:name="_Toc13088"/>
      <w:r>
        <w:rPr>
          <w:rFonts w:hint="default" w:ascii="Times New Roman" w:hAnsi="Times New Roman" w:cs="Times New Roman"/>
          <w:b w:val="0"/>
          <w:bCs w:val="0"/>
          <w:lang w:val="en-US" w:eastAsia="zh-CN"/>
        </w:rPr>
        <w:t>（一）项目决策情况</w:t>
      </w:r>
      <w:bookmarkEnd w:id="258"/>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rPr>
      </w:pPr>
      <w:r>
        <w:rPr>
          <w:rFonts w:hint="default" w:ascii="Times New Roman" w:hAnsi="Times New Roman" w:eastAsia="仿宋_GB2312" w:cs="Times New Roman"/>
          <w:b w:val="0"/>
          <w:bCs w:val="0"/>
          <w:kern w:val="0"/>
          <w:sz w:val="32"/>
          <w:szCs w:val="32"/>
          <w:lang w:val="en-US" w:eastAsia="zh-CN" w:bidi="ar-SA"/>
        </w:rPr>
        <w:t>决策指标满分为20分，分为三个二级指标：项目立项、绩效目标和资金投入，该项评价得分为15.5分，各项得分情况如表4：</w:t>
      </w:r>
    </w:p>
    <w:p>
      <w:pPr>
        <w:ind w:left="0" w:leftChars="0" w:firstLine="0" w:firstLineChars="0"/>
        <w:jc w:val="center"/>
        <w:rPr>
          <w:rFonts w:hint="default" w:ascii="Times New Roman" w:hAnsi="Times New Roman" w:eastAsia="方正小标宋_GBK" w:cs="Times New Roman"/>
          <w:b w:val="0"/>
          <w:bCs w:val="0"/>
          <w:sz w:val="32"/>
          <w:szCs w:val="32"/>
        </w:rPr>
      </w:pPr>
      <w:r>
        <w:rPr>
          <w:rFonts w:hint="default" w:ascii="Times New Roman" w:hAnsi="Times New Roman" w:eastAsia="方正小标宋_GBK" w:cs="Times New Roman"/>
          <w:b w:val="0"/>
          <w:bCs w:val="0"/>
          <w:sz w:val="32"/>
          <w:szCs w:val="32"/>
        </w:rPr>
        <w:t>表</w:t>
      </w:r>
      <w:r>
        <w:rPr>
          <w:rFonts w:hint="default" w:ascii="Times New Roman" w:hAnsi="Times New Roman" w:eastAsia="方正小标宋_GBK" w:cs="Times New Roman"/>
          <w:b w:val="0"/>
          <w:bCs w:val="0"/>
          <w:sz w:val="32"/>
          <w:szCs w:val="32"/>
          <w:lang w:val="en-US" w:eastAsia="zh-CN"/>
        </w:rPr>
        <w:t>4.</w:t>
      </w:r>
      <w:r>
        <w:rPr>
          <w:rFonts w:hint="default" w:ascii="Times New Roman" w:hAnsi="Times New Roman" w:eastAsia="方正小标宋_GBK" w:cs="Times New Roman"/>
          <w:b w:val="0"/>
          <w:bCs w:val="0"/>
          <w:sz w:val="32"/>
          <w:szCs w:val="32"/>
        </w:rPr>
        <w:t>决策指标得分情况</w:t>
      </w:r>
    </w:p>
    <w:tbl>
      <w:tblPr>
        <w:tblStyle w:val="22"/>
        <w:tblW w:w="8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8"/>
        <w:gridCol w:w="2763"/>
        <w:gridCol w:w="1473"/>
        <w:gridCol w:w="2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778" w:type="dxa"/>
            <w:vAlign w:val="center"/>
          </w:tcPr>
          <w:p>
            <w:pPr>
              <w:ind w:firstLine="0" w:firstLineChars="0"/>
              <w:jc w:val="center"/>
              <w:rPr>
                <w:rFonts w:hint="default" w:ascii="Times New Roman" w:hAnsi="Times New Roman" w:eastAsia="黑体" w:cs="Times New Roman"/>
                <w:b w:val="0"/>
                <w:bCs w:val="0"/>
                <w:kern w:val="0"/>
                <w:sz w:val="21"/>
                <w:szCs w:val="21"/>
                <w:lang w:val="en-US" w:eastAsia="zh-CN" w:bidi="ar-SA"/>
              </w:rPr>
            </w:pPr>
            <w:r>
              <w:rPr>
                <w:rFonts w:hint="default" w:ascii="Times New Roman" w:hAnsi="Times New Roman" w:eastAsia="黑体" w:cs="Times New Roman"/>
                <w:b w:val="0"/>
                <w:bCs w:val="0"/>
                <w:kern w:val="0"/>
                <w:sz w:val="21"/>
                <w:szCs w:val="21"/>
                <w:lang w:val="en-US" w:eastAsia="zh-CN" w:bidi="ar-SA"/>
              </w:rPr>
              <w:t>二级指标</w:t>
            </w:r>
          </w:p>
        </w:tc>
        <w:tc>
          <w:tcPr>
            <w:tcW w:w="2763" w:type="dxa"/>
            <w:vAlign w:val="center"/>
          </w:tcPr>
          <w:p>
            <w:pPr>
              <w:ind w:firstLine="0" w:firstLineChars="0"/>
              <w:jc w:val="center"/>
              <w:rPr>
                <w:rFonts w:hint="default" w:ascii="Times New Roman" w:hAnsi="Times New Roman" w:eastAsia="黑体" w:cs="Times New Roman"/>
                <w:b w:val="0"/>
                <w:bCs w:val="0"/>
                <w:kern w:val="0"/>
                <w:sz w:val="21"/>
                <w:szCs w:val="21"/>
                <w:lang w:val="en-US" w:eastAsia="zh-CN" w:bidi="ar-SA"/>
              </w:rPr>
            </w:pPr>
            <w:r>
              <w:rPr>
                <w:rFonts w:hint="default" w:ascii="Times New Roman" w:hAnsi="Times New Roman" w:eastAsia="黑体" w:cs="Times New Roman"/>
                <w:b w:val="0"/>
                <w:bCs w:val="0"/>
                <w:kern w:val="0"/>
                <w:sz w:val="21"/>
                <w:szCs w:val="21"/>
                <w:lang w:val="en-US" w:eastAsia="zh-CN" w:bidi="ar-SA"/>
              </w:rPr>
              <w:t>三级指标</w:t>
            </w:r>
          </w:p>
        </w:tc>
        <w:tc>
          <w:tcPr>
            <w:tcW w:w="1473" w:type="dxa"/>
            <w:vAlign w:val="center"/>
          </w:tcPr>
          <w:p>
            <w:pPr>
              <w:ind w:firstLine="0" w:firstLineChars="0"/>
              <w:jc w:val="center"/>
              <w:rPr>
                <w:rFonts w:hint="default" w:ascii="Times New Roman" w:hAnsi="Times New Roman" w:eastAsia="黑体" w:cs="Times New Roman"/>
                <w:b w:val="0"/>
                <w:bCs w:val="0"/>
                <w:kern w:val="0"/>
                <w:sz w:val="21"/>
                <w:szCs w:val="21"/>
                <w:lang w:val="en-US" w:eastAsia="zh-CN" w:bidi="ar-SA"/>
              </w:rPr>
            </w:pPr>
            <w:r>
              <w:rPr>
                <w:rFonts w:hint="default" w:ascii="Times New Roman" w:hAnsi="Times New Roman" w:eastAsia="黑体" w:cs="Times New Roman"/>
                <w:b w:val="0"/>
                <w:bCs w:val="0"/>
                <w:kern w:val="0"/>
                <w:sz w:val="21"/>
                <w:szCs w:val="21"/>
                <w:lang w:val="en-US" w:eastAsia="zh-CN" w:bidi="ar-SA"/>
              </w:rPr>
              <w:t>分值</w:t>
            </w:r>
          </w:p>
        </w:tc>
        <w:tc>
          <w:tcPr>
            <w:tcW w:w="2424" w:type="dxa"/>
            <w:vAlign w:val="center"/>
          </w:tcPr>
          <w:p>
            <w:pPr>
              <w:ind w:firstLine="0" w:firstLineChars="0"/>
              <w:jc w:val="center"/>
              <w:rPr>
                <w:rFonts w:hint="default" w:ascii="Times New Roman" w:hAnsi="Times New Roman" w:eastAsia="黑体" w:cs="Times New Roman"/>
                <w:b w:val="0"/>
                <w:bCs w:val="0"/>
                <w:kern w:val="0"/>
                <w:sz w:val="21"/>
                <w:szCs w:val="21"/>
                <w:lang w:val="en-US" w:eastAsia="zh-CN" w:bidi="ar-SA"/>
              </w:rPr>
            </w:pPr>
            <w:r>
              <w:rPr>
                <w:rFonts w:hint="default" w:ascii="Times New Roman" w:hAnsi="Times New Roman" w:eastAsia="黑体" w:cs="Times New Roman"/>
                <w:b w:val="0"/>
                <w:bCs w:val="0"/>
                <w:kern w:val="0"/>
                <w:sz w:val="21"/>
                <w:szCs w:val="21"/>
                <w:lang w:val="en-US" w:eastAsia="zh-CN" w:bidi="ar-SA"/>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778" w:type="dxa"/>
            <w:vMerge w:val="restart"/>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项目立项</w:t>
            </w:r>
          </w:p>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（6分）</w:t>
            </w:r>
          </w:p>
        </w:tc>
        <w:tc>
          <w:tcPr>
            <w:tcW w:w="2763"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立项依据充分性</w:t>
            </w:r>
          </w:p>
        </w:tc>
        <w:tc>
          <w:tcPr>
            <w:tcW w:w="1473"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3</w:t>
            </w:r>
          </w:p>
        </w:tc>
        <w:tc>
          <w:tcPr>
            <w:tcW w:w="2424"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778" w:type="dxa"/>
            <w:vMerge w:val="continue"/>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p>
        </w:tc>
        <w:tc>
          <w:tcPr>
            <w:tcW w:w="2763"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立项程序规范性</w:t>
            </w:r>
          </w:p>
        </w:tc>
        <w:tc>
          <w:tcPr>
            <w:tcW w:w="1473"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3</w:t>
            </w:r>
          </w:p>
        </w:tc>
        <w:tc>
          <w:tcPr>
            <w:tcW w:w="2424"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78" w:type="dxa"/>
            <w:vMerge w:val="restart"/>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绩效目标</w:t>
            </w:r>
          </w:p>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（6分）</w:t>
            </w:r>
          </w:p>
        </w:tc>
        <w:tc>
          <w:tcPr>
            <w:tcW w:w="2763"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绩效目标合理性</w:t>
            </w:r>
          </w:p>
        </w:tc>
        <w:tc>
          <w:tcPr>
            <w:tcW w:w="1473"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3</w:t>
            </w:r>
          </w:p>
        </w:tc>
        <w:tc>
          <w:tcPr>
            <w:tcW w:w="2424"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778" w:type="dxa"/>
            <w:vMerge w:val="continue"/>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p>
        </w:tc>
        <w:tc>
          <w:tcPr>
            <w:tcW w:w="2763"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绩效指标明确性</w:t>
            </w:r>
          </w:p>
        </w:tc>
        <w:tc>
          <w:tcPr>
            <w:tcW w:w="1473"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3</w:t>
            </w:r>
          </w:p>
        </w:tc>
        <w:tc>
          <w:tcPr>
            <w:tcW w:w="2424"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778" w:type="dxa"/>
            <w:vMerge w:val="restart"/>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资金投入</w:t>
            </w:r>
          </w:p>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（8分）</w:t>
            </w:r>
          </w:p>
        </w:tc>
        <w:tc>
          <w:tcPr>
            <w:tcW w:w="2763"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预算编制科学性</w:t>
            </w:r>
          </w:p>
        </w:tc>
        <w:tc>
          <w:tcPr>
            <w:tcW w:w="1473"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4</w:t>
            </w:r>
          </w:p>
        </w:tc>
        <w:tc>
          <w:tcPr>
            <w:tcW w:w="2424"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778" w:type="dxa"/>
            <w:vMerge w:val="continue"/>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p>
        </w:tc>
        <w:tc>
          <w:tcPr>
            <w:tcW w:w="2763"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资金分配合理性</w:t>
            </w:r>
          </w:p>
        </w:tc>
        <w:tc>
          <w:tcPr>
            <w:tcW w:w="1473"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4</w:t>
            </w:r>
          </w:p>
        </w:tc>
        <w:tc>
          <w:tcPr>
            <w:tcW w:w="2424"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4541" w:type="dxa"/>
            <w:gridSpan w:val="2"/>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合计</w:t>
            </w:r>
          </w:p>
        </w:tc>
        <w:tc>
          <w:tcPr>
            <w:tcW w:w="1473"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20</w:t>
            </w:r>
          </w:p>
        </w:tc>
        <w:tc>
          <w:tcPr>
            <w:tcW w:w="2424"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15.5</w:t>
            </w:r>
          </w:p>
        </w:tc>
      </w:tr>
    </w:tbl>
    <w:p>
      <w:pPr>
        <w:pStyle w:val="2"/>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（1）项目立项情况</w:t>
      </w:r>
    </w:p>
    <w:p>
      <w:pPr>
        <w:pStyle w:val="2"/>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①立项依据充分性分值3分，实得3分。国家历来重视和解决养老问题，这也是保障和改善民生的重要举措。《国务院关于机关事业单位工作人员养老保险制度改革的决定》（国发〔2015〕2号）明确提出，为统筹城乡社会保障体系建设，建立更加公平、可持续的养老保险制度，国务院决定改革机关事业单位工作人员养老保险制度。既体现国民收入再分配更加注重公平的要求，又体现工作人员之间贡献大小差别，建立待遇与缴费挂钩机制，多缴多得、长缴多得，提高单位和职工参保缴费的积极性。机关事业单位工作人员要按照国家规定切实履行缴费义务，享受相应的养老保险待遇，形成责任共担、统筹互济的养老保险筹资和分配机制。立足社会主义初级阶段基本国情，合理确定基本养老保险筹资和待遇水平，切实保障退休人员基本生活，促进基本养老保险制度可持续发展。立足增量改革，实现平稳过渡。对改革前已退休人员，保持现有待遇并参加今后的待遇调整；对改革后参加工作的人员，通过建立新机制，实现待遇的合理衔接；对改革前参加工作、改革后退休的人员，通过实行过渡性措施，保持待遇水平不降低。统筹规划、合理安排、量力而行，准确把握改革的节奏和力度，先行解决目前城镇职工基本养老保险制度不统一的突出矛盾，再结合养老保险顶层设计，坚持精算平衡，逐步完善相关制度和政策。根据文件精神，中央及省市区各级政府均对养老保险作出了专门的制度规定，该项目立项依据充分、合理。</w:t>
      </w:r>
    </w:p>
    <w:p>
      <w:pPr>
        <w:pStyle w:val="2"/>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②立项程序规范性分值3分，实得3分。如上所述，该项目有明确的中央及省市区各级政府的相关政策支持文件，资金申请文件流程规范且使用范围符合社保资金的用途要求，立项程序规范。</w:t>
      </w:r>
    </w:p>
    <w:p>
      <w:pPr>
        <w:pStyle w:val="2"/>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（2）绩效目标情况</w:t>
      </w:r>
    </w:p>
    <w:p>
      <w:pPr>
        <w:pStyle w:val="2"/>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①绩效目标合理性分值3分，实得1.5分。项目单位提供的《机关事业养老保险财政补贴项目绩效目标申报表》显示，虽然各项内容都进行了相应填写，但填写明显不够规范，“测算依据及说明”填写不正确，未列明与测算相关的政策依据；“项目单位职能概述”过于简单笼统；“项目概况、主要内容及用途”描述过于简单，不能全面反映项目情况；“项目立项依据”和“项目申报的可行性和必要性”重复且与需要填写内容不符；“项目年度绩效目标”未根据项目实际情况进行详细描述，过于简单，不能体现项目应该达到的既定目标；未体现项目长期绩效目标；数量指标缺少相应单位，等等。综上，项目单位对于绩效评价的认识有待加强，对于绩效目标申报表的填报略显敷衍，该项酌情扣1.5分。</w:t>
      </w:r>
    </w:p>
    <w:p>
      <w:pPr>
        <w:pStyle w:val="2"/>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②绩效指标明确性分值3分，实得2分。如上所述，项目单位提供的《机关事业养老保险财政补贴项目绩效目标申报表》显示，虽然各项内容都进行了相应填写，但填写明显不够规范。具体绩效指标方面，相关内容填写较为明确，但仍存在个别指标填写不太准确的问题。例如，数量指标缺少相应单位，社会效益指标不够细化等。该项酌情扣1分。</w:t>
      </w:r>
    </w:p>
    <w:p>
      <w:pPr>
        <w:pStyle w:val="2"/>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（3）资金投入情况</w:t>
      </w:r>
    </w:p>
    <w:p>
      <w:pPr>
        <w:pStyle w:val="2"/>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①预算编制科学性分值4分，实得2分。项目单位未提供预算编制的详细说明，对于养老金总体支出和缺口补贴金额只是大体根据往年发放情况做了简单估计，对于退休人员增减变动情况、个人待遇和调整等相关测算没有相应数据支撑。鉴于该项目预算编制未能体现应有的科学性和规范性，酌情扣2分。</w:t>
      </w:r>
    </w:p>
    <w:p>
      <w:pPr>
        <w:pStyle w:val="2"/>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sz w:val="32"/>
          <w:szCs w:val="32"/>
        </w:rPr>
      </w:pPr>
      <w:r>
        <w:rPr>
          <w:rFonts w:hint="default" w:ascii="Times New Roman" w:hAnsi="Times New Roman" w:eastAsia="仿宋_GB2312" w:cs="Times New Roman"/>
          <w:b w:val="0"/>
          <w:bCs w:val="0"/>
          <w:kern w:val="0"/>
          <w:sz w:val="32"/>
          <w:szCs w:val="32"/>
          <w:lang w:val="en-US" w:eastAsia="zh-CN" w:bidi="ar-SA"/>
        </w:rPr>
        <w:t>②资金分配合理性分值4分，实得4分。机关事业单位养老保险制度改革自2014年10月推行，改革的核心就是改革养老金计发办法，由过去简单的退休时工资打折的办法，改为与企业基本一致，待遇水平与缴费年限、缴费水平、退休年龄等多种因素挂钩。实行“老人老办法、新人新办法、中人逐步过渡办法”，实现待遇水平的平稳过渡、合理衔接。该项目资金分配完全按照相关规定进行待遇测算并据实发放，资金分配合理，符合要求。</w:t>
      </w:r>
    </w:p>
    <w:p>
      <w:pPr>
        <w:pStyle w:val="5"/>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cs="Times New Roman"/>
          <w:b w:val="0"/>
          <w:bCs w:val="0"/>
          <w:lang w:val="en-US" w:eastAsia="zh-CN"/>
        </w:rPr>
      </w:pPr>
      <w:bookmarkStart w:id="259" w:name="_Toc5161"/>
      <w:r>
        <w:rPr>
          <w:rFonts w:hint="default" w:ascii="Times New Roman" w:hAnsi="Times New Roman" w:cs="Times New Roman"/>
          <w:b w:val="0"/>
          <w:bCs w:val="0"/>
          <w:lang w:val="en-US" w:eastAsia="zh-CN"/>
        </w:rPr>
        <w:t>（二）项目过程情况</w:t>
      </w:r>
      <w:bookmarkEnd w:id="259"/>
    </w:p>
    <w:p>
      <w:pPr>
        <w:pStyle w:val="2"/>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rPr>
      </w:pPr>
      <w:r>
        <w:rPr>
          <w:rFonts w:hint="default" w:ascii="Times New Roman" w:hAnsi="Times New Roman" w:eastAsia="仿宋_GB2312" w:cs="Times New Roman"/>
          <w:b w:val="0"/>
          <w:bCs w:val="0"/>
          <w:kern w:val="0"/>
          <w:sz w:val="32"/>
          <w:szCs w:val="32"/>
          <w:lang w:val="en-US" w:eastAsia="zh-CN" w:bidi="ar-SA"/>
        </w:rPr>
        <w:t>过程指标满分为20分，分为两个二级指标：资金管理和组织实施，该项评价得分为16分，各项得分情况如表5：</w:t>
      </w:r>
    </w:p>
    <w:p>
      <w:pPr>
        <w:ind w:left="0" w:leftChars="0" w:firstLine="0" w:firstLineChars="0"/>
        <w:jc w:val="center"/>
        <w:rPr>
          <w:rFonts w:hint="default" w:ascii="Times New Roman" w:hAnsi="Times New Roman" w:eastAsia="方正小标宋_GBK" w:cs="Times New Roman"/>
          <w:b w:val="0"/>
          <w:bCs w:val="0"/>
          <w:sz w:val="32"/>
          <w:szCs w:val="32"/>
        </w:rPr>
      </w:pPr>
      <w:r>
        <w:rPr>
          <w:rFonts w:hint="default" w:ascii="Times New Roman" w:hAnsi="Times New Roman" w:eastAsia="方正小标宋_GBK" w:cs="Times New Roman"/>
          <w:b w:val="0"/>
          <w:bCs w:val="0"/>
          <w:sz w:val="32"/>
          <w:szCs w:val="32"/>
        </w:rPr>
        <w:t>表</w:t>
      </w:r>
      <w:r>
        <w:rPr>
          <w:rFonts w:hint="default" w:ascii="Times New Roman" w:hAnsi="Times New Roman" w:eastAsia="方正小标宋_GBK" w:cs="Times New Roman"/>
          <w:b w:val="0"/>
          <w:bCs w:val="0"/>
          <w:sz w:val="32"/>
          <w:szCs w:val="32"/>
          <w:lang w:val="en-US" w:eastAsia="zh-CN"/>
        </w:rPr>
        <w:t>5.</w:t>
      </w:r>
      <w:r>
        <w:rPr>
          <w:rFonts w:hint="default" w:ascii="Times New Roman" w:hAnsi="Times New Roman" w:eastAsia="方正小标宋_GBK" w:cs="Times New Roman"/>
          <w:b w:val="0"/>
          <w:bCs w:val="0"/>
          <w:sz w:val="32"/>
          <w:szCs w:val="32"/>
        </w:rPr>
        <w:t>过程指标得分情况</w:t>
      </w:r>
    </w:p>
    <w:tbl>
      <w:tblPr>
        <w:tblStyle w:val="22"/>
        <w:tblW w:w="8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0"/>
        <w:gridCol w:w="2932"/>
        <w:gridCol w:w="1599"/>
        <w:gridCol w:w="1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2330" w:type="dxa"/>
            <w:vAlign w:val="center"/>
          </w:tcPr>
          <w:p>
            <w:pPr>
              <w:ind w:firstLine="0" w:firstLineChars="0"/>
              <w:jc w:val="center"/>
              <w:rPr>
                <w:rFonts w:hint="default" w:ascii="Times New Roman" w:hAnsi="Times New Roman" w:eastAsia="黑体" w:cs="Times New Roman"/>
                <w:b w:val="0"/>
                <w:bCs w:val="0"/>
                <w:kern w:val="0"/>
                <w:sz w:val="21"/>
                <w:szCs w:val="21"/>
                <w:lang w:val="en-US" w:eastAsia="zh-CN" w:bidi="ar-SA"/>
              </w:rPr>
            </w:pPr>
            <w:r>
              <w:rPr>
                <w:rFonts w:hint="default" w:ascii="Times New Roman" w:hAnsi="Times New Roman" w:eastAsia="黑体" w:cs="Times New Roman"/>
                <w:b w:val="0"/>
                <w:bCs w:val="0"/>
                <w:kern w:val="0"/>
                <w:sz w:val="21"/>
                <w:szCs w:val="21"/>
                <w:lang w:val="en-US" w:eastAsia="zh-CN" w:bidi="ar-SA"/>
              </w:rPr>
              <w:t>二级指标</w:t>
            </w:r>
          </w:p>
        </w:tc>
        <w:tc>
          <w:tcPr>
            <w:tcW w:w="2932" w:type="dxa"/>
            <w:vAlign w:val="center"/>
          </w:tcPr>
          <w:p>
            <w:pPr>
              <w:ind w:firstLine="0" w:firstLineChars="0"/>
              <w:jc w:val="center"/>
              <w:rPr>
                <w:rFonts w:hint="default" w:ascii="Times New Roman" w:hAnsi="Times New Roman" w:eastAsia="黑体" w:cs="Times New Roman"/>
                <w:b w:val="0"/>
                <w:bCs w:val="0"/>
                <w:kern w:val="0"/>
                <w:sz w:val="21"/>
                <w:szCs w:val="21"/>
                <w:lang w:val="en-US" w:eastAsia="zh-CN" w:bidi="ar-SA"/>
              </w:rPr>
            </w:pPr>
            <w:r>
              <w:rPr>
                <w:rFonts w:hint="default" w:ascii="Times New Roman" w:hAnsi="Times New Roman" w:eastAsia="黑体" w:cs="Times New Roman"/>
                <w:b w:val="0"/>
                <w:bCs w:val="0"/>
                <w:kern w:val="0"/>
                <w:sz w:val="21"/>
                <w:szCs w:val="21"/>
                <w:lang w:val="en-US" w:eastAsia="zh-CN" w:bidi="ar-SA"/>
              </w:rPr>
              <w:t>三级指标</w:t>
            </w:r>
          </w:p>
        </w:tc>
        <w:tc>
          <w:tcPr>
            <w:tcW w:w="1599" w:type="dxa"/>
            <w:vAlign w:val="center"/>
          </w:tcPr>
          <w:p>
            <w:pPr>
              <w:ind w:firstLine="0" w:firstLineChars="0"/>
              <w:jc w:val="center"/>
              <w:rPr>
                <w:rFonts w:hint="default" w:ascii="Times New Roman" w:hAnsi="Times New Roman" w:eastAsia="黑体" w:cs="Times New Roman"/>
                <w:b w:val="0"/>
                <w:bCs w:val="0"/>
                <w:kern w:val="0"/>
                <w:sz w:val="21"/>
                <w:szCs w:val="21"/>
                <w:lang w:val="en-US" w:eastAsia="zh-CN" w:bidi="ar-SA"/>
              </w:rPr>
            </w:pPr>
            <w:r>
              <w:rPr>
                <w:rFonts w:hint="default" w:ascii="Times New Roman" w:hAnsi="Times New Roman" w:eastAsia="黑体" w:cs="Times New Roman"/>
                <w:b w:val="0"/>
                <w:bCs w:val="0"/>
                <w:kern w:val="0"/>
                <w:sz w:val="21"/>
                <w:szCs w:val="21"/>
                <w:lang w:val="en-US" w:eastAsia="zh-CN" w:bidi="ar-SA"/>
              </w:rPr>
              <w:t>分值</w:t>
            </w:r>
          </w:p>
        </w:tc>
        <w:tc>
          <w:tcPr>
            <w:tcW w:w="1597" w:type="dxa"/>
            <w:vAlign w:val="center"/>
          </w:tcPr>
          <w:p>
            <w:pPr>
              <w:ind w:firstLine="0" w:firstLineChars="0"/>
              <w:jc w:val="center"/>
              <w:rPr>
                <w:rFonts w:hint="default" w:ascii="Times New Roman" w:hAnsi="Times New Roman" w:eastAsia="黑体" w:cs="Times New Roman"/>
                <w:b w:val="0"/>
                <w:bCs w:val="0"/>
                <w:kern w:val="0"/>
                <w:sz w:val="21"/>
                <w:szCs w:val="21"/>
                <w:lang w:val="en-US" w:eastAsia="zh-CN" w:bidi="ar-SA"/>
              </w:rPr>
            </w:pPr>
            <w:r>
              <w:rPr>
                <w:rFonts w:hint="default" w:ascii="Times New Roman" w:hAnsi="Times New Roman" w:eastAsia="黑体" w:cs="Times New Roman"/>
                <w:b w:val="0"/>
                <w:bCs w:val="0"/>
                <w:kern w:val="0"/>
                <w:sz w:val="21"/>
                <w:szCs w:val="21"/>
                <w:lang w:val="en-US" w:eastAsia="zh-CN" w:bidi="ar-SA"/>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330" w:type="dxa"/>
            <w:vMerge w:val="restart"/>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资金管理</w:t>
            </w:r>
          </w:p>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（8分）</w:t>
            </w:r>
          </w:p>
        </w:tc>
        <w:tc>
          <w:tcPr>
            <w:tcW w:w="2932"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资金到位率</w:t>
            </w:r>
          </w:p>
        </w:tc>
        <w:tc>
          <w:tcPr>
            <w:tcW w:w="1599"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w:t>
            </w:r>
          </w:p>
        </w:tc>
        <w:tc>
          <w:tcPr>
            <w:tcW w:w="1597"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330" w:type="dxa"/>
            <w:vMerge w:val="continue"/>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p>
        </w:tc>
        <w:tc>
          <w:tcPr>
            <w:tcW w:w="2932"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预算执行率</w:t>
            </w:r>
          </w:p>
        </w:tc>
        <w:tc>
          <w:tcPr>
            <w:tcW w:w="1599"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w:t>
            </w:r>
          </w:p>
        </w:tc>
        <w:tc>
          <w:tcPr>
            <w:tcW w:w="1597"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330" w:type="dxa"/>
            <w:vMerge w:val="continue"/>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p>
        </w:tc>
        <w:tc>
          <w:tcPr>
            <w:tcW w:w="2932"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资金使用合规性</w:t>
            </w:r>
          </w:p>
        </w:tc>
        <w:tc>
          <w:tcPr>
            <w:tcW w:w="1599"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4</w:t>
            </w:r>
          </w:p>
        </w:tc>
        <w:tc>
          <w:tcPr>
            <w:tcW w:w="1597"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330" w:type="dxa"/>
            <w:vMerge w:val="restart"/>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组织实施</w:t>
            </w:r>
          </w:p>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（12分）</w:t>
            </w:r>
          </w:p>
        </w:tc>
        <w:tc>
          <w:tcPr>
            <w:tcW w:w="2932"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管理制度健全性</w:t>
            </w:r>
          </w:p>
        </w:tc>
        <w:tc>
          <w:tcPr>
            <w:tcW w:w="1599"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6</w:t>
            </w:r>
          </w:p>
        </w:tc>
        <w:tc>
          <w:tcPr>
            <w:tcW w:w="1597"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330" w:type="dxa"/>
            <w:vMerge w:val="continue"/>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p>
        </w:tc>
        <w:tc>
          <w:tcPr>
            <w:tcW w:w="2932"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制度执行有效性</w:t>
            </w:r>
          </w:p>
        </w:tc>
        <w:tc>
          <w:tcPr>
            <w:tcW w:w="1599"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6</w:t>
            </w:r>
          </w:p>
        </w:tc>
        <w:tc>
          <w:tcPr>
            <w:tcW w:w="1597"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5262" w:type="dxa"/>
            <w:gridSpan w:val="2"/>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合计</w:t>
            </w:r>
          </w:p>
        </w:tc>
        <w:tc>
          <w:tcPr>
            <w:tcW w:w="1599"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20</w:t>
            </w:r>
          </w:p>
        </w:tc>
        <w:tc>
          <w:tcPr>
            <w:tcW w:w="1597"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16</w:t>
            </w:r>
          </w:p>
        </w:tc>
      </w:tr>
    </w:tbl>
    <w:p>
      <w:pPr>
        <w:pStyle w:val="2"/>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（1）资金管理情况</w:t>
      </w:r>
    </w:p>
    <w:p>
      <w:pPr>
        <w:pStyle w:val="2"/>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①资金到位率分值2分，实得2分。综合项目单位提供业务资料及资金收支明细显示，项目单位2021年共征收机关事业单位养老保险费27807万元，发放养老金50796万元，总体收不抵支，每月需财政补贴约2000万元，财政局已经按照申请及时拨付到位，确保了养老金的按时发放。资金到位率符合要求。</w:t>
      </w:r>
    </w:p>
    <w:p>
      <w:pPr>
        <w:pStyle w:val="2"/>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②预算执行率分值2分，实得2分。通过查询公开发布的《济宁市兖州区2021年预算执行情况和2022年预算草案表》，其中，《2021年兖州区社会保险基金预算支出执行情况表》显示，机关事业单位基本养老保险基金支出2021年预算数为51944万元，实际执行数为51042万元。虽然执行数与预算数略有差异，但偏差较小，属于正常范围，且项目单位基本按照年初预算分解执行，项目执行情况整体良好。</w:t>
      </w:r>
    </w:p>
    <w:p>
      <w:pPr>
        <w:pStyle w:val="2"/>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③资金使用合规性分值4分，实得4分。按照《国务院关于机关事业单位工作人员养老保险制度改革的决定》（国发〔2015〕2号）、《人力资源社会保障部关于印发〈机关事业单位工作人员基本养老保险经办规程〉的通知》（人社部发〔2015〕32号）、《关于印发山东省机关事业单位工作人员养老保险制度改革实施办法的通知》（鲁人社发〔2015〕46号）、《关于确定机关事业单位养老保险缴费工资及待遇统筹项目的通知》（鲁人社办发〔2015〕78号）及《济宁市人民政府关于印发济宁市机关事业单位工作人员养老保险制度改革实施方案的通知》（济政发〔2015〕23号）等具体文件中相关分配方案和有关资金使用范围确定，项目各项支出均在上述政策规定范围内，资金使用符合规定。</w:t>
      </w:r>
    </w:p>
    <w:p>
      <w:pPr>
        <w:pStyle w:val="2"/>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组织实施情况</w:t>
      </w:r>
    </w:p>
    <w:p>
      <w:pPr>
        <w:pStyle w:val="2"/>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①管理制度健全性分值6分，实得4分。经沟通和研究分析相关政策文件了解到，本项目主要依据《国务院关于机关事业单位工作人员养老保险制度改革的决定》（国发〔2015〕2号）、《人力资源社会保障部关于印发〈机关事业单位工作人员基本养老保险经办规程〉的通知》（人社部发〔2015〕32号）等各级政府文件执行。虽然上述政策文件已经对相关具体工作进行了较为详细的安排，但项目单位未针对本地区实际情况及具体项目管理作进一步明确。经沟通确认，项目单位只是按照上述政策文件精神和要求开展有关工作，未进一步制订具体实施方案和专门的业务管理制度。综上，该项指标酌情扣分。</w:t>
      </w:r>
    </w:p>
    <w:p>
      <w:pPr>
        <w:pStyle w:val="2"/>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sz w:val="32"/>
          <w:szCs w:val="32"/>
        </w:rPr>
      </w:pPr>
      <w:r>
        <w:rPr>
          <w:rFonts w:hint="default" w:ascii="Times New Roman" w:hAnsi="Times New Roman" w:eastAsia="仿宋_GB2312" w:cs="Times New Roman"/>
          <w:b w:val="0"/>
          <w:bCs w:val="0"/>
          <w:kern w:val="0"/>
          <w:sz w:val="32"/>
          <w:szCs w:val="32"/>
          <w:lang w:val="en-US" w:eastAsia="zh-CN" w:bidi="ar-SA"/>
        </w:rPr>
        <w:t>②制度执行有效性分值6分，实得4分。如上所述，虽然上述政策文件已经对相关工作做了较为详细的安排，但对于具体项目管理和实施上未进一步明确。经沟通，项目单位只是按照上述政策文件精神和要求开展工作，未制订具体实施方案和专门的业务管理制度，故酌情扣分。</w:t>
      </w:r>
    </w:p>
    <w:p>
      <w:pPr>
        <w:pStyle w:val="5"/>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cs="Times New Roman"/>
          <w:b w:val="0"/>
          <w:bCs w:val="0"/>
          <w:lang w:val="en-US" w:eastAsia="zh-CN"/>
        </w:rPr>
      </w:pPr>
      <w:bookmarkStart w:id="260" w:name="_Toc13104"/>
      <w:r>
        <w:rPr>
          <w:rFonts w:hint="default" w:ascii="Times New Roman" w:hAnsi="Times New Roman" w:cs="Times New Roman"/>
          <w:b w:val="0"/>
          <w:bCs w:val="0"/>
          <w:lang w:val="en-US" w:eastAsia="zh-CN"/>
        </w:rPr>
        <w:t>（三）项目产出情况</w:t>
      </w:r>
      <w:bookmarkEnd w:id="260"/>
    </w:p>
    <w:p>
      <w:pPr>
        <w:pStyle w:val="2"/>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产出指标满分为30分，分为四个二级指标：产出数量、产出质量、产出时效和产出成本，该项评价得分为26分，各项得分情况如表6：</w:t>
      </w:r>
    </w:p>
    <w:p>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ind w:left="0" w:leftChars="0" w:firstLine="0" w:firstLineChars="0"/>
        <w:jc w:val="center"/>
        <w:textAlignment w:val="auto"/>
        <w:rPr>
          <w:rFonts w:hint="default" w:ascii="Times New Roman" w:hAnsi="Times New Roman" w:eastAsia="方正小标宋_GBK" w:cs="Times New Roman"/>
          <w:b w:val="0"/>
          <w:bCs w:val="0"/>
          <w:sz w:val="32"/>
          <w:szCs w:val="32"/>
        </w:rPr>
      </w:pPr>
      <w:r>
        <w:rPr>
          <w:rFonts w:hint="default" w:ascii="Times New Roman" w:hAnsi="Times New Roman" w:eastAsia="方正小标宋_GBK" w:cs="Times New Roman"/>
          <w:b w:val="0"/>
          <w:bCs w:val="0"/>
          <w:sz w:val="32"/>
          <w:szCs w:val="32"/>
        </w:rPr>
        <w:t>表</w:t>
      </w:r>
      <w:r>
        <w:rPr>
          <w:rFonts w:hint="default" w:ascii="Times New Roman" w:hAnsi="Times New Roman" w:eastAsia="方正小标宋_GBK" w:cs="Times New Roman"/>
          <w:b w:val="0"/>
          <w:bCs w:val="0"/>
          <w:sz w:val="32"/>
          <w:szCs w:val="32"/>
          <w:lang w:val="en-US" w:eastAsia="zh-CN"/>
        </w:rPr>
        <w:t>6.</w:t>
      </w:r>
      <w:r>
        <w:rPr>
          <w:rFonts w:hint="default" w:ascii="Times New Roman" w:hAnsi="Times New Roman" w:eastAsia="方正小标宋_GBK" w:cs="Times New Roman"/>
          <w:b w:val="0"/>
          <w:bCs w:val="0"/>
          <w:sz w:val="32"/>
          <w:szCs w:val="32"/>
        </w:rPr>
        <w:t>产出指标得分情况</w:t>
      </w:r>
    </w:p>
    <w:tbl>
      <w:tblPr>
        <w:tblStyle w:val="22"/>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6"/>
        <w:gridCol w:w="2954"/>
        <w:gridCol w:w="1610"/>
        <w:gridCol w:w="1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346" w:type="dxa"/>
            <w:vAlign w:val="bottom"/>
          </w:tcPr>
          <w:p>
            <w:pPr>
              <w:ind w:firstLine="0" w:firstLineChars="0"/>
              <w:jc w:val="center"/>
              <w:rPr>
                <w:rFonts w:hint="default" w:ascii="Times New Roman" w:hAnsi="Times New Roman" w:eastAsia="黑体" w:cs="Times New Roman"/>
                <w:b w:val="0"/>
                <w:bCs w:val="0"/>
                <w:kern w:val="0"/>
                <w:sz w:val="21"/>
                <w:szCs w:val="21"/>
                <w:lang w:val="en-US" w:eastAsia="zh-CN" w:bidi="ar-SA"/>
              </w:rPr>
            </w:pPr>
            <w:r>
              <w:rPr>
                <w:rFonts w:hint="default" w:ascii="Times New Roman" w:hAnsi="Times New Roman" w:eastAsia="黑体" w:cs="Times New Roman"/>
                <w:b w:val="0"/>
                <w:bCs w:val="0"/>
                <w:kern w:val="0"/>
                <w:sz w:val="21"/>
                <w:szCs w:val="21"/>
                <w:lang w:val="en-US" w:eastAsia="zh-CN" w:bidi="ar-SA"/>
              </w:rPr>
              <w:t>二级指标</w:t>
            </w:r>
          </w:p>
        </w:tc>
        <w:tc>
          <w:tcPr>
            <w:tcW w:w="2954" w:type="dxa"/>
            <w:vAlign w:val="bottom"/>
          </w:tcPr>
          <w:p>
            <w:pPr>
              <w:ind w:firstLine="0" w:firstLineChars="0"/>
              <w:jc w:val="center"/>
              <w:rPr>
                <w:rFonts w:hint="default" w:ascii="Times New Roman" w:hAnsi="Times New Roman" w:eastAsia="黑体" w:cs="Times New Roman"/>
                <w:b w:val="0"/>
                <w:bCs w:val="0"/>
                <w:kern w:val="0"/>
                <w:sz w:val="21"/>
                <w:szCs w:val="21"/>
                <w:lang w:val="en-US" w:eastAsia="zh-CN" w:bidi="ar-SA"/>
              </w:rPr>
            </w:pPr>
            <w:r>
              <w:rPr>
                <w:rFonts w:hint="default" w:ascii="Times New Roman" w:hAnsi="Times New Roman" w:eastAsia="黑体" w:cs="Times New Roman"/>
                <w:b w:val="0"/>
                <w:bCs w:val="0"/>
                <w:kern w:val="0"/>
                <w:sz w:val="21"/>
                <w:szCs w:val="21"/>
                <w:lang w:val="en-US" w:eastAsia="zh-CN" w:bidi="ar-SA"/>
              </w:rPr>
              <w:t>三级指标</w:t>
            </w:r>
          </w:p>
        </w:tc>
        <w:tc>
          <w:tcPr>
            <w:tcW w:w="1610" w:type="dxa"/>
            <w:vAlign w:val="bottom"/>
          </w:tcPr>
          <w:p>
            <w:pPr>
              <w:ind w:firstLine="0" w:firstLineChars="0"/>
              <w:jc w:val="center"/>
              <w:rPr>
                <w:rFonts w:hint="default" w:ascii="Times New Roman" w:hAnsi="Times New Roman" w:eastAsia="黑体" w:cs="Times New Roman"/>
                <w:b w:val="0"/>
                <w:bCs w:val="0"/>
                <w:kern w:val="0"/>
                <w:sz w:val="21"/>
                <w:szCs w:val="21"/>
                <w:lang w:val="en-US" w:eastAsia="zh-CN" w:bidi="ar-SA"/>
              </w:rPr>
            </w:pPr>
            <w:r>
              <w:rPr>
                <w:rFonts w:hint="default" w:ascii="Times New Roman" w:hAnsi="Times New Roman" w:eastAsia="黑体" w:cs="Times New Roman"/>
                <w:b w:val="0"/>
                <w:bCs w:val="0"/>
                <w:kern w:val="0"/>
                <w:sz w:val="21"/>
                <w:szCs w:val="21"/>
                <w:lang w:val="en-US" w:eastAsia="zh-CN" w:bidi="ar-SA"/>
              </w:rPr>
              <w:t>分值</w:t>
            </w:r>
          </w:p>
        </w:tc>
        <w:tc>
          <w:tcPr>
            <w:tcW w:w="1608" w:type="dxa"/>
            <w:vAlign w:val="bottom"/>
          </w:tcPr>
          <w:p>
            <w:pPr>
              <w:ind w:firstLine="0" w:firstLineChars="0"/>
              <w:jc w:val="center"/>
              <w:rPr>
                <w:rFonts w:hint="default" w:ascii="Times New Roman" w:hAnsi="Times New Roman" w:eastAsia="黑体" w:cs="Times New Roman"/>
                <w:b w:val="0"/>
                <w:bCs w:val="0"/>
                <w:kern w:val="0"/>
                <w:sz w:val="21"/>
                <w:szCs w:val="21"/>
                <w:lang w:val="en-US" w:eastAsia="zh-CN" w:bidi="ar-SA"/>
              </w:rPr>
            </w:pPr>
            <w:r>
              <w:rPr>
                <w:rFonts w:hint="default" w:ascii="Times New Roman" w:hAnsi="Times New Roman" w:eastAsia="黑体" w:cs="Times New Roman"/>
                <w:b w:val="0"/>
                <w:bCs w:val="0"/>
                <w:kern w:val="0"/>
                <w:sz w:val="21"/>
                <w:szCs w:val="21"/>
                <w:lang w:val="en-US" w:eastAsia="zh-CN" w:bidi="ar-SA"/>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346" w:type="dxa"/>
            <w:vAlign w:val="bottom"/>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产出数量（8分）</w:t>
            </w:r>
          </w:p>
        </w:tc>
        <w:tc>
          <w:tcPr>
            <w:tcW w:w="2954" w:type="dxa"/>
            <w:vAlign w:val="bottom"/>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实际完成率</w:t>
            </w:r>
          </w:p>
        </w:tc>
        <w:tc>
          <w:tcPr>
            <w:tcW w:w="1610" w:type="dxa"/>
            <w:vAlign w:val="bottom"/>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8</w:t>
            </w:r>
          </w:p>
        </w:tc>
        <w:tc>
          <w:tcPr>
            <w:tcW w:w="1608" w:type="dxa"/>
            <w:vAlign w:val="bottom"/>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346" w:type="dxa"/>
            <w:vAlign w:val="bottom"/>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产出质量（8分）</w:t>
            </w:r>
          </w:p>
        </w:tc>
        <w:tc>
          <w:tcPr>
            <w:tcW w:w="2954" w:type="dxa"/>
            <w:vAlign w:val="bottom"/>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质量达标率</w:t>
            </w:r>
          </w:p>
        </w:tc>
        <w:tc>
          <w:tcPr>
            <w:tcW w:w="1610" w:type="dxa"/>
            <w:vAlign w:val="bottom"/>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8</w:t>
            </w:r>
          </w:p>
        </w:tc>
        <w:tc>
          <w:tcPr>
            <w:tcW w:w="1608" w:type="dxa"/>
            <w:vAlign w:val="bottom"/>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346" w:type="dxa"/>
            <w:vAlign w:val="bottom"/>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产出时效（8分）</w:t>
            </w:r>
          </w:p>
        </w:tc>
        <w:tc>
          <w:tcPr>
            <w:tcW w:w="2954" w:type="dxa"/>
            <w:vAlign w:val="bottom"/>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完成及时性</w:t>
            </w:r>
          </w:p>
        </w:tc>
        <w:tc>
          <w:tcPr>
            <w:tcW w:w="1610" w:type="dxa"/>
            <w:vAlign w:val="bottom"/>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8</w:t>
            </w:r>
          </w:p>
        </w:tc>
        <w:tc>
          <w:tcPr>
            <w:tcW w:w="1608" w:type="dxa"/>
            <w:vAlign w:val="bottom"/>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346" w:type="dxa"/>
            <w:vAlign w:val="bottom"/>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产出成本（6分）</w:t>
            </w:r>
          </w:p>
        </w:tc>
        <w:tc>
          <w:tcPr>
            <w:tcW w:w="2954" w:type="dxa"/>
            <w:vAlign w:val="bottom"/>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成本节约率</w:t>
            </w:r>
          </w:p>
        </w:tc>
        <w:tc>
          <w:tcPr>
            <w:tcW w:w="1610" w:type="dxa"/>
            <w:vAlign w:val="bottom"/>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6</w:t>
            </w:r>
          </w:p>
        </w:tc>
        <w:tc>
          <w:tcPr>
            <w:tcW w:w="1608" w:type="dxa"/>
            <w:vAlign w:val="bottom"/>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300" w:type="dxa"/>
            <w:gridSpan w:val="2"/>
            <w:vAlign w:val="bottom"/>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合计</w:t>
            </w:r>
          </w:p>
        </w:tc>
        <w:tc>
          <w:tcPr>
            <w:tcW w:w="1610" w:type="dxa"/>
            <w:vAlign w:val="bottom"/>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30</w:t>
            </w:r>
          </w:p>
        </w:tc>
        <w:tc>
          <w:tcPr>
            <w:tcW w:w="1608" w:type="dxa"/>
            <w:vAlign w:val="bottom"/>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26</w:t>
            </w:r>
          </w:p>
        </w:tc>
      </w:tr>
    </w:tbl>
    <w:p>
      <w:pPr>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（1）产出数量</w:t>
      </w:r>
    </w:p>
    <w:p>
      <w:pPr>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实际完成率分值8分，实得6分。通过查询公开发布的《济宁市兖州区2021年预算执行情况和2022年预算草案表》，其中，《2021年兖州区社会保险基金预算支出执行情况表》显示，机关事业单位基本养老保险基金支出2021年预算数为51944万元，实际执行数为51042万元。通过查看项目相关资料结合支出明细明确，机关事业单位基本养老保险领取人数基本符合预估，保障了退休人员及时领取养老金，实际完成情况较好。但通过查看项目单位提供的绩效自评表发现，项目单位未及时更新实际领取人数和参保人数，相关指标和数据与年初申报表完全一样，不能很好地反应项目实际完成率，故该项指标酌情扣分。</w:t>
      </w:r>
    </w:p>
    <w:p>
      <w:pPr>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（2）产出质量</w:t>
      </w:r>
    </w:p>
    <w:p>
      <w:pPr>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质量达标率分值8分，实得6分。通过查看项目资料明确，项目整体完成较好，基本能够达到预期效果，受益对象满意度较高。但如上所述，通过查看项目单位提供的绩效自评表发现，项目单位未及时更新实际领取人数和参保人数，相关指标和数据与年初申报表完全一样，不能很好地反应项目质量，故该项指标酌情扣分。</w:t>
      </w:r>
    </w:p>
    <w:p>
      <w:pPr>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（3）产出时效</w:t>
      </w:r>
    </w:p>
    <w:p>
      <w:pPr>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完成及时率分值8分，实得8分。根据项目单位提供的情况说明结合相关支出明细，济宁市兖州区社会保险服务中心2021年征收机关事业单位养老保险费27807万元，发放养老金50796万元，每月缺口金额均由项目单位及时向财政局申请了财政补贴，财政局按照申请及时拨付到位，确保了该项养老金的按时足额发放。</w:t>
      </w:r>
    </w:p>
    <w:p>
      <w:pPr>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（4）产出成本</w:t>
      </w:r>
    </w:p>
    <w:p>
      <w:pPr>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sz w:val="32"/>
          <w:szCs w:val="32"/>
        </w:rPr>
      </w:pPr>
      <w:r>
        <w:rPr>
          <w:rFonts w:hint="default" w:ascii="Times New Roman" w:hAnsi="Times New Roman" w:eastAsia="仿宋_GB2312" w:cs="Times New Roman"/>
          <w:b w:val="0"/>
          <w:bCs w:val="0"/>
          <w:kern w:val="0"/>
          <w:sz w:val="32"/>
          <w:szCs w:val="32"/>
          <w:lang w:val="en-US" w:eastAsia="zh-CN" w:bidi="ar-SA"/>
        </w:rPr>
        <w:t>成本节约率分值6分，实得6分。兖州区机关事业单位基本养老保险基金支出2021年预算数为51944万元，实际执行数为51042万元。项目单位基本按照年初预算分解执行，虽然每年按照政策要求退休人员待遇都有小幅增加，但这都是国家政策使然，此项应考虑其特殊性。整体来看，兖州区机关事业单位基本养老保险基金支出成本控制在预算金额内，产出成本符合要求。</w:t>
      </w:r>
    </w:p>
    <w:p>
      <w:pPr>
        <w:pStyle w:val="5"/>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cs="Times New Roman"/>
          <w:b w:val="0"/>
          <w:bCs w:val="0"/>
          <w:lang w:val="en-US" w:eastAsia="zh-CN"/>
        </w:rPr>
      </w:pPr>
      <w:bookmarkStart w:id="261" w:name="_Toc5355"/>
      <w:r>
        <w:rPr>
          <w:rFonts w:hint="default" w:ascii="Times New Roman" w:hAnsi="Times New Roman" w:cs="Times New Roman"/>
          <w:b w:val="0"/>
          <w:bCs w:val="0"/>
          <w:lang w:val="en-US" w:eastAsia="zh-CN"/>
        </w:rPr>
        <w:t>（四）项目效益情况</w:t>
      </w:r>
      <w:bookmarkEnd w:id="261"/>
    </w:p>
    <w:p>
      <w:pPr>
        <w:pageBreakBefore w:val="0"/>
        <w:widowControl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rPr>
      </w:pPr>
      <w:r>
        <w:rPr>
          <w:rFonts w:hint="default" w:ascii="Times New Roman" w:hAnsi="Times New Roman" w:eastAsia="仿宋_GB2312" w:cs="Times New Roman"/>
          <w:b w:val="0"/>
          <w:bCs w:val="0"/>
          <w:kern w:val="0"/>
          <w:sz w:val="32"/>
          <w:szCs w:val="32"/>
          <w:lang w:val="en-US" w:eastAsia="zh-CN" w:bidi="ar-SA"/>
        </w:rPr>
        <w:t>项目绩效指标满分为30分，包含项目效益一个二级指标，三个三级指标：社会效益、可持续影响和服务对象满意度，该项评价得分为28分，各项得分情况情况如表7：</w:t>
      </w:r>
    </w:p>
    <w:p>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ind w:left="0" w:leftChars="0" w:firstLine="0" w:firstLineChars="0"/>
        <w:jc w:val="center"/>
        <w:textAlignment w:val="auto"/>
        <w:rPr>
          <w:rFonts w:hint="default" w:ascii="Times New Roman" w:hAnsi="Times New Roman" w:eastAsia="方正小标宋_GBK" w:cs="Times New Roman"/>
          <w:b w:val="0"/>
          <w:bCs w:val="0"/>
          <w:sz w:val="32"/>
          <w:szCs w:val="32"/>
        </w:rPr>
      </w:pPr>
      <w:r>
        <w:rPr>
          <w:rFonts w:hint="default" w:ascii="Times New Roman" w:hAnsi="Times New Roman" w:eastAsia="方正小标宋_GBK" w:cs="Times New Roman"/>
          <w:b w:val="0"/>
          <w:bCs w:val="0"/>
          <w:sz w:val="32"/>
          <w:szCs w:val="32"/>
        </w:rPr>
        <w:t>表</w:t>
      </w:r>
      <w:r>
        <w:rPr>
          <w:rFonts w:hint="default" w:ascii="Times New Roman" w:hAnsi="Times New Roman" w:eastAsia="方正小标宋_GBK" w:cs="Times New Roman"/>
          <w:b w:val="0"/>
          <w:bCs w:val="0"/>
          <w:sz w:val="32"/>
          <w:szCs w:val="32"/>
          <w:lang w:val="en-US" w:eastAsia="zh-CN"/>
        </w:rPr>
        <w:t>7.</w:t>
      </w:r>
      <w:r>
        <w:rPr>
          <w:rFonts w:hint="default" w:ascii="Times New Roman" w:hAnsi="Times New Roman" w:eastAsia="方正小标宋_GBK" w:cs="Times New Roman"/>
          <w:b w:val="0"/>
          <w:bCs w:val="0"/>
          <w:sz w:val="32"/>
          <w:szCs w:val="32"/>
        </w:rPr>
        <w:t>效益指标得分情况</w:t>
      </w:r>
    </w:p>
    <w:tbl>
      <w:tblPr>
        <w:tblStyle w:val="2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3266"/>
        <w:gridCol w:w="1638"/>
        <w:gridCol w:w="1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979" w:type="dxa"/>
            <w:vAlign w:val="center"/>
          </w:tcPr>
          <w:p>
            <w:pPr>
              <w:ind w:firstLine="0" w:firstLineChars="0"/>
              <w:jc w:val="center"/>
              <w:rPr>
                <w:rFonts w:hint="default" w:ascii="Times New Roman" w:hAnsi="Times New Roman" w:eastAsia="黑体" w:cs="Times New Roman"/>
                <w:b w:val="0"/>
                <w:bCs w:val="0"/>
                <w:kern w:val="0"/>
                <w:sz w:val="21"/>
                <w:szCs w:val="21"/>
                <w:lang w:val="en-US" w:eastAsia="zh-CN" w:bidi="ar-SA"/>
              </w:rPr>
            </w:pPr>
            <w:r>
              <w:rPr>
                <w:rFonts w:hint="default" w:ascii="Times New Roman" w:hAnsi="Times New Roman" w:eastAsia="黑体" w:cs="Times New Roman"/>
                <w:b w:val="0"/>
                <w:bCs w:val="0"/>
                <w:kern w:val="0"/>
                <w:sz w:val="21"/>
                <w:szCs w:val="21"/>
                <w:lang w:val="en-US" w:eastAsia="zh-CN" w:bidi="ar-SA"/>
              </w:rPr>
              <w:t>二级指标</w:t>
            </w:r>
          </w:p>
        </w:tc>
        <w:tc>
          <w:tcPr>
            <w:tcW w:w="3266" w:type="dxa"/>
            <w:vAlign w:val="center"/>
          </w:tcPr>
          <w:p>
            <w:pPr>
              <w:ind w:firstLine="0" w:firstLineChars="0"/>
              <w:jc w:val="center"/>
              <w:rPr>
                <w:rFonts w:hint="default" w:ascii="Times New Roman" w:hAnsi="Times New Roman" w:eastAsia="黑体" w:cs="Times New Roman"/>
                <w:b w:val="0"/>
                <w:bCs w:val="0"/>
                <w:kern w:val="0"/>
                <w:sz w:val="21"/>
                <w:szCs w:val="21"/>
                <w:lang w:val="en-US" w:eastAsia="zh-CN" w:bidi="ar-SA"/>
              </w:rPr>
            </w:pPr>
            <w:r>
              <w:rPr>
                <w:rFonts w:hint="default" w:ascii="Times New Roman" w:hAnsi="Times New Roman" w:eastAsia="黑体" w:cs="Times New Roman"/>
                <w:b w:val="0"/>
                <w:bCs w:val="0"/>
                <w:kern w:val="0"/>
                <w:sz w:val="21"/>
                <w:szCs w:val="21"/>
                <w:lang w:val="en-US" w:eastAsia="zh-CN" w:bidi="ar-SA"/>
              </w:rPr>
              <w:t>三级指标</w:t>
            </w:r>
          </w:p>
        </w:tc>
        <w:tc>
          <w:tcPr>
            <w:tcW w:w="1638" w:type="dxa"/>
            <w:vAlign w:val="center"/>
          </w:tcPr>
          <w:p>
            <w:pPr>
              <w:ind w:firstLine="0" w:firstLineChars="0"/>
              <w:jc w:val="center"/>
              <w:rPr>
                <w:rFonts w:hint="default" w:ascii="Times New Roman" w:hAnsi="Times New Roman" w:eastAsia="黑体" w:cs="Times New Roman"/>
                <w:b w:val="0"/>
                <w:bCs w:val="0"/>
                <w:kern w:val="0"/>
                <w:sz w:val="21"/>
                <w:szCs w:val="21"/>
                <w:lang w:val="en-US" w:eastAsia="zh-CN" w:bidi="ar-SA"/>
              </w:rPr>
            </w:pPr>
            <w:r>
              <w:rPr>
                <w:rFonts w:hint="default" w:ascii="Times New Roman" w:hAnsi="Times New Roman" w:eastAsia="黑体" w:cs="Times New Roman"/>
                <w:b w:val="0"/>
                <w:bCs w:val="0"/>
                <w:kern w:val="0"/>
                <w:sz w:val="21"/>
                <w:szCs w:val="21"/>
                <w:lang w:val="en-US" w:eastAsia="zh-CN" w:bidi="ar-SA"/>
              </w:rPr>
              <w:t>分值</w:t>
            </w:r>
          </w:p>
        </w:tc>
        <w:tc>
          <w:tcPr>
            <w:tcW w:w="1639" w:type="dxa"/>
            <w:vAlign w:val="center"/>
          </w:tcPr>
          <w:p>
            <w:pPr>
              <w:ind w:firstLine="0" w:firstLineChars="0"/>
              <w:jc w:val="center"/>
              <w:rPr>
                <w:rFonts w:hint="default" w:ascii="Times New Roman" w:hAnsi="Times New Roman" w:eastAsia="黑体" w:cs="Times New Roman"/>
                <w:b w:val="0"/>
                <w:bCs w:val="0"/>
                <w:kern w:val="0"/>
                <w:sz w:val="21"/>
                <w:szCs w:val="21"/>
                <w:lang w:val="en-US" w:eastAsia="zh-CN" w:bidi="ar-SA"/>
              </w:rPr>
            </w:pPr>
            <w:r>
              <w:rPr>
                <w:rFonts w:hint="default" w:ascii="Times New Roman" w:hAnsi="Times New Roman" w:eastAsia="黑体" w:cs="Times New Roman"/>
                <w:b w:val="0"/>
                <w:bCs w:val="0"/>
                <w:kern w:val="0"/>
                <w:sz w:val="21"/>
                <w:szCs w:val="21"/>
                <w:lang w:val="en-US" w:eastAsia="zh-CN" w:bidi="ar-SA"/>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1979" w:type="dxa"/>
            <w:vMerge w:val="restart"/>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项目效益（30分）</w:t>
            </w:r>
          </w:p>
        </w:tc>
        <w:tc>
          <w:tcPr>
            <w:tcW w:w="3266"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社会效益（10分）</w:t>
            </w:r>
          </w:p>
        </w:tc>
        <w:tc>
          <w:tcPr>
            <w:tcW w:w="1638"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10</w:t>
            </w:r>
          </w:p>
        </w:tc>
        <w:tc>
          <w:tcPr>
            <w:tcW w:w="1639"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979" w:type="dxa"/>
            <w:vMerge w:val="continue"/>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p>
        </w:tc>
        <w:tc>
          <w:tcPr>
            <w:tcW w:w="3266"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可持续影响（10分）</w:t>
            </w:r>
          </w:p>
        </w:tc>
        <w:tc>
          <w:tcPr>
            <w:tcW w:w="1638"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10</w:t>
            </w:r>
          </w:p>
        </w:tc>
        <w:tc>
          <w:tcPr>
            <w:tcW w:w="1639"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1979" w:type="dxa"/>
            <w:vMerge w:val="continue"/>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p>
        </w:tc>
        <w:tc>
          <w:tcPr>
            <w:tcW w:w="3266"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服务对象满意度（10分）</w:t>
            </w:r>
          </w:p>
        </w:tc>
        <w:tc>
          <w:tcPr>
            <w:tcW w:w="1638"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10</w:t>
            </w:r>
          </w:p>
        </w:tc>
        <w:tc>
          <w:tcPr>
            <w:tcW w:w="1639"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5245" w:type="dxa"/>
            <w:gridSpan w:val="2"/>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合计</w:t>
            </w:r>
          </w:p>
        </w:tc>
        <w:tc>
          <w:tcPr>
            <w:tcW w:w="1638"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30</w:t>
            </w:r>
          </w:p>
        </w:tc>
        <w:tc>
          <w:tcPr>
            <w:tcW w:w="1639" w:type="dxa"/>
            <w:vAlign w:val="center"/>
          </w:tcPr>
          <w:p>
            <w:pPr>
              <w:ind w:firstLine="0" w:firstLineChars="0"/>
              <w:jc w:val="center"/>
              <w:rPr>
                <w:rFonts w:hint="default" w:ascii="Times New Roman" w:hAnsi="Times New Roman" w:eastAsia="仿宋_GB2312" w:cs="Times New Roman"/>
                <w:b w:val="0"/>
                <w:bCs w:val="0"/>
                <w:kern w:val="0"/>
                <w:sz w:val="21"/>
                <w:szCs w:val="21"/>
                <w:lang w:val="en-US" w:eastAsia="zh-CN" w:bidi="ar-SA"/>
              </w:rPr>
            </w:pPr>
            <w:r>
              <w:rPr>
                <w:rFonts w:hint="default" w:ascii="Times New Roman" w:hAnsi="Times New Roman" w:eastAsia="仿宋_GB2312" w:cs="Times New Roman"/>
                <w:b w:val="0"/>
                <w:bCs w:val="0"/>
                <w:kern w:val="0"/>
                <w:sz w:val="21"/>
                <w:szCs w:val="21"/>
                <w:lang w:val="en-US" w:eastAsia="zh-CN" w:bidi="ar-SA"/>
              </w:rPr>
              <w:t>28</w:t>
            </w:r>
          </w:p>
        </w:tc>
      </w:tr>
    </w:tbl>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1）社会效益指标分值10分，实得10分。首先，通过建立养老保险的制度，有利于劳动力群体的正常代际更替，老年人年老退休，新成长劳动力顺利就业，保证就业结构的合理化。其次，养老保险为老年人提供了基本生活保障，使老年人老有所养。随着人口老龄化的到来，老年人口的比例越来越大，人数也越来越多，养老保险保障了老年劳动者的基本生活，等于保障了社会相当部分人口的基本生活。对于在职劳动者而言，参加养老保险，意味着对将来年老后的生活有了预期，免除了后顾之忧，从社会心态来说，人们多了稳定、少了浮躁，有利于社会稳定。再次，养老保险制度将公平与效率挂钩，尤其是部分积累和完全积累的养老金筹集模式。劳动者退休后领取养老金的数额，与其在职劳动期间的工资收入、缴费多少有直接的联系，这无疑能够产生一种缴励劳动者的职期间积极劳动，提高效率。总之，养老金的及时足额发放对于保障退休人员生活、促进社会和谐稳定、提高人民群众幸福感和获得感具有显著影响，实施好相关工作所带来的社会效益是显著的。</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2）可持续影响指标分值10分，实得8分。2015年1月，国务院国发〔2015〕2号文件出台，明确从2014年10月1日起实行机关事业单位工作人员养老保险制度改革。此项改革意义重大：一是有利于统筹推进城乡养老保障体系建设，建立更加公平、可持续的养老保险制度。二是有利于促进机关事业单位深化改革，推动人力资源合理流动。三是有利于全面体现工作人员的劳动贡献，激发工作人员干事创业热情。四是有利于逐步化解“待遇差”矛盾，实现制度公平、规则公平。机关事业单位养老保险制度改革后，实行与企业相同的制度模式和政策，体现了制度公平、规则公平，能够逐步化解群体间因制度不统一、办法不一样导致对养老保险待遇差距引发的矛盾。养老金的及时足额发放对于保障退休人员生活、促进社会和谐稳定、提高人民群众幸福感和获得感具有显著影响，政策延续性强，效果显著，项目实施的可持续影响深远，但鉴于项目总结工作不足，此项酌情扣分。</w:t>
      </w:r>
    </w:p>
    <w:p>
      <w:pPr>
        <w:pageBreakBefore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3）服务对象满意度指标分值10分，实得10分。根据问卷调查反馈的结果显示，相关政策的实施对于保障退休人员生活、促进社会和谐稳定、提高人民群众幸福感和获得感方面等具有积极作用，受益对象对该项政策及执行普遍较为满意。</w:t>
      </w:r>
    </w:p>
    <w:p>
      <w:pPr>
        <w:pStyle w:val="3"/>
        <w:pageBreakBefore w:val="0"/>
        <w:kinsoku/>
        <w:wordWrap/>
        <w:overflowPunct/>
        <w:topLinePunct w:val="0"/>
        <w:autoSpaceDE/>
        <w:autoSpaceDN/>
        <w:bidi w:val="0"/>
        <w:adjustRightInd/>
        <w:snapToGrid/>
        <w:spacing w:line="600" w:lineRule="exact"/>
        <w:textAlignment w:val="auto"/>
        <w:rPr>
          <w:rFonts w:hint="default" w:ascii="Times New Roman" w:hAnsi="Times New Roman" w:cs="Times New Roman"/>
          <w:b w:val="0"/>
          <w:bCs w:val="0"/>
          <w:lang w:val="en-US" w:eastAsia="zh-CN"/>
        </w:rPr>
      </w:pPr>
      <w:bookmarkStart w:id="262" w:name="_Toc25526"/>
      <w:r>
        <w:rPr>
          <w:rFonts w:hint="default" w:ascii="Times New Roman" w:hAnsi="Times New Roman" w:cs="Times New Roman"/>
          <w:b w:val="0"/>
          <w:bCs w:val="0"/>
          <w:lang w:val="en-US" w:eastAsia="zh-CN"/>
        </w:rPr>
        <w:t>六、取得的成效</w:t>
      </w:r>
      <w:bookmarkEnd w:id="262"/>
    </w:p>
    <w:p>
      <w:pPr>
        <w:pStyle w:val="5"/>
        <w:pageBreakBefore w:val="0"/>
        <w:kinsoku/>
        <w:wordWrap/>
        <w:overflowPunct/>
        <w:topLinePunct w:val="0"/>
        <w:autoSpaceDE/>
        <w:autoSpaceDN/>
        <w:bidi w:val="0"/>
        <w:adjustRightInd/>
        <w:snapToGrid/>
        <w:spacing w:line="600" w:lineRule="exact"/>
        <w:textAlignment w:val="auto"/>
        <w:rPr>
          <w:rFonts w:hint="default" w:ascii="Times New Roman" w:hAnsi="Times New Roman" w:cs="Times New Roman"/>
          <w:b w:val="0"/>
          <w:bCs w:val="0"/>
          <w:lang w:val="en-US" w:eastAsia="zh-CN"/>
        </w:rPr>
      </w:pPr>
      <w:bookmarkStart w:id="263" w:name="_Toc18962"/>
      <w:bookmarkStart w:id="264" w:name="_Toc1193"/>
      <w:r>
        <w:rPr>
          <w:rFonts w:hint="default" w:ascii="Times New Roman" w:hAnsi="Times New Roman" w:cs="Times New Roman"/>
          <w:b w:val="0"/>
          <w:bCs w:val="0"/>
          <w:lang w:val="en-US" w:eastAsia="zh-CN"/>
        </w:rPr>
        <w:t>（一）建立基本养老金正常调整机制</w:t>
      </w:r>
      <w:bookmarkEnd w:id="263"/>
      <w:bookmarkEnd w:id="264"/>
    </w:p>
    <w:p>
      <w:pPr>
        <w:pageBreakBefore w:val="0"/>
        <w:kinsoku/>
        <w:wordWrap/>
        <w:overflowPunct/>
        <w:topLinePunct w:val="0"/>
        <w:autoSpaceDE/>
        <w:autoSpaceDN/>
        <w:bidi w:val="0"/>
        <w:adjustRightInd/>
        <w:snapToGrid/>
        <w:spacing w:line="600" w:lineRule="exact"/>
        <w:textAlignment w:val="auto"/>
        <w:rPr>
          <w:rFonts w:hint="default" w:ascii="Times New Roman" w:hAnsi="Times New Roman" w:cs="Times New Roman"/>
          <w:b w:val="0"/>
          <w:bCs w:val="0"/>
          <w:lang w:val="en-US" w:eastAsia="zh-CN"/>
        </w:rPr>
      </w:pPr>
      <w:r>
        <w:rPr>
          <w:rFonts w:hint="default" w:ascii="Times New Roman" w:hAnsi="Times New Roman" w:eastAsia="仿宋_GB2312" w:cs="Times New Roman"/>
          <w:b w:val="0"/>
          <w:bCs w:val="0"/>
          <w:kern w:val="0"/>
          <w:sz w:val="32"/>
          <w:szCs w:val="32"/>
          <w:lang w:val="en-US" w:eastAsia="zh-CN" w:bidi="ar-SA"/>
        </w:rPr>
        <w:t>根据职工工资增长和物价变动等情况，统筹安排机关事业单位和企业退休人员的基本养老金调整，逐步建立兼顾各类人员的养老保险待遇正常调整机制，分享经济社会发展成果，保障退休人员基本生活。</w:t>
      </w:r>
    </w:p>
    <w:p>
      <w:pPr>
        <w:pStyle w:val="5"/>
        <w:pageBreakBefore w:val="0"/>
        <w:kinsoku/>
        <w:wordWrap/>
        <w:overflowPunct/>
        <w:topLinePunct w:val="0"/>
        <w:autoSpaceDE/>
        <w:autoSpaceDN/>
        <w:bidi w:val="0"/>
        <w:adjustRightInd/>
        <w:snapToGrid/>
        <w:spacing w:line="600" w:lineRule="exact"/>
        <w:textAlignment w:val="auto"/>
        <w:rPr>
          <w:rFonts w:hint="default" w:ascii="Times New Roman" w:hAnsi="Times New Roman" w:cs="Times New Roman"/>
          <w:b w:val="0"/>
          <w:bCs w:val="0"/>
          <w:lang w:val="en-US" w:eastAsia="zh-CN"/>
        </w:rPr>
      </w:pPr>
      <w:bookmarkStart w:id="265" w:name="_Toc21176"/>
      <w:bookmarkStart w:id="266" w:name="_Toc24727"/>
      <w:r>
        <w:rPr>
          <w:rFonts w:hint="default" w:ascii="Times New Roman" w:hAnsi="Times New Roman" w:cs="Times New Roman"/>
          <w:b w:val="0"/>
          <w:bCs w:val="0"/>
          <w:lang w:val="en-US" w:eastAsia="zh-CN"/>
        </w:rPr>
        <w:t>（二）加强基金管理和监督</w:t>
      </w:r>
      <w:bookmarkEnd w:id="265"/>
      <w:bookmarkEnd w:id="266"/>
    </w:p>
    <w:p>
      <w:pPr>
        <w:pageBreakBefore w:val="0"/>
        <w:kinsoku/>
        <w:wordWrap/>
        <w:overflowPunct/>
        <w:topLinePunct w:val="0"/>
        <w:autoSpaceDE/>
        <w:autoSpaceDN/>
        <w:bidi w:val="0"/>
        <w:adjustRightInd/>
        <w:snapToGrid/>
        <w:spacing w:line="600" w:lineRule="exact"/>
        <w:textAlignment w:val="auto"/>
        <w:rPr>
          <w:rFonts w:hint="default" w:ascii="Times New Roman" w:hAnsi="Times New Roman" w:cs="Times New Roman"/>
          <w:b w:val="0"/>
          <w:bCs w:val="0"/>
          <w:lang w:val="en-US" w:eastAsia="zh-CN"/>
        </w:rPr>
      </w:pPr>
      <w:r>
        <w:rPr>
          <w:rFonts w:hint="default" w:ascii="Times New Roman" w:hAnsi="Times New Roman" w:eastAsia="仿宋_GB2312" w:cs="Times New Roman"/>
          <w:b w:val="0"/>
          <w:bCs w:val="0"/>
          <w:kern w:val="0"/>
          <w:sz w:val="32"/>
          <w:szCs w:val="32"/>
          <w:lang w:val="en-US" w:eastAsia="zh-CN" w:bidi="ar-SA"/>
        </w:rPr>
        <w:t>建立健全基本养老保险基金省级统筹；暂不具备条件的，可先实行省级基金调剂制度，明确各级人民政府征收、管理和支付的责任。机关事业单位基本养老保险基金单独建账，与企业职工基本养老保险基金分别管理使用。基金实行严格的预算管理，纳入社会保障基金财政专户，实行收支两条线管理，专款专用。依法加强基金监管，确保基金安全。</w:t>
      </w:r>
    </w:p>
    <w:p>
      <w:pPr>
        <w:pStyle w:val="5"/>
        <w:pageBreakBefore w:val="0"/>
        <w:kinsoku/>
        <w:wordWrap/>
        <w:overflowPunct/>
        <w:topLinePunct w:val="0"/>
        <w:autoSpaceDE/>
        <w:autoSpaceDN/>
        <w:bidi w:val="0"/>
        <w:adjustRightInd/>
        <w:snapToGrid/>
        <w:spacing w:line="600" w:lineRule="exact"/>
        <w:textAlignment w:val="auto"/>
        <w:rPr>
          <w:rFonts w:hint="default" w:ascii="Times New Roman" w:hAnsi="Times New Roman" w:cs="Times New Roman"/>
          <w:b w:val="0"/>
          <w:bCs w:val="0"/>
          <w:lang w:val="en-US" w:eastAsia="zh-CN"/>
        </w:rPr>
      </w:pPr>
      <w:bookmarkStart w:id="267" w:name="_Toc11643"/>
      <w:bookmarkStart w:id="268" w:name="_Toc10691"/>
      <w:r>
        <w:rPr>
          <w:rFonts w:hint="default" w:ascii="Times New Roman" w:hAnsi="Times New Roman" w:cs="Times New Roman"/>
          <w:b w:val="0"/>
          <w:bCs w:val="0"/>
          <w:lang w:val="en-US" w:eastAsia="zh-CN"/>
        </w:rPr>
        <w:t>（三）建立健全确保养老金发放的筹资机制</w:t>
      </w:r>
      <w:bookmarkEnd w:id="267"/>
      <w:bookmarkEnd w:id="268"/>
    </w:p>
    <w:p>
      <w:pPr>
        <w:pageBreakBefore w:val="0"/>
        <w:kinsoku/>
        <w:wordWrap/>
        <w:overflowPunct/>
        <w:topLinePunct w:val="0"/>
        <w:autoSpaceDE/>
        <w:autoSpaceDN/>
        <w:bidi w:val="0"/>
        <w:adjustRightInd/>
        <w:snapToGrid/>
        <w:spacing w:line="600" w:lineRule="exact"/>
        <w:textAlignment w:val="auto"/>
        <w:rPr>
          <w:rFonts w:hint="default" w:ascii="Times New Roman" w:hAnsi="Times New Roman" w:cs="Times New Roman"/>
          <w:b w:val="0"/>
          <w:bCs w:val="0"/>
          <w:lang w:val="en-US" w:eastAsia="zh-CN"/>
        </w:rPr>
      </w:pPr>
      <w:r>
        <w:rPr>
          <w:rFonts w:hint="default" w:ascii="Times New Roman" w:hAnsi="Times New Roman" w:eastAsia="仿宋_GB2312" w:cs="Times New Roman"/>
          <w:b w:val="0"/>
          <w:bCs w:val="0"/>
          <w:kern w:val="0"/>
          <w:sz w:val="32"/>
          <w:szCs w:val="32"/>
          <w:lang w:val="en-US" w:eastAsia="zh-CN" w:bidi="ar-SA"/>
        </w:rPr>
        <w:t>机关事业单位及其工作人员应按规定及时足额缴纳养老保险费。各级社会保险征缴机构应切实加强基金征缴，做到应收尽收。各级政府应积极调整和优化财政支出结构，加大社会保障资金投入，确保基本养老金按时足额发放，同时为建立职业年金制度提供相应的经费保障，确保机关事业单位养老保险制度改革平稳推进。</w:t>
      </w:r>
    </w:p>
    <w:p>
      <w:pPr>
        <w:pStyle w:val="5"/>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b w:val="0"/>
          <w:bCs w:val="0"/>
          <w:lang w:val="en-US" w:eastAsia="zh-CN"/>
        </w:rPr>
      </w:pPr>
      <w:bookmarkStart w:id="269" w:name="_Toc9497"/>
      <w:bookmarkStart w:id="270" w:name="_Toc24378"/>
      <w:r>
        <w:rPr>
          <w:rFonts w:hint="default" w:ascii="Times New Roman" w:hAnsi="Times New Roman" w:cs="Times New Roman"/>
          <w:b w:val="0"/>
          <w:bCs w:val="0"/>
          <w:lang w:val="en-US" w:eastAsia="zh-CN"/>
        </w:rPr>
        <w:t>（四）逐步实行社会化管理服务</w:t>
      </w:r>
      <w:bookmarkEnd w:id="269"/>
      <w:bookmarkEnd w:id="270"/>
    </w:p>
    <w:p>
      <w:pPr>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b w:val="0"/>
          <w:bCs w:val="0"/>
          <w:lang w:val="en-US" w:eastAsia="zh-CN"/>
        </w:rPr>
      </w:pPr>
      <w:r>
        <w:rPr>
          <w:rFonts w:hint="default" w:ascii="Times New Roman" w:hAnsi="Times New Roman" w:eastAsia="仿宋_GB2312" w:cs="Times New Roman"/>
          <w:b w:val="0"/>
          <w:bCs w:val="0"/>
          <w:kern w:val="0"/>
          <w:sz w:val="32"/>
          <w:szCs w:val="32"/>
          <w:lang w:val="en-US" w:eastAsia="zh-CN" w:bidi="ar-SA"/>
        </w:rPr>
        <w:t>提高机关事业单位社会保险社会化管理服务水平，普遍发放全国统一的社会保障卡，实行基本养老金社会化发放。加强街道、社区人力资源社会保障工作平台建设，加快老年服务设施和服务网络建设，为退休人员提供方便快捷的服务。提高社会保险经办管理水平。</w:t>
      </w:r>
    </w:p>
    <w:p>
      <w:pPr>
        <w:pStyle w:val="5"/>
        <w:pageBreakBefore w:val="0"/>
        <w:kinsoku/>
        <w:wordWrap/>
        <w:overflowPunct/>
        <w:topLinePunct w:val="0"/>
        <w:autoSpaceDE/>
        <w:autoSpaceDN/>
        <w:bidi w:val="0"/>
        <w:adjustRightInd/>
        <w:snapToGrid/>
        <w:spacing w:line="600" w:lineRule="exact"/>
        <w:textAlignment w:val="auto"/>
        <w:rPr>
          <w:rFonts w:hint="default" w:ascii="Times New Roman" w:hAnsi="Times New Roman" w:cs="Times New Roman"/>
          <w:b w:val="0"/>
          <w:bCs w:val="0"/>
          <w:lang w:val="en-US" w:eastAsia="zh-CN"/>
        </w:rPr>
      </w:pPr>
      <w:bookmarkStart w:id="271" w:name="_Toc4456"/>
      <w:bookmarkStart w:id="272" w:name="_Toc30565"/>
      <w:r>
        <w:rPr>
          <w:rFonts w:hint="default" w:ascii="Times New Roman" w:hAnsi="Times New Roman" w:cs="Times New Roman"/>
          <w:b w:val="0"/>
          <w:bCs w:val="0"/>
          <w:lang w:val="en-US" w:eastAsia="zh-CN"/>
        </w:rPr>
        <w:t>（五）加强组织领导</w:t>
      </w:r>
      <w:bookmarkEnd w:id="271"/>
      <w:bookmarkEnd w:id="272"/>
    </w:p>
    <w:p>
      <w:pPr>
        <w:pageBreakBefore w:val="0"/>
        <w:kinsoku/>
        <w:wordWrap/>
        <w:overflowPunct/>
        <w:topLinePunct w:val="0"/>
        <w:autoSpaceDE/>
        <w:autoSpaceDN/>
        <w:bidi w:val="0"/>
        <w:adjustRightInd/>
        <w:snapToGrid/>
        <w:spacing w:line="600" w:lineRule="exact"/>
        <w:textAlignment w:val="auto"/>
        <w:rPr>
          <w:rFonts w:hint="default" w:ascii="Times New Roman" w:hAnsi="Times New Roman" w:cs="Times New Roman"/>
          <w:b w:val="0"/>
          <w:bCs w:val="0"/>
          <w:lang w:val="en-US" w:eastAsia="zh-CN"/>
        </w:rPr>
      </w:pPr>
      <w:r>
        <w:rPr>
          <w:rFonts w:hint="default" w:ascii="Times New Roman" w:hAnsi="Times New Roman" w:eastAsia="仿宋_GB2312" w:cs="Times New Roman"/>
          <w:b w:val="0"/>
          <w:bCs w:val="0"/>
          <w:kern w:val="0"/>
          <w:sz w:val="32"/>
          <w:szCs w:val="32"/>
          <w:lang w:val="en-US" w:eastAsia="zh-CN" w:bidi="ar-SA"/>
        </w:rPr>
        <w:t>改革机关事业单位工作人员养老保险制度，直接关系广大机关事业单位工作人员的切身利益，是一项涉及面广、政策性强的工作。各地区、各部门要充分认识改革工作的重大意义，切实加强领导，精心组织实施，向机关事业单位工作人员和社会各界准确解读改革的目标和政策，正确引导舆论，确保此项改革顺利进行。</w:t>
      </w:r>
    </w:p>
    <w:p>
      <w:pPr>
        <w:pStyle w:val="3"/>
        <w:pageBreakBefore w:val="0"/>
        <w:kinsoku/>
        <w:wordWrap/>
        <w:overflowPunct/>
        <w:topLinePunct w:val="0"/>
        <w:autoSpaceDE/>
        <w:autoSpaceDN/>
        <w:bidi w:val="0"/>
        <w:adjustRightInd/>
        <w:snapToGrid/>
        <w:spacing w:line="600" w:lineRule="exact"/>
        <w:textAlignment w:val="auto"/>
        <w:rPr>
          <w:rFonts w:hint="default" w:ascii="Times New Roman" w:hAnsi="Times New Roman" w:eastAsia="黑体" w:cs="Times New Roman"/>
          <w:b w:val="0"/>
          <w:bCs w:val="0"/>
          <w:szCs w:val="32"/>
          <w:lang w:val="en-US" w:eastAsia="zh-CN"/>
        </w:rPr>
      </w:pPr>
      <w:bookmarkStart w:id="273" w:name="_Toc8837"/>
      <w:r>
        <w:rPr>
          <w:rFonts w:hint="default" w:ascii="Times New Roman" w:hAnsi="Times New Roman" w:cs="Times New Roman"/>
          <w:b w:val="0"/>
          <w:bCs w:val="0"/>
          <w:lang w:val="en-US" w:eastAsia="zh-CN"/>
        </w:rPr>
        <w:t>七</w:t>
      </w:r>
      <w:r>
        <w:rPr>
          <w:rFonts w:hint="default" w:ascii="Times New Roman" w:hAnsi="Times New Roman" w:cs="Times New Roman"/>
          <w:b w:val="0"/>
          <w:bCs w:val="0"/>
        </w:rPr>
        <w:t>、存在的问题</w:t>
      </w:r>
      <w:bookmarkEnd w:id="253"/>
      <w:bookmarkEnd w:id="254"/>
      <w:bookmarkEnd w:id="255"/>
      <w:bookmarkEnd w:id="256"/>
      <w:r>
        <w:rPr>
          <w:rFonts w:hint="default" w:ascii="Times New Roman" w:hAnsi="Times New Roman" w:cs="Times New Roman"/>
          <w:b w:val="0"/>
          <w:bCs w:val="0"/>
          <w:lang w:val="en-US" w:eastAsia="zh-CN"/>
        </w:rPr>
        <w:t>及原因分析</w:t>
      </w:r>
      <w:bookmarkEnd w:id="273"/>
    </w:p>
    <w:p>
      <w:pPr>
        <w:pStyle w:val="5"/>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楷体" w:cs="Times New Roman"/>
          <w:b w:val="0"/>
          <w:bCs w:val="0"/>
          <w:kern w:val="0"/>
          <w:sz w:val="32"/>
          <w:szCs w:val="32"/>
        </w:rPr>
      </w:pPr>
      <w:bookmarkStart w:id="274" w:name="_Toc24860"/>
      <w:bookmarkStart w:id="275" w:name="_Toc17603"/>
      <w:bookmarkStart w:id="276" w:name="_Toc11852"/>
      <w:r>
        <w:rPr>
          <w:rFonts w:hint="default" w:ascii="Times New Roman" w:hAnsi="Times New Roman" w:eastAsia="楷体" w:cs="Times New Roman"/>
          <w:b w:val="0"/>
          <w:bCs w:val="0"/>
          <w:kern w:val="0"/>
          <w:sz w:val="32"/>
          <w:szCs w:val="32"/>
        </w:rPr>
        <w:t>（一）绩效管理流于形式</w:t>
      </w:r>
      <w:bookmarkEnd w:id="274"/>
      <w:bookmarkEnd w:id="275"/>
      <w:bookmarkEnd w:id="276"/>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sz w:val="32"/>
          <w:szCs w:val="32"/>
        </w:rPr>
      </w:pPr>
      <w:bookmarkStart w:id="277" w:name="_Toc25650540"/>
      <w:bookmarkStart w:id="278" w:name="_Toc24374867"/>
      <w:bookmarkStart w:id="279" w:name="_Toc24374226"/>
      <w:r>
        <w:rPr>
          <w:rFonts w:hint="default" w:ascii="Times New Roman" w:hAnsi="Times New Roman" w:eastAsia="仿宋_GB2312" w:cs="Times New Roman"/>
          <w:b w:val="0"/>
          <w:bCs w:val="0"/>
          <w:kern w:val="0"/>
          <w:sz w:val="32"/>
          <w:szCs w:val="32"/>
          <w:lang w:val="en-US" w:eastAsia="zh-CN" w:bidi="ar-SA"/>
        </w:rPr>
        <w:t>项目单位提供的《机关事业养老保险财政补贴项目绩效目标申报表》显示，虽然各项内容都进行了相应填写，但填写明显不够规范，较为敷衍。比如，“测算依据及说明”填写不正确，未列明与测算相关的政策依据；“项目单位职能概述”过于简单笼统；“项目概况、主要内容及用途”描述过于简单，不能全面反映项目情况；“项目立项依据”和“项目申报的可行性和必要性”重复且与需要填写内容不符；“项目年度绩效目标”未根据项目实际情况进行详细描述，不能体现项目应该达到的既定目标；未体现项目长期绩效目标；数量指标缺少相应单位，等等。另外绩效自评表中项目单位未及时更新实际领取人数和参保人数，相关指标和数据与年初申报表完全一样，不能很好地反应项目实际完成率。综上，项目单位及相关业务人员的绩效管理意识有待加强，相关工作仍有进一步完善和提高的空间。</w:t>
      </w:r>
    </w:p>
    <w:p>
      <w:pPr>
        <w:pStyle w:val="5"/>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楷体" w:cs="Times New Roman"/>
          <w:b w:val="0"/>
          <w:bCs w:val="0"/>
          <w:kern w:val="0"/>
          <w:sz w:val="32"/>
          <w:szCs w:val="32"/>
        </w:rPr>
      </w:pPr>
      <w:bookmarkStart w:id="280" w:name="_Toc29097"/>
      <w:bookmarkStart w:id="281" w:name="_Toc18931"/>
      <w:bookmarkStart w:id="282" w:name="_Toc11070"/>
      <w:r>
        <w:rPr>
          <w:rFonts w:hint="default" w:ascii="Times New Roman" w:hAnsi="Times New Roman" w:eastAsia="楷体" w:cs="Times New Roman"/>
          <w:b w:val="0"/>
          <w:bCs w:val="0"/>
          <w:kern w:val="0"/>
          <w:sz w:val="32"/>
          <w:szCs w:val="32"/>
        </w:rPr>
        <w:t>（二）预算管理工作不足</w:t>
      </w:r>
      <w:bookmarkEnd w:id="280"/>
      <w:bookmarkEnd w:id="281"/>
      <w:bookmarkEnd w:id="282"/>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sz w:val="32"/>
          <w:szCs w:val="32"/>
        </w:rPr>
      </w:pPr>
      <w:r>
        <w:rPr>
          <w:rFonts w:hint="default" w:ascii="Times New Roman" w:hAnsi="Times New Roman" w:eastAsia="仿宋_GB2312" w:cs="Times New Roman"/>
          <w:b w:val="0"/>
          <w:bCs w:val="0"/>
          <w:kern w:val="0"/>
          <w:sz w:val="32"/>
          <w:szCs w:val="32"/>
          <w:lang w:val="en-US" w:eastAsia="zh-CN" w:bidi="ar-SA"/>
        </w:rPr>
        <w:t>评价工作过程中，项目单位未能提供预算编制的详细说明，对于养老金总体支出和缺口补贴金额只是大体根据往年发放情况做了简单估计，对于退休人员增减变动情况、个人待遇和调整等相关测算没有相应数据支撑和测算说明，预算管理工作不到位。</w:t>
      </w:r>
    </w:p>
    <w:p>
      <w:pPr>
        <w:pStyle w:val="5"/>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楷体" w:cs="Times New Roman"/>
          <w:b w:val="0"/>
          <w:bCs w:val="0"/>
          <w:kern w:val="0"/>
          <w:sz w:val="32"/>
          <w:szCs w:val="32"/>
        </w:rPr>
      </w:pPr>
      <w:bookmarkStart w:id="283" w:name="_Toc17593"/>
      <w:bookmarkStart w:id="284" w:name="_Toc18108"/>
      <w:bookmarkStart w:id="285" w:name="_Toc25659"/>
      <w:r>
        <w:rPr>
          <w:rFonts w:hint="default" w:ascii="Times New Roman" w:hAnsi="Times New Roman" w:eastAsia="楷体" w:cs="Times New Roman"/>
          <w:b w:val="0"/>
          <w:bCs w:val="0"/>
          <w:kern w:val="0"/>
          <w:sz w:val="32"/>
          <w:szCs w:val="32"/>
        </w:rPr>
        <w:t>（三）制度建设等工作重视程度不够</w:t>
      </w:r>
      <w:bookmarkEnd w:id="283"/>
      <w:bookmarkEnd w:id="284"/>
      <w:bookmarkEnd w:id="285"/>
    </w:p>
    <w:p>
      <w:pPr>
        <w:pStyle w:val="2"/>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本项目主要依据《国务院关于机关事业单位工作人员养老保险制度改革的决定》（国发〔2015〕2号）、《人力资源社会保障部关于印发〈机关事业单位工作人员基本养老保险经办规程〉的通知》（人社部发〔2015〕32号）等各级政府文件执行。虽然上述政策文件已经对相关具体工作进行了较为详细的安排，但项目单位未针对本地区实际情况及具体项目管理作进一步明确，也未进一步制订具体实施方案和专门的业务管理制度。另外，该项目工作计划与总结不到位，降低了项目执行的预见性和计划性，不利于项目的顺利实施。</w:t>
      </w:r>
    </w:p>
    <w:p>
      <w:pPr>
        <w:pStyle w:val="3"/>
        <w:pageBreakBefore w:val="0"/>
        <w:kinsoku/>
        <w:wordWrap/>
        <w:overflowPunct/>
        <w:topLinePunct w:val="0"/>
        <w:autoSpaceDE/>
        <w:autoSpaceDN/>
        <w:bidi w:val="0"/>
        <w:adjustRightInd/>
        <w:snapToGrid/>
        <w:spacing w:line="600" w:lineRule="exact"/>
        <w:textAlignment w:val="auto"/>
        <w:rPr>
          <w:rFonts w:hint="default" w:ascii="Times New Roman" w:hAnsi="Times New Roman" w:cs="Times New Roman"/>
          <w:b w:val="0"/>
          <w:bCs w:val="0"/>
        </w:rPr>
      </w:pPr>
      <w:bookmarkStart w:id="286" w:name="_Toc31512"/>
      <w:r>
        <w:rPr>
          <w:rFonts w:hint="default" w:ascii="Times New Roman" w:hAnsi="Times New Roman" w:cs="Times New Roman"/>
          <w:b w:val="0"/>
          <w:bCs w:val="0"/>
          <w:lang w:val="en-US" w:eastAsia="zh-CN"/>
        </w:rPr>
        <w:t>八</w:t>
      </w:r>
      <w:r>
        <w:rPr>
          <w:rFonts w:hint="default" w:ascii="Times New Roman" w:hAnsi="Times New Roman" w:cs="Times New Roman"/>
          <w:b w:val="0"/>
          <w:bCs w:val="0"/>
        </w:rPr>
        <w:t>、有关建议</w:t>
      </w:r>
      <w:bookmarkEnd w:id="277"/>
      <w:bookmarkEnd w:id="278"/>
      <w:bookmarkEnd w:id="279"/>
      <w:bookmarkEnd w:id="286"/>
    </w:p>
    <w:p>
      <w:pPr>
        <w:pStyle w:val="5"/>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楷体" w:cs="Times New Roman"/>
          <w:b w:val="0"/>
          <w:bCs w:val="0"/>
          <w:kern w:val="0"/>
          <w:sz w:val="32"/>
          <w:szCs w:val="32"/>
        </w:rPr>
      </w:pPr>
      <w:bookmarkStart w:id="287" w:name="_Toc23433"/>
      <w:bookmarkStart w:id="288" w:name="_Toc14332"/>
      <w:bookmarkStart w:id="289" w:name="_Toc20494"/>
      <w:bookmarkStart w:id="290" w:name="_Toc25650541"/>
      <w:r>
        <w:rPr>
          <w:rFonts w:hint="default" w:ascii="Times New Roman" w:hAnsi="Times New Roman" w:eastAsia="楷体" w:cs="Times New Roman"/>
          <w:b w:val="0"/>
          <w:bCs w:val="0"/>
          <w:kern w:val="0"/>
          <w:sz w:val="32"/>
          <w:szCs w:val="32"/>
        </w:rPr>
        <w:t>（一）提高绩效管理意识与能力</w:t>
      </w:r>
      <w:bookmarkEnd w:id="287"/>
      <w:bookmarkEnd w:id="288"/>
      <w:bookmarkEnd w:id="289"/>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sz w:val="32"/>
          <w:szCs w:val="32"/>
        </w:rPr>
      </w:pPr>
      <w:r>
        <w:rPr>
          <w:rFonts w:hint="default" w:ascii="Times New Roman" w:hAnsi="Times New Roman" w:eastAsia="仿宋_GB2312" w:cs="Times New Roman"/>
          <w:b w:val="0"/>
          <w:bCs w:val="0"/>
          <w:kern w:val="0"/>
          <w:sz w:val="32"/>
          <w:szCs w:val="32"/>
          <w:lang w:val="en-US" w:eastAsia="zh-CN" w:bidi="ar-SA"/>
        </w:rPr>
        <w:t>加强部门工作人员的全面预算绩效管理的培训，特别是对项目支出的全过程、部门整体预算绩效管理的相关内容进行培训。让主要领导和相关工作人员认识到该项工作的重要性。同时，加强财政支出项目绩效评价结果反馈、应用、落实，避免绩效评价搞形式走过场。项目在立项申报、审批时就应明确项目的预期绩效目标以及能体现绩效目标的具体绩效指标，且绩效指标尽量细化和量化。财政部门应将预算绩效目标填报与预算安排下达挂钩，从深层次地解决绩效目标填报不认真、流于形式的问题，全面提升绩效管理水平。</w:t>
      </w:r>
    </w:p>
    <w:bookmarkEnd w:id="290"/>
    <w:p>
      <w:pPr>
        <w:pStyle w:val="5"/>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楷体" w:cs="Times New Roman"/>
          <w:b w:val="0"/>
          <w:bCs w:val="0"/>
          <w:kern w:val="0"/>
          <w:sz w:val="32"/>
          <w:szCs w:val="32"/>
        </w:rPr>
      </w:pPr>
      <w:bookmarkStart w:id="291" w:name="_Toc6384"/>
      <w:bookmarkStart w:id="292" w:name="_Toc8515"/>
      <w:bookmarkStart w:id="293" w:name="_Toc25721"/>
      <w:r>
        <w:rPr>
          <w:rFonts w:hint="default" w:ascii="Times New Roman" w:hAnsi="Times New Roman" w:eastAsia="楷体" w:cs="Times New Roman"/>
          <w:b w:val="0"/>
          <w:bCs w:val="0"/>
          <w:kern w:val="0"/>
          <w:sz w:val="32"/>
          <w:szCs w:val="32"/>
        </w:rPr>
        <w:t>（二）强化预算管理工作</w:t>
      </w:r>
      <w:bookmarkEnd w:id="291"/>
      <w:bookmarkEnd w:id="292"/>
      <w:bookmarkEnd w:id="293"/>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cs="Times New Roman"/>
          <w:b w:val="0"/>
          <w:bCs w:val="0"/>
          <w:sz w:val="32"/>
          <w:szCs w:val="32"/>
        </w:rPr>
      </w:pPr>
      <w:r>
        <w:rPr>
          <w:rFonts w:hint="default" w:ascii="Times New Roman" w:hAnsi="Times New Roman" w:eastAsia="仿宋_GB2312" w:cs="Times New Roman"/>
          <w:b w:val="0"/>
          <w:bCs w:val="0"/>
          <w:kern w:val="0"/>
          <w:sz w:val="32"/>
          <w:szCs w:val="32"/>
          <w:lang w:val="en-US" w:eastAsia="zh-CN" w:bidi="ar-SA"/>
        </w:rPr>
        <w:t>建议项目单位加强预算管理相关工作，在编制年初预算时，对于与本项目类似的延续性项目支出进行更为细致的预算分解与测算，提高预算工作的精细化、规范化和制度化。切实强化预算在规范政府收支行为中的应有作用，进一步强化预算约束。财政部门应加强对预算管理工作的监督和指导，建立健全全面规范、公开透明的预算制度。</w:t>
      </w:r>
    </w:p>
    <w:p>
      <w:pPr>
        <w:pStyle w:val="5"/>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楷体" w:cs="Times New Roman"/>
          <w:b w:val="0"/>
          <w:bCs w:val="0"/>
          <w:kern w:val="0"/>
          <w:sz w:val="32"/>
          <w:szCs w:val="32"/>
        </w:rPr>
      </w:pPr>
      <w:bookmarkStart w:id="294" w:name="_Toc28930"/>
      <w:bookmarkStart w:id="295" w:name="_Toc22663"/>
      <w:bookmarkStart w:id="296" w:name="_Toc18509"/>
      <w:r>
        <w:rPr>
          <w:rFonts w:hint="default" w:ascii="Times New Roman" w:hAnsi="Times New Roman" w:eastAsia="楷体" w:cs="Times New Roman"/>
          <w:b w:val="0"/>
          <w:bCs w:val="0"/>
          <w:kern w:val="0"/>
          <w:sz w:val="32"/>
          <w:szCs w:val="32"/>
        </w:rPr>
        <w:t>（三）加强制度建设和规范管理</w:t>
      </w:r>
      <w:bookmarkEnd w:id="294"/>
      <w:bookmarkEnd w:id="295"/>
      <w:bookmarkEnd w:id="296"/>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针对相关工作，项目单位应结合上级政策文件与本地区实际进行统筹谋划，加强自身制度建设，在政策执行上需充分考虑本地区自身特点和差异，对本地区实际情况及具体项目管理作进一步明确和细化，增强项目的预见性和计划性，确保项目顺利实施。另外，重视项目总结工作，对于项目执行中出现的问题和不足及时进行分析和调整，在日常工作中及时进行阶段性总结和回顾，将相关经验进一步应用于未来的工作中。</w:t>
      </w:r>
    </w:p>
    <w:p>
      <w:pPr>
        <w:pStyle w:val="3"/>
        <w:pageBreakBefore w:val="0"/>
        <w:kinsoku/>
        <w:wordWrap/>
        <w:overflowPunct/>
        <w:topLinePunct w:val="0"/>
        <w:autoSpaceDE/>
        <w:autoSpaceDN/>
        <w:bidi w:val="0"/>
        <w:adjustRightInd/>
        <w:snapToGrid/>
        <w:spacing w:line="600" w:lineRule="exact"/>
        <w:textAlignment w:val="auto"/>
        <w:rPr>
          <w:rFonts w:hint="default" w:ascii="Times New Roman" w:hAnsi="Times New Roman" w:cs="Times New Roman"/>
          <w:b w:val="0"/>
          <w:bCs w:val="0"/>
          <w:lang w:val="en-US" w:eastAsia="zh-CN"/>
        </w:rPr>
      </w:pPr>
      <w:bookmarkStart w:id="297" w:name="_Toc8957"/>
      <w:r>
        <w:rPr>
          <w:rFonts w:hint="default" w:ascii="Times New Roman" w:hAnsi="Times New Roman" w:cs="Times New Roman"/>
          <w:b w:val="0"/>
          <w:bCs w:val="0"/>
          <w:lang w:val="en-US" w:eastAsia="zh-CN"/>
        </w:rPr>
        <w:t>九、其他需要说明的问题</w:t>
      </w:r>
      <w:bookmarkEnd w:id="297"/>
    </w:p>
    <w:p>
      <w:pPr>
        <w:pageBreakBefore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无</w:t>
      </w: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p>
    <w:p>
      <w:pPr>
        <w:pageBreakBefore w:val="0"/>
        <w:kinsoku/>
        <w:wordWrap/>
        <w:overflowPunct/>
        <w:topLinePunct w:val="0"/>
        <w:autoSpaceDE/>
        <w:autoSpaceDN/>
        <w:bidi w:val="0"/>
        <w:adjustRightInd/>
        <w:snapToGrid/>
        <w:spacing w:line="600" w:lineRule="exact"/>
        <w:ind w:firstLine="54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附件：1.绩效评价得分表</w:t>
      </w:r>
    </w:p>
    <w:p>
      <w:pPr>
        <w:pageBreakBefore w:val="0"/>
        <w:kinsoku/>
        <w:wordWrap/>
        <w:overflowPunct/>
        <w:topLinePunct w:val="0"/>
        <w:autoSpaceDE/>
        <w:autoSpaceDN/>
        <w:bidi w:val="0"/>
        <w:adjustRightInd/>
        <w:snapToGrid/>
        <w:spacing w:line="600" w:lineRule="exact"/>
        <w:ind w:firstLine="1600" w:firstLineChars="500"/>
        <w:textAlignment w:val="auto"/>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val="0"/>
          <w:kern w:val="0"/>
          <w:sz w:val="32"/>
          <w:szCs w:val="32"/>
          <w:lang w:val="en-US" w:eastAsia="zh-CN" w:bidi="ar-SA"/>
        </w:rPr>
        <w:t>2.问题清单</w:t>
      </w:r>
    </w:p>
    <w:p>
      <w:pPr>
        <w:pageBreakBefore w:val="0"/>
        <w:kinsoku/>
        <w:wordWrap/>
        <w:overflowPunct/>
        <w:topLinePunct w:val="0"/>
        <w:autoSpaceDE/>
        <w:autoSpaceDN/>
        <w:bidi w:val="0"/>
        <w:adjustRightInd/>
        <w:snapToGrid/>
        <w:spacing w:line="600" w:lineRule="exact"/>
        <w:ind w:firstLine="1600" w:firstLineChars="500"/>
        <w:textAlignment w:val="auto"/>
        <w:rPr>
          <w:rFonts w:hint="default" w:ascii="Times New Roman" w:hAnsi="Times New Roman" w:cs="Times New Roman"/>
          <w:b w:val="0"/>
          <w:bCs w:val="0"/>
        </w:rPr>
      </w:pPr>
      <w:r>
        <w:rPr>
          <w:rFonts w:hint="default" w:ascii="Times New Roman" w:hAnsi="Times New Roman" w:eastAsia="仿宋_GB2312" w:cs="Times New Roman"/>
          <w:b w:val="0"/>
          <w:bCs w:val="0"/>
          <w:kern w:val="0"/>
          <w:sz w:val="32"/>
          <w:szCs w:val="32"/>
          <w:lang w:val="en-US" w:eastAsia="zh-CN" w:bidi="ar-SA"/>
        </w:rPr>
        <w:t>3.调查分析报告</w:t>
      </w:r>
    </w:p>
    <w:p>
      <w:pPr>
        <w:pStyle w:val="2"/>
        <w:ind w:firstLine="0" w:firstLineChars="0"/>
        <w:rPr>
          <w:rFonts w:hint="default" w:ascii="Times New Roman" w:hAnsi="Times New Roman" w:cs="Times New Roman"/>
          <w:b w:val="0"/>
          <w:bCs w:val="0"/>
        </w:rPr>
        <w:sectPr>
          <w:footerReference r:id="rId14" w:type="default"/>
          <w:footnotePr>
            <w:numFmt w:val="decimalEnclosedCircleChinese"/>
            <w:numRestart w:val="eachPage"/>
          </w:footnotePr>
          <w:pgSz w:w="11905" w:h="16838"/>
          <w:pgMar w:top="1587" w:right="1587" w:bottom="1587" w:left="1587" w:header="851" w:footer="992" w:gutter="0"/>
          <w:pgNumType w:fmt="decimal" w:start="1"/>
          <w:cols w:space="0" w:num="1"/>
          <w:rtlGutter w:val="0"/>
          <w:docGrid w:type="lines" w:linePitch="312" w:charSpace="0"/>
        </w:sectPr>
      </w:pPr>
    </w:p>
    <w:p>
      <w:pPr>
        <w:pStyle w:val="3"/>
        <w:ind w:firstLine="600"/>
        <w:outlineLvl w:val="1"/>
        <w:rPr>
          <w:rFonts w:hint="default" w:ascii="Times New Roman" w:hAnsi="Times New Roman" w:eastAsia="方正小标宋_GBK" w:cs="Times New Roman"/>
          <w:b w:val="0"/>
          <w:bCs w:val="0"/>
        </w:rPr>
      </w:pPr>
      <w:bookmarkStart w:id="298" w:name="_Toc27888_WPSOffice_Level1"/>
      <w:bookmarkStart w:id="299" w:name="_Toc24374868"/>
      <w:bookmarkStart w:id="300" w:name="_Toc25650546"/>
      <w:bookmarkStart w:id="301" w:name="_Toc24311772"/>
      <w:bookmarkStart w:id="302" w:name="_Toc24374227"/>
      <w:bookmarkStart w:id="303" w:name="_Toc10103"/>
      <w:r>
        <w:rPr>
          <w:rFonts w:hint="default" w:ascii="Times New Roman" w:hAnsi="Times New Roman" w:eastAsia="方正小标宋_GBK" w:cs="Times New Roman"/>
          <w:b w:val="0"/>
          <w:bCs w:val="0"/>
        </w:rPr>
        <w:t>附</w:t>
      </w:r>
      <w:r>
        <w:rPr>
          <w:rFonts w:hint="default" w:ascii="Times New Roman" w:hAnsi="Times New Roman" w:eastAsia="方正小标宋_GBK" w:cs="Times New Roman"/>
          <w:b w:val="0"/>
          <w:bCs w:val="0"/>
          <w:lang w:val="en-US" w:eastAsia="zh-CN"/>
        </w:rPr>
        <w:t>件</w:t>
      </w:r>
      <w:r>
        <w:rPr>
          <w:rFonts w:hint="default" w:ascii="Times New Roman" w:hAnsi="Times New Roman" w:eastAsia="方正小标宋_GBK" w:cs="Times New Roman"/>
          <w:b w:val="0"/>
          <w:bCs w:val="0"/>
        </w:rPr>
        <w:t>1：绩效评价</w:t>
      </w:r>
      <w:bookmarkEnd w:id="298"/>
      <w:bookmarkEnd w:id="299"/>
      <w:bookmarkEnd w:id="300"/>
      <w:bookmarkEnd w:id="301"/>
      <w:bookmarkEnd w:id="302"/>
      <w:r>
        <w:rPr>
          <w:rFonts w:hint="default" w:ascii="Times New Roman" w:hAnsi="Times New Roman" w:eastAsia="方正小标宋_GBK" w:cs="Times New Roman"/>
          <w:b w:val="0"/>
          <w:bCs w:val="0"/>
        </w:rPr>
        <w:t>得分表</w:t>
      </w:r>
      <w:bookmarkEnd w:id="303"/>
    </w:p>
    <w:tbl>
      <w:tblPr>
        <w:tblStyle w:val="21"/>
        <w:tblW w:w="161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98"/>
        <w:gridCol w:w="1307"/>
        <w:gridCol w:w="2000"/>
        <w:gridCol w:w="3761"/>
        <w:gridCol w:w="7154"/>
        <w:gridCol w:w="7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7" w:hRule="atLeast"/>
          <w:tblHeader/>
          <w:jc w:val="center"/>
        </w:trPr>
        <w:tc>
          <w:tcPr>
            <w:tcW w:w="1198"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bookmarkStart w:id="304" w:name="_Hlk27555689"/>
            <w:r>
              <w:rPr>
                <w:rFonts w:hint="default" w:ascii="Times New Roman" w:hAnsi="Times New Roman" w:cs="Times New Roman"/>
                <w:b w:val="0"/>
                <w:bCs w:val="0"/>
                <w:color w:val="000000"/>
                <w:kern w:val="0"/>
                <w:sz w:val="22"/>
                <w:szCs w:val="22"/>
              </w:rPr>
              <w:t>一级指标</w:t>
            </w:r>
          </w:p>
        </w:tc>
        <w:tc>
          <w:tcPr>
            <w:tcW w:w="1307"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二级指标</w:t>
            </w:r>
          </w:p>
        </w:tc>
        <w:tc>
          <w:tcPr>
            <w:tcW w:w="2000"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三级指标</w:t>
            </w:r>
          </w:p>
        </w:tc>
        <w:tc>
          <w:tcPr>
            <w:tcW w:w="3761"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指标解释</w:t>
            </w:r>
          </w:p>
        </w:tc>
        <w:tc>
          <w:tcPr>
            <w:tcW w:w="7154"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指标说明</w:t>
            </w:r>
          </w:p>
        </w:tc>
        <w:tc>
          <w:tcPr>
            <w:tcW w:w="718"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28" w:hRule="atLeast"/>
          <w:jc w:val="center"/>
        </w:trPr>
        <w:tc>
          <w:tcPr>
            <w:tcW w:w="1198" w:type="dxa"/>
            <w:vMerge w:val="restart"/>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决策</w:t>
            </w:r>
          </w:p>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（20分）</w:t>
            </w:r>
          </w:p>
        </w:tc>
        <w:tc>
          <w:tcPr>
            <w:tcW w:w="1307" w:type="dxa"/>
            <w:vMerge w:val="restart"/>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项目立项</w:t>
            </w:r>
          </w:p>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（6分）</w:t>
            </w:r>
          </w:p>
        </w:tc>
        <w:tc>
          <w:tcPr>
            <w:tcW w:w="2000"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立项依据充分性</w:t>
            </w:r>
          </w:p>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（3分）</w:t>
            </w:r>
          </w:p>
        </w:tc>
        <w:tc>
          <w:tcPr>
            <w:tcW w:w="3761" w:type="dxa"/>
            <w:shd w:val="clear" w:color="auto"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项目立项是否符合法律法规、相关政策、发展规划以及部门职责，用以反映和考核项目立项依据情况。</w:t>
            </w:r>
          </w:p>
        </w:tc>
        <w:tc>
          <w:tcPr>
            <w:tcW w:w="7154" w:type="dxa"/>
            <w:shd w:val="clear" w:color="auto" w:fill="FFFFFF"/>
            <w:vAlign w:val="center"/>
          </w:tcPr>
          <w:p>
            <w:pPr>
              <w:widowControl/>
              <w:spacing w:line="0" w:lineRule="atLeast"/>
              <w:ind w:firstLine="0" w:firstLineChars="0"/>
              <w:jc w:val="left"/>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评价要点：</w:t>
            </w:r>
          </w:p>
          <w:p>
            <w:pPr>
              <w:widowControl/>
              <w:spacing w:line="0" w:lineRule="atLeast"/>
              <w:ind w:firstLine="0" w:firstLineChars="0"/>
              <w:jc w:val="left"/>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①项目立项是否符合国家法律法规、国民经济发展规划和相关政策；</w:t>
            </w:r>
          </w:p>
          <w:p>
            <w:pPr>
              <w:widowControl/>
              <w:spacing w:line="0" w:lineRule="atLeast"/>
              <w:ind w:firstLine="0" w:firstLineChars="0"/>
              <w:jc w:val="left"/>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②项目立项是否符合行业发展规划和政策要求；</w:t>
            </w:r>
          </w:p>
          <w:p>
            <w:pPr>
              <w:widowControl/>
              <w:spacing w:line="0" w:lineRule="atLeast"/>
              <w:ind w:firstLine="0" w:firstLineChars="0"/>
              <w:jc w:val="left"/>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③项目立项是否与部门职责范围相符，属于部门履职所需；</w:t>
            </w:r>
          </w:p>
          <w:p>
            <w:pPr>
              <w:widowControl/>
              <w:spacing w:line="0" w:lineRule="atLeast"/>
              <w:ind w:firstLine="0" w:firstLineChars="0"/>
              <w:jc w:val="left"/>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④项目是否属于公共财政支持范围，是否符合中央、地方事权支出责任划分原则；</w:t>
            </w:r>
          </w:p>
          <w:p>
            <w:pPr>
              <w:widowControl/>
              <w:spacing w:line="0" w:lineRule="atLeast"/>
              <w:ind w:firstLine="0" w:firstLineChars="0"/>
              <w:jc w:val="left"/>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⑤项目是否与相关部门同类项目或部门内部相关项目重复。</w:t>
            </w:r>
          </w:p>
        </w:tc>
        <w:tc>
          <w:tcPr>
            <w:tcW w:w="718" w:type="dxa"/>
            <w:shd w:val="clear" w:color="auto" w:fill="FFFFFF"/>
            <w:vAlign w:val="center"/>
          </w:tcPr>
          <w:p>
            <w:pPr>
              <w:widowControl/>
              <w:spacing w:line="0" w:lineRule="atLeast"/>
              <w:ind w:firstLine="0" w:firstLineChars="0"/>
              <w:jc w:val="left"/>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15" w:hRule="atLeast"/>
          <w:jc w:val="center"/>
        </w:trPr>
        <w:tc>
          <w:tcPr>
            <w:tcW w:w="1198" w:type="dxa"/>
            <w:vMerge w:val="continue"/>
            <w:shd w:val="clear" w:color="auto" w:fill="FFFFFF"/>
            <w:vAlign w:val="center"/>
          </w:tcPr>
          <w:p>
            <w:pPr>
              <w:spacing w:line="0" w:lineRule="atLeast"/>
              <w:ind w:firstLine="440"/>
              <w:jc w:val="center"/>
              <w:rPr>
                <w:rFonts w:hint="default" w:ascii="Times New Roman" w:hAnsi="Times New Roman" w:cs="Times New Roman"/>
                <w:b w:val="0"/>
                <w:bCs w:val="0"/>
                <w:color w:val="000000"/>
                <w:kern w:val="0"/>
                <w:sz w:val="22"/>
                <w:szCs w:val="22"/>
              </w:rPr>
            </w:pPr>
          </w:p>
        </w:tc>
        <w:tc>
          <w:tcPr>
            <w:tcW w:w="1307" w:type="dxa"/>
            <w:vMerge w:val="continue"/>
            <w:shd w:val="clear" w:color="auto" w:fill="FFFFFF"/>
            <w:vAlign w:val="center"/>
          </w:tcPr>
          <w:p>
            <w:pPr>
              <w:widowControl/>
              <w:spacing w:line="0" w:lineRule="atLeast"/>
              <w:ind w:firstLine="440"/>
              <w:jc w:val="center"/>
              <w:rPr>
                <w:rFonts w:hint="default" w:ascii="Times New Roman" w:hAnsi="Times New Roman" w:cs="Times New Roman"/>
                <w:b w:val="0"/>
                <w:bCs w:val="0"/>
                <w:color w:val="000000"/>
                <w:kern w:val="0"/>
                <w:sz w:val="22"/>
                <w:szCs w:val="22"/>
              </w:rPr>
            </w:pPr>
          </w:p>
        </w:tc>
        <w:tc>
          <w:tcPr>
            <w:tcW w:w="2000"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立项程序规范性</w:t>
            </w:r>
          </w:p>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（3分）</w:t>
            </w:r>
          </w:p>
        </w:tc>
        <w:tc>
          <w:tcPr>
            <w:tcW w:w="3761" w:type="dxa"/>
            <w:shd w:val="clear" w:color="auto"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项目申请、设立过程是否符合相关要求，用以反映和考核项目立项的规范情况。</w:t>
            </w:r>
          </w:p>
        </w:tc>
        <w:tc>
          <w:tcPr>
            <w:tcW w:w="7154" w:type="dxa"/>
            <w:shd w:val="clear" w:color="auto" w:fill="FFFFFF"/>
            <w:vAlign w:val="center"/>
          </w:tcPr>
          <w:p>
            <w:pPr>
              <w:widowControl/>
              <w:spacing w:line="0" w:lineRule="atLeast"/>
              <w:ind w:firstLine="0" w:firstLineChars="0"/>
              <w:jc w:val="left"/>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评价要点：</w:t>
            </w:r>
          </w:p>
          <w:p>
            <w:pPr>
              <w:widowControl/>
              <w:spacing w:line="0" w:lineRule="atLeast"/>
              <w:ind w:firstLine="0" w:firstLineChars="0"/>
              <w:jc w:val="left"/>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①项目是否按照规定的程序申请设立；</w:t>
            </w:r>
          </w:p>
          <w:p>
            <w:pPr>
              <w:widowControl/>
              <w:spacing w:line="0" w:lineRule="atLeast"/>
              <w:ind w:firstLine="0" w:firstLineChars="0"/>
              <w:jc w:val="left"/>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②审批文件、材料是否符合相关要求；</w:t>
            </w:r>
          </w:p>
          <w:p>
            <w:pPr>
              <w:widowControl/>
              <w:spacing w:line="0" w:lineRule="atLeast"/>
              <w:ind w:firstLine="0" w:firstLineChars="0"/>
              <w:jc w:val="left"/>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③事前是否已经过必要的可行性研究、专家论证、风险评估、绩效评估、集体决策。</w:t>
            </w:r>
          </w:p>
        </w:tc>
        <w:tc>
          <w:tcPr>
            <w:tcW w:w="718" w:type="dxa"/>
            <w:shd w:val="clear" w:color="auto" w:fill="FFFFFF"/>
            <w:vAlign w:val="center"/>
          </w:tcPr>
          <w:p>
            <w:pPr>
              <w:widowControl/>
              <w:spacing w:line="0" w:lineRule="atLeast"/>
              <w:ind w:firstLine="0" w:firstLineChars="0"/>
              <w:jc w:val="left"/>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96" w:hRule="atLeast"/>
          <w:jc w:val="center"/>
        </w:trPr>
        <w:tc>
          <w:tcPr>
            <w:tcW w:w="1198" w:type="dxa"/>
            <w:vMerge w:val="continue"/>
            <w:shd w:val="clear" w:color="auto" w:fill="FFFFFF"/>
            <w:vAlign w:val="center"/>
          </w:tcPr>
          <w:p>
            <w:pPr>
              <w:spacing w:line="0" w:lineRule="atLeast"/>
              <w:ind w:firstLine="440"/>
              <w:jc w:val="center"/>
              <w:rPr>
                <w:rFonts w:hint="default" w:ascii="Times New Roman" w:hAnsi="Times New Roman" w:cs="Times New Roman"/>
                <w:b w:val="0"/>
                <w:bCs w:val="0"/>
                <w:color w:val="000000"/>
                <w:kern w:val="0"/>
                <w:sz w:val="22"/>
                <w:szCs w:val="22"/>
              </w:rPr>
            </w:pPr>
          </w:p>
        </w:tc>
        <w:tc>
          <w:tcPr>
            <w:tcW w:w="1307" w:type="dxa"/>
            <w:vMerge w:val="restart"/>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绩效目标</w:t>
            </w:r>
          </w:p>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（6分）</w:t>
            </w:r>
          </w:p>
        </w:tc>
        <w:tc>
          <w:tcPr>
            <w:tcW w:w="2000"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绩效目标合理性</w:t>
            </w:r>
          </w:p>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（3分）</w:t>
            </w:r>
          </w:p>
        </w:tc>
        <w:tc>
          <w:tcPr>
            <w:tcW w:w="3761"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项目所设定的绩效目标是否依据充分，是否符合客观实际，用以反映和考核项目绩效目标与项目实施的相符情况。</w:t>
            </w:r>
          </w:p>
        </w:tc>
        <w:tc>
          <w:tcPr>
            <w:tcW w:w="7154" w:type="dxa"/>
            <w:shd w:val="clear" w:color="000000" w:fill="FFFFFF"/>
            <w:vAlign w:val="center"/>
          </w:tcPr>
          <w:p>
            <w:pPr>
              <w:widowControl/>
              <w:spacing w:line="0" w:lineRule="atLeast"/>
              <w:ind w:firstLine="0" w:firstLineChars="0"/>
              <w:jc w:val="left"/>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评价要点：</w:t>
            </w:r>
          </w:p>
          <w:p>
            <w:pPr>
              <w:widowControl/>
              <w:spacing w:line="0" w:lineRule="atLeast"/>
              <w:ind w:firstLine="0" w:firstLineChars="0"/>
              <w:jc w:val="left"/>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（如未设定预算绩效目标，也可考核其他工作任务目标）</w:t>
            </w:r>
          </w:p>
          <w:p>
            <w:pPr>
              <w:widowControl/>
              <w:spacing w:line="0" w:lineRule="atLeast"/>
              <w:ind w:firstLine="0" w:firstLineChars="0"/>
              <w:jc w:val="left"/>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①项目是否有绩效目标；</w:t>
            </w:r>
          </w:p>
          <w:p>
            <w:pPr>
              <w:widowControl/>
              <w:spacing w:line="0" w:lineRule="atLeast"/>
              <w:ind w:firstLine="0" w:firstLineChars="0"/>
              <w:jc w:val="left"/>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②项目绩效目标与实际工作内容是否具有相关性；</w:t>
            </w:r>
          </w:p>
          <w:p>
            <w:pPr>
              <w:widowControl/>
              <w:spacing w:line="0" w:lineRule="atLeast"/>
              <w:ind w:firstLine="0" w:firstLineChars="0"/>
              <w:jc w:val="left"/>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③项目预期产出效益和效果是否符合正常的业绩水平；</w:t>
            </w:r>
          </w:p>
          <w:p>
            <w:pPr>
              <w:widowControl/>
              <w:spacing w:line="0" w:lineRule="atLeast"/>
              <w:ind w:firstLine="0" w:firstLineChars="0"/>
              <w:jc w:val="left"/>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④是否与预算确定的项目投资额或资金量相匹配。</w:t>
            </w:r>
          </w:p>
        </w:tc>
        <w:tc>
          <w:tcPr>
            <w:tcW w:w="718" w:type="dxa"/>
            <w:shd w:val="clear" w:color="000000" w:fill="FFFFFF"/>
            <w:vAlign w:val="center"/>
          </w:tcPr>
          <w:p>
            <w:pPr>
              <w:widowControl/>
              <w:spacing w:line="0" w:lineRule="atLeast"/>
              <w:ind w:firstLine="0" w:firstLineChars="0"/>
              <w:jc w:val="left"/>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1" w:hRule="atLeast"/>
          <w:jc w:val="center"/>
        </w:trPr>
        <w:tc>
          <w:tcPr>
            <w:tcW w:w="1198" w:type="dxa"/>
            <w:vMerge w:val="continue"/>
            <w:shd w:val="clear" w:color="auto" w:fill="FFFFFF"/>
            <w:vAlign w:val="center"/>
          </w:tcPr>
          <w:p>
            <w:pPr>
              <w:widowControl/>
              <w:spacing w:line="0" w:lineRule="atLeast"/>
              <w:ind w:firstLine="440"/>
              <w:jc w:val="center"/>
              <w:rPr>
                <w:rFonts w:hint="default" w:ascii="Times New Roman" w:hAnsi="Times New Roman" w:cs="Times New Roman"/>
                <w:b w:val="0"/>
                <w:bCs w:val="0"/>
                <w:color w:val="000000"/>
                <w:kern w:val="0"/>
                <w:sz w:val="22"/>
                <w:szCs w:val="22"/>
              </w:rPr>
            </w:pPr>
          </w:p>
        </w:tc>
        <w:tc>
          <w:tcPr>
            <w:tcW w:w="1307" w:type="dxa"/>
            <w:vMerge w:val="continue"/>
            <w:shd w:val="clear" w:color="auto" w:fill="FFFFFF"/>
            <w:vAlign w:val="center"/>
          </w:tcPr>
          <w:p>
            <w:pPr>
              <w:widowControl/>
              <w:spacing w:line="0" w:lineRule="atLeast"/>
              <w:ind w:firstLine="440"/>
              <w:jc w:val="center"/>
              <w:rPr>
                <w:rFonts w:hint="default" w:ascii="Times New Roman" w:hAnsi="Times New Roman" w:cs="Times New Roman"/>
                <w:b w:val="0"/>
                <w:bCs w:val="0"/>
                <w:color w:val="000000"/>
                <w:kern w:val="0"/>
                <w:sz w:val="22"/>
                <w:szCs w:val="22"/>
              </w:rPr>
            </w:pPr>
          </w:p>
        </w:tc>
        <w:tc>
          <w:tcPr>
            <w:tcW w:w="2000"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绩效指标明确性</w:t>
            </w:r>
          </w:p>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（3分）</w:t>
            </w:r>
          </w:p>
        </w:tc>
        <w:tc>
          <w:tcPr>
            <w:tcW w:w="3761"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依据绩效目标设定的绩效指标是否清晰、细化、可衡量等，用以反映和考核项目绩效目标的明细化情况。</w:t>
            </w:r>
          </w:p>
        </w:tc>
        <w:tc>
          <w:tcPr>
            <w:tcW w:w="7154"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评价要点：</w:t>
            </w:r>
          </w:p>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①是否将项目绩效目标细化分解为具体的绩效指标；</w:t>
            </w:r>
          </w:p>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②是否通过清晰、可衡量的指标值予以体现；</w:t>
            </w:r>
          </w:p>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③是否与项目目标任务数或计划数相对应。</w:t>
            </w:r>
          </w:p>
        </w:tc>
        <w:tc>
          <w:tcPr>
            <w:tcW w:w="718"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42" w:hRule="atLeast"/>
          <w:jc w:val="center"/>
        </w:trPr>
        <w:tc>
          <w:tcPr>
            <w:tcW w:w="1198" w:type="dxa"/>
            <w:vMerge w:val="continue"/>
            <w:shd w:val="clear" w:color="auto" w:fill="FFFFFF"/>
            <w:vAlign w:val="center"/>
          </w:tcPr>
          <w:p>
            <w:pPr>
              <w:spacing w:line="0" w:lineRule="atLeast"/>
              <w:ind w:firstLine="440"/>
              <w:jc w:val="center"/>
              <w:rPr>
                <w:rFonts w:hint="default" w:ascii="Times New Roman" w:hAnsi="Times New Roman" w:cs="Times New Roman"/>
                <w:b w:val="0"/>
                <w:bCs w:val="0"/>
                <w:color w:val="000000"/>
                <w:kern w:val="0"/>
                <w:sz w:val="22"/>
                <w:szCs w:val="22"/>
              </w:rPr>
            </w:pPr>
          </w:p>
        </w:tc>
        <w:tc>
          <w:tcPr>
            <w:tcW w:w="1307" w:type="dxa"/>
            <w:vMerge w:val="restart"/>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资金投入</w:t>
            </w:r>
          </w:p>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（8分）</w:t>
            </w:r>
          </w:p>
          <w:p>
            <w:pPr>
              <w:spacing w:line="0" w:lineRule="atLeast"/>
              <w:ind w:firstLine="440"/>
              <w:jc w:val="center"/>
              <w:rPr>
                <w:rFonts w:hint="default" w:ascii="Times New Roman" w:hAnsi="Times New Roman" w:cs="Times New Roman"/>
                <w:b w:val="0"/>
                <w:bCs w:val="0"/>
                <w:color w:val="000000"/>
                <w:kern w:val="0"/>
                <w:sz w:val="22"/>
                <w:szCs w:val="22"/>
              </w:rPr>
            </w:pPr>
          </w:p>
        </w:tc>
        <w:tc>
          <w:tcPr>
            <w:tcW w:w="2000"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预算编制科学性</w:t>
            </w:r>
          </w:p>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（4分）</w:t>
            </w:r>
          </w:p>
        </w:tc>
        <w:tc>
          <w:tcPr>
            <w:tcW w:w="3761" w:type="dxa"/>
            <w:shd w:val="clear" w:color="auto"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项目预算编制是否经过科学论证、有明确标准，资金额度与年度目标是否相适应，用以反映和考核项目预算编制的科学性、合理性情况。</w:t>
            </w:r>
          </w:p>
        </w:tc>
        <w:tc>
          <w:tcPr>
            <w:tcW w:w="7154" w:type="dxa"/>
            <w:shd w:val="clear" w:color="auto"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评价要点：</w:t>
            </w:r>
          </w:p>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①预算编制是否经过科学论证；</w:t>
            </w:r>
          </w:p>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②预算内容与项目内容是否匹配；</w:t>
            </w:r>
          </w:p>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③预算额度测算依据是否充分，是否按照标准编制；</w:t>
            </w:r>
          </w:p>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④预算确定的项目投资额或资金量是否与工作任务相匹配。</w:t>
            </w:r>
          </w:p>
        </w:tc>
        <w:tc>
          <w:tcPr>
            <w:tcW w:w="718" w:type="dxa"/>
            <w:shd w:val="clear" w:color="auto"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01" w:hRule="atLeast"/>
          <w:jc w:val="center"/>
        </w:trPr>
        <w:tc>
          <w:tcPr>
            <w:tcW w:w="1198" w:type="dxa"/>
            <w:vMerge w:val="continue"/>
            <w:shd w:val="clear" w:color="auto" w:fill="FFFFFF"/>
            <w:vAlign w:val="center"/>
          </w:tcPr>
          <w:p>
            <w:pPr>
              <w:widowControl/>
              <w:spacing w:line="0" w:lineRule="atLeast"/>
              <w:ind w:firstLine="440"/>
              <w:jc w:val="center"/>
              <w:rPr>
                <w:rFonts w:hint="default" w:ascii="Times New Roman" w:hAnsi="Times New Roman" w:cs="Times New Roman"/>
                <w:b w:val="0"/>
                <w:bCs w:val="0"/>
                <w:color w:val="000000"/>
                <w:kern w:val="0"/>
                <w:sz w:val="22"/>
                <w:szCs w:val="22"/>
              </w:rPr>
            </w:pPr>
          </w:p>
        </w:tc>
        <w:tc>
          <w:tcPr>
            <w:tcW w:w="1307" w:type="dxa"/>
            <w:vMerge w:val="continue"/>
            <w:shd w:val="clear" w:color="auto" w:fill="FFFFFF"/>
            <w:vAlign w:val="center"/>
          </w:tcPr>
          <w:p>
            <w:pPr>
              <w:widowControl/>
              <w:spacing w:line="0" w:lineRule="atLeast"/>
              <w:ind w:firstLine="440"/>
              <w:jc w:val="center"/>
              <w:rPr>
                <w:rFonts w:hint="default" w:ascii="Times New Roman" w:hAnsi="Times New Roman" w:cs="Times New Roman"/>
                <w:b w:val="0"/>
                <w:bCs w:val="0"/>
                <w:color w:val="000000"/>
                <w:kern w:val="0"/>
                <w:sz w:val="22"/>
                <w:szCs w:val="22"/>
              </w:rPr>
            </w:pPr>
          </w:p>
        </w:tc>
        <w:tc>
          <w:tcPr>
            <w:tcW w:w="2000"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资金分配合理性</w:t>
            </w:r>
          </w:p>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（4分）</w:t>
            </w:r>
          </w:p>
        </w:tc>
        <w:tc>
          <w:tcPr>
            <w:tcW w:w="3761" w:type="dxa"/>
            <w:shd w:val="clear" w:color="auto"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项目预算资金分配是否有测算依据，与补助单位或地方实际是否相适应，用以反映和考核项目预算资金分配的科学性、合理性情况。</w:t>
            </w:r>
          </w:p>
        </w:tc>
        <w:tc>
          <w:tcPr>
            <w:tcW w:w="7154" w:type="dxa"/>
            <w:shd w:val="clear" w:color="auto"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评价要点：</w:t>
            </w:r>
          </w:p>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①预算资金分配依据是否充分；</w:t>
            </w:r>
          </w:p>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②资金分配额度是否合理，与项目单位或地方实际是否相适应。</w:t>
            </w:r>
          </w:p>
        </w:tc>
        <w:tc>
          <w:tcPr>
            <w:tcW w:w="718" w:type="dxa"/>
            <w:shd w:val="clear" w:color="auto"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0" w:hRule="atLeast"/>
          <w:jc w:val="center"/>
        </w:trPr>
        <w:tc>
          <w:tcPr>
            <w:tcW w:w="1198" w:type="dxa"/>
            <w:vMerge w:val="restart"/>
            <w:shd w:val="clear" w:color="auto" w:fill="FFFFFF"/>
            <w:vAlign w:val="center"/>
          </w:tcPr>
          <w:p>
            <w:pPr>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过程</w:t>
            </w:r>
          </w:p>
          <w:p>
            <w:pPr>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（20分）</w:t>
            </w:r>
          </w:p>
        </w:tc>
        <w:tc>
          <w:tcPr>
            <w:tcW w:w="1307" w:type="dxa"/>
            <w:vMerge w:val="restart"/>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资金管理</w:t>
            </w:r>
          </w:p>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（8分）</w:t>
            </w:r>
          </w:p>
        </w:tc>
        <w:tc>
          <w:tcPr>
            <w:tcW w:w="2000"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资金到位率</w:t>
            </w:r>
          </w:p>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（2分）</w:t>
            </w:r>
          </w:p>
        </w:tc>
        <w:tc>
          <w:tcPr>
            <w:tcW w:w="3761"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实际到位资金与预算资金的比率，用以反映和考核资金落实情况对项目实施的总体保障程度。</w:t>
            </w:r>
          </w:p>
        </w:tc>
        <w:tc>
          <w:tcPr>
            <w:tcW w:w="7154"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资金到位率=（实际到位资金/预算资金）×100%。</w:t>
            </w:r>
          </w:p>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实际到位资金：一定时期（本年度或项目期）内落实到具体项目的资金。</w:t>
            </w:r>
          </w:p>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预算资金：一定时期（本年度或项目期）内预算安排到具体项目的资金。</w:t>
            </w:r>
          </w:p>
        </w:tc>
        <w:tc>
          <w:tcPr>
            <w:tcW w:w="718"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0" w:hRule="atLeast"/>
          <w:jc w:val="center"/>
        </w:trPr>
        <w:tc>
          <w:tcPr>
            <w:tcW w:w="1198" w:type="dxa"/>
            <w:vMerge w:val="continue"/>
            <w:shd w:val="clear" w:color="auto" w:fill="FFFFFF"/>
            <w:vAlign w:val="center"/>
          </w:tcPr>
          <w:p>
            <w:pPr>
              <w:spacing w:line="0" w:lineRule="atLeast"/>
              <w:ind w:firstLine="440"/>
              <w:jc w:val="center"/>
              <w:rPr>
                <w:rFonts w:hint="default" w:ascii="Times New Roman" w:hAnsi="Times New Roman" w:cs="Times New Roman"/>
                <w:b w:val="0"/>
                <w:bCs w:val="0"/>
                <w:color w:val="000000"/>
                <w:kern w:val="0"/>
                <w:sz w:val="22"/>
                <w:szCs w:val="22"/>
              </w:rPr>
            </w:pPr>
          </w:p>
        </w:tc>
        <w:tc>
          <w:tcPr>
            <w:tcW w:w="1307" w:type="dxa"/>
            <w:vMerge w:val="continue"/>
            <w:shd w:val="clear" w:color="auto" w:fill="FFFFFF"/>
            <w:vAlign w:val="center"/>
          </w:tcPr>
          <w:p>
            <w:pPr>
              <w:spacing w:line="0" w:lineRule="atLeast"/>
              <w:ind w:firstLine="440"/>
              <w:jc w:val="center"/>
              <w:rPr>
                <w:rFonts w:hint="default" w:ascii="Times New Roman" w:hAnsi="Times New Roman" w:cs="Times New Roman"/>
                <w:b w:val="0"/>
                <w:bCs w:val="0"/>
                <w:color w:val="000000"/>
                <w:kern w:val="0"/>
                <w:sz w:val="22"/>
                <w:szCs w:val="22"/>
              </w:rPr>
            </w:pPr>
          </w:p>
        </w:tc>
        <w:tc>
          <w:tcPr>
            <w:tcW w:w="2000"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预算执行率</w:t>
            </w:r>
          </w:p>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（2分）</w:t>
            </w:r>
          </w:p>
        </w:tc>
        <w:tc>
          <w:tcPr>
            <w:tcW w:w="3761" w:type="dxa"/>
            <w:shd w:val="clear" w:color="auto"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项目预算资金是否按照计划执行，用以反映或考核项目预算执行情况。</w:t>
            </w:r>
          </w:p>
        </w:tc>
        <w:tc>
          <w:tcPr>
            <w:tcW w:w="7154" w:type="dxa"/>
            <w:shd w:val="clear" w:color="auto"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预算执行率=（实际支出资金/实际到位资金）×100%。</w:t>
            </w:r>
          </w:p>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实际支出资金：一定时期（本年度或项目期）内项目实际拨付的资金。</w:t>
            </w:r>
          </w:p>
        </w:tc>
        <w:tc>
          <w:tcPr>
            <w:tcW w:w="718" w:type="dxa"/>
            <w:shd w:val="clear" w:color="auto"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96" w:hRule="atLeast"/>
          <w:jc w:val="center"/>
        </w:trPr>
        <w:tc>
          <w:tcPr>
            <w:tcW w:w="1198" w:type="dxa"/>
            <w:vMerge w:val="continue"/>
            <w:shd w:val="clear" w:color="auto" w:fill="FFFFFF"/>
            <w:vAlign w:val="center"/>
          </w:tcPr>
          <w:p>
            <w:pPr>
              <w:spacing w:line="0" w:lineRule="atLeast"/>
              <w:ind w:firstLine="440"/>
              <w:jc w:val="center"/>
              <w:rPr>
                <w:rFonts w:hint="default" w:ascii="Times New Roman" w:hAnsi="Times New Roman" w:cs="Times New Roman"/>
                <w:b w:val="0"/>
                <w:bCs w:val="0"/>
                <w:color w:val="000000"/>
                <w:kern w:val="0"/>
                <w:sz w:val="22"/>
                <w:szCs w:val="22"/>
              </w:rPr>
            </w:pPr>
          </w:p>
        </w:tc>
        <w:tc>
          <w:tcPr>
            <w:tcW w:w="1307" w:type="dxa"/>
            <w:vMerge w:val="continue"/>
            <w:shd w:val="clear" w:color="auto" w:fill="FFFFFF"/>
            <w:vAlign w:val="center"/>
          </w:tcPr>
          <w:p>
            <w:pPr>
              <w:widowControl/>
              <w:spacing w:line="0" w:lineRule="atLeast"/>
              <w:ind w:firstLine="440"/>
              <w:jc w:val="center"/>
              <w:rPr>
                <w:rFonts w:hint="default" w:ascii="Times New Roman" w:hAnsi="Times New Roman" w:cs="Times New Roman"/>
                <w:b w:val="0"/>
                <w:bCs w:val="0"/>
                <w:color w:val="000000"/>
                <w:kern w:val="0"/>
                <w:sz w:val="22"/>
                <w:szCs w:val="22"/>
              </w:rPr>
            </w:pPr>
          </w:p>
        </w:tc>
        <w:tc>
          <w:tcPr>
            <w:tcW w:w="2000"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资金使用合规性</w:t>
            </w:r>
          </w:p>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（4分）</w:t>
            </w:r>
          </w:p>
        </w:tc>
        <w:tc>
          <w:tcPr>
            <w:tcW w:w="3761"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项目资金使用是否符合相关的财务管理制度规定，用以反映和考核项目资金的规范运行情况。</w:t>
            </w:r>
          </w:p>
        </w:tc>
        <w:tc>
          <w:tcPr>
            <w:tcW w:w="7154"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评价要点：</w:t>
            </w:r>
          </w:p>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①是否符合国家财经法规和财务管理制度以及有关专项资金管理办法的规定；</w:t>
            </w:r>
          </w:p>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②资金的拨付是否有完整的审批程序和手续；</w:t>
            </w:r>
          </w:p>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③是否符合项目预算批复或合同规定的用途；</w:t>
            </w:r>
          </w:p>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④是否存在截留、挤占、挪用、虚列支出等情况。</w:t>
            </w:r>
          </w:p>
        </w:tc>
        <w:tc>
          <w:tcPr>
            <w:tcW w:w="718"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17" w:hRule="atLeast"/>
          <w:jc w:val="center"/>
        </w:trPr>
        <w:tc>
          <w:tcPr>
            <w:tcW w:w="1198" w:type="dxa"/>
            <w:vMerge w:val="continue"/>
            <w:shd w:val="clear" w:color="auto" w:fill="FFFFFF"/>
            <w:vAlign w:val="center"/>
          </w:tcPr>
          <w:p>
            <w:pPr>
              <w:spacing w:line="0" w:lineRule="atLeast"/>
              <w:ind w:firstLine="440"/>
              <w:jc w:val="center"/>
              <w:rPr>
                <w:rFonts w:hint="default" w:ascii="Times New Roman" w:hAnsi="Times New Roman" w:cs="Times New Roman"/>
                <w:b w:val="0"/>
                <w:bCs w:val="0"/>
                <w:color w:val="000000"/>
                <w:kern w:val="0"/>
                <w:sz w:val="22"/>
                <w:szCs w:val="22"/>
              </w:rPr>
            </w:pPr>
          </w:p>
        </w:tc>
        <w:tc>
          <w:tcPr>
            <w:tcW w:w="1307" w:type="dxa"/>
            <w:vMerge w:val="restart"/>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组织实施</w:t>
            </w:r>
          </w:p>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（12分）</w:t>
            </w:r>
          </w:p>
        </w:tc>
        <w:tc>
          <w:tcPr>
            <w:tcW w:w="2000"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管理制度健全性</w:t>
            </w:r>
          </w:p>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（6分）</w:t>
            </w:r>
          </w:p>
        </w:tc>
        <w:tc>
          <w:tcPr>
            <w:tcW w:w="3761"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项目实施单位的财务和业务管理制度是否健全，用以反映和考核财务和业务管理制度对项目顺利实施的保障情况。</w:t>
            </w:r>
          </w:p>
        </w:tc>
        <w:tc>
          <w:tcPr>
            <w:tcW w:w="7154"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评价要点：</w:t>
            </w:r>
          </w:p>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①是否已制定或具有相应的财务和业务管理制度；</w:t>
            </w:r>
          </w:p>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②财务和业务管理制度是否合法、合规、完整。</w:t>
            </w:r>
          </w:p>
        </w:tc>
        <w:tc>
          <w:tcPr>
            <w:tcW w:w="718"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9" w:hRule="atLeast"/>
          <w:jc w:val="center"/>
        </w:trPr>
        <w:tc>
          <w:tcPr>
            <w:tcW w:w="1198" w:type="dxa"/>
            <w:vMerge w:val="continue"/>
            <w:shd w:val="clear" w:color="auto" w:fill="FFFFFF"/>
            <w:vAlign w:val="center"/>
          </w:tcPr>
          <w:p>
            <w:pPr>
              <w:widowControl/>
              <w:spacing w:line="0" w:lineRule="atLeast"/>
              <w:ind w:firstLine="440"/>
              <w:jc w:val="center"/>
              <w:rPr>
                <w:rFonts w:hint="default" w:ascii="Times New Roman" w:hAnsi="Times New Roman" w:cs="Times New Roman"/>
                <w:b w:val="0"/>
                <w:bCs w:val="0"/>
                <w:color w:val="000000"/>
                <w:kern w:val="0"/>
                <w:sz w:val="22"/>
                <w:szCs w:val="22"/>
              </w:rPr>
            </w:pPr>
          </w:p>
        </w:tc>
        <w:tc>
          <w:tcPr>
            <w:tcW w:w="1307" w:type="dxa"/>
            <w:vMerge w:val="continue"/>
            <w:shd w:val="clear" w:color="auto" w:fill="FFFFFF"/>
            <w:vAlign w:val="center"/>
          </w:tcPr>
          <w:p>
            <w:pPr>
              <w:widowControl/>
              <w:spacing w:line="0" w:lineRule="atLeast"/>
              <w:ind w:firstLine="440"/>
              <w:jc w:val="center"/>
              <w:rPr>
                <w:rFonts w:hint="default" w:ascii="Times New Roman" w:hAnsi="Times New Roman" w:cs="Times New Roman"/>
                <w:b w:val="0"/>
                <w:bCs w:val="0"/>
                <w:color w:val="000000"/>
                <w:kern w:val="0"/>
                <w:sz w:val="22"/>
                <w:szCs w:val="22"/>
              </w:rPr>
            </w:pPr>
          </w:p>
        </w:tc>
        <w:tc>
          <w:tcPr>
            <w:tcW w:w="2000"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制度执行有效性</w:t>
            </w:r>
          </w:p>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（6分）</w:t>
            </w:r>
          </w:p>
        </w:tc>
        <w:tc>
          <w:tcPr>
            <w:tcW w:w="3761"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项目实施是否符合相关管理规定，用以反映和考核相关管理制度的有效执行情况。</w:t>
            </w:r>
          </w:p>
        </w:tc>
        <w:tc>
          <w:tcPr>
            <w:tcW w:w="7154"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评价要点：</w:t>
            </w:r>
          </w:p>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①是否遵守相关法律法规和相关管理规定；</w:t>
            </w:r>
          </w:p>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②项目调整及支出调整手续是否完备；</w:t>
            </w:r>
          </w:p>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③项目合同书、验收报告、技术鉴定等资料是否齐全并及时归档；</w:t>
            </w:r>
          </w:p>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④项目实施的人员条件、场地设备、信息支撑等是否落实到位。</w:t>
            </w:r>
          </w:p>
        </w:tc>
        <w:tc>
          <w:tcPr>
            <w:tcW w:w="718"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07" w:hRule="atLeast"/>
          <w:jc w:val="center"/>
        </w:trPr>
        <w:tc>
          <w:tcPr>
            <w:tcW w:w="1198" w:type="dxa"/>
            <w:vMerge w:val="restart"/>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产出</w:t>
            </w:r>
          </w:p>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（30分）</w:t>
            </w:r>
          </w:p>
        </w:tc>
        <w:tc>
          <w:tcPr>
            <w:tcW w:w="1307"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产出数量（8分）</w:t>
            </w:r>
          </w:p>
        </w:tc>
        <w:tc>
          <w:tcPr>
            <w:tcW w:w="2000"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实际完成率</w:t>
            </w:r>
          </w:p>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（8分）</w:t>
            </w:r>
          </w:p>
        </w:tc>
        <w:tc>
          <w:tcPr>
            <w:tcW w:w="3761"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项目实施的实际产出数与计划产出数的比率，用以反映和考核项目产出数量目标的实现程度。</w:t>
            </w:r>
          </w:p>
        </w:tc>
        <w:tc>
          <w:tcPr>
            <w:tcW w:w="7154"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实际完成率=（实际产出数/计划产出数）×100%。</w:t>
            </w:r>
          </w:p>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实际产出数：一定时期（本年度或项目期）内项目实际产出的产品或提供的服务数量。</w:t>
            </w:r>
          </w:p>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计划产出数：项目绩效目标确定的在一定时期（本年度或项目期）内计划产出的产品或提供的服务数量。</w:t>
            </w:r>
          </w:p>
        </w:tc>
        <w:tc>
          <w:tcPr>
            <w:tcW w:w="718"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13" w:hRule="atLeast"/>
          <w:jc w:val="center"/>
        </w:trPr>
        <w:tc>
          <w:tcPr>
            <w:tcW w:w="1198" w:type="dxa"/>
            <w:vMerge w:val="continue"/>
            <w:shd w:val="clear" w:color="auto" w:fill="FFFFFF"/>
            <w:vAlign w:val="center"/>
          </w:tcPr>
          <w:p>
            <w:pPr>
              <w:widowControl/>
              <w:spacing w:line="0" w:lineRule="atLeast"/>
              <w:ind w:firstLine="440"/>
              <w:jc w:val="center"/>
              <w:rPr>
                <w:rFonts w:hint="default" w:ascii="Times New Roman" w:hAnsi="Times New Roman" w:cs="Times New Roman"/>
                <w:b w:val="0"/>
                <w:bCs w:val="0"/>
                <w:color w:val="000000"/>
                <w:kern w:val="0"/>
                <w:sz w:val="22"/>
                <w:szCs w:val="22"/>
              </w:rPr>
            </w:pPr>
          </w:p>
        </w:tc>
        <w:tc>
          <w:tcPr>
            <w:tcW w:w="1307"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产出质量（8分）</w:t>
            </w:r>
          </w:p>
        </w:tc>
        <w:tc>
          <w:tcPr>
            <w:tcW w:w="2000"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质量达标率</w:t>
            </w:r>
          </w:p>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（8分）</w:t>
            </w:r>
          </w:p>
        </w:tc>
        <w:tc>
          <w:tcPr>
            <w:tcW w:w="3761"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项目完成的质量达标产出数与实际产出数的比率，用以反映和考核项目产出质量目标的实现程度。</w:t>
            </w:r>
          </w:p>
        </w:tc>
        <w:tc>
          <w:tcPr>
            <w:tcW w:w="7154"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质量达标率=（质量达标产出数/实际产出数）×100%。</w:t>
            </w:r>
          </w:p>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18"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21" w:hRule="atLeast"/>
          <w:jc w:val="center"/>
        </w:trPr>
        <w:tc>
          <w:tcPr>
            <w:tcW w:w="1198" w:type="dxa"/>
            <w:vMerge w:val="continue"/>
            <w:shd w:val="clear" w:color="auto" w:fill="FFFFFF"/>
            <w:vAlign w:val="center"/>
          </w:tcPr>
          <w:p>
            <w:pPr>
              <w:spacing w:line="0" w:lineRule="atLeast"/>
              <w:ind w:firstLine="440"/>
              <w:jc w:val="center"/>
              <w:rPr>
                <w:rFonts w:hint="default" w:ascii="Times New Roman" w:hAnsi="Times New Roman" w:cs="Times New Roman"/>
                <w:b w:val="0"/>
                <w:bCs w:val="0"/>
                <w:color w:val="000000"/>
                <w:kern w:val="0"/>
                <w:sz w:val="22"/>
                <w:szCs w:val="22"/>
              </w:rPr>
            </w:pPr>
          </w:p>
        </w:tc>
        <w:tc>
          <w:tcPr>
            <w:tcW w:w="1307" w:type="dxa"/>
            <w:shd w:val="clear" w:color="auto" w:fill="FFFFFF"/>
            <w:vAlign w:val="center"/>
          </w:tcPr>
          <w:p>
            <w:pPr>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产出时效（8分）</w:t>
            </w:r>
          </w:p>
        </w:tc>
        <w:tc>
          <w:tcPr>
            <w:tcW w:w="2000"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完成及时性</w:t>
            </w:r>
          </w:p>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（8分）</w:t>
            </w:r>
          </w:p>
        </w:tc>
        <w:tc>
          <w:tcPr>
            <w:tcW w:w="3761"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项目实际完成时间与计划完成时间的比较，用以反映和考核项目产出时效目标的实现程度。</w:t>
            </w:r>
          </w:p>
        </w:tc>
        <w:tc>
          <w:tcPr>
            <w:tcW w:w="7154"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实际完成时间：项目实施单位完成该项目实际所耗用的时间。</w:t>
            </w:r>
          </w:p>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计划完成时间：按照项目实施计划或相关规定完成该项目所需的时间。</w:t>
            </w:r>
          </w:p>
        </w:tc>
        <w:tc>
          <w:tcPr>
            <w:tcW w:w="718"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66" w:hRule="atLeast"/>
          <w:jc w:val="center"/>
        </w:trPr>
        <w:tc>
          <w:tcPr>
            <w:tcW w:w="1198" w:type="dxa"/>
            <w:vMerge w:val="continue"/>
            <w:shd w:val="clear" w:color="auto" w:fill="FFFFFF"/>
            <w:vAlign w:val="center"/>
          </w:tcPr>
          <w:p>
            <w:pPr>
              <w:widowControl/>
              <w:spacing w:line="0" w:lineRule="atLeast"/>
              <w:ind w:firstLine="440"/>
              <w:jc w:val="center"/>
              <w:rPr>
                <w:rFonts w:hint="default" w:ascii="Times New Roman" w:hAnsi="Times New Roman" w:cs="Times New Roman"/>
                <w:b w:val="0"/>
                <w:bCs w:val="0"/>
                <w:color w:val="000000"/>
                <w:kern w:val="0"/>
                <w:sz w:val="22"/>
                <w:szCs w:val="22"/>
              </w:rPr>
            </w:pPr>
          </w:p>
        </w:tc>
        <w:tc>
          <w:tcPr>
            <w:tcW w:w="1307"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产出成本（6分）</w:t>
            </w:r>
          </w:p>
        </w:tc>
        <w:tc>
          <w:tcPr>
            <w:tcW w:w="2000"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成本节约率</w:t>
            </w:r>
          </w:p>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（6分）</w:t>
            </w:r>
          </w:p>
        </w:tc>
        <w:tc>
          <w:tcPr>
            <w:tcW w:w="3761"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完成项目计划工作目标的实际节约成本与计划成本的比率，用以反映和考核项目的成本节约程度。</w:t>
            </w:r>
          </w:p>
        </w:tc>
        <w:tc>
          <w:tcPr>
            <w:tcW w:w="7154"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成本节约率=[（计划成本-实际成本）/计划成本]×100%。</w:t>
            </w:r>
          </w:p>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实际成本：项目实施单位如期、保质、保量完成既定工作目标实际所耗费的支出。</w:t>
            </w:r>
          </w:p>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计划成本：项目实施单位为完成工作目标计划安排的支出，一般以项目预算为参考。</w:t>
            </w:r>
          </w:p>
        </w:tc>
        <w:tc>
          <w:tcPr>
            <w:tcW w:w="718"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75" w:hRule="atLeast"/>
          <w:jc w:val="center"/>
        </w:trPr>
        <w:tc>
          <w:tcPr>
            <w:tcW w:w="1198" w:type="dxa"/>
            <w:vMerge w:val="restart"/>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效益</w:t>
            </w:r>
          </w:p>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（30分）</w:t>
            </w:r>
          </w:p>
        </w:tc>
        <w:tc>
          <w:tcPr>
            <w:tcW w:w="1307"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社会效益（10分）</w:t>
            </w:r>
          </w:p>
        </w:tc>
        <w:tc>
          <w:tcPr>
            <w:tcW w:w="2000"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社会效益（10分）</w:t>
            </w:r>
          </w:p>
        </w:tc>
        <w:tc>
          <w:tcPr>
            <w:tcW w:w="3761" w:type="dxa"/>
            <w:shd w:val="clear" w:color="auto" w:fill="FFFFFF"/>
            <w:vAlign w:val="center"/>
          </w:tcPr>
          <w:p>
            <w:pPr>
              <w:widowControl/>
              <w:spacing w:line="0" w:lineRule="atLeast"/>
              <w:ind w:firstLine="0" w:firstLineChars="0"/>
              <w:jc w:val="left"/>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项目实施所产生的社会效益。</w:t>
            </w:r>
          </w:p>
        </w:tc>
        <w:tc>
          <w:tcPr>
            <w:tcW w:w="7154" w:type="dxa"/>
            <w:shd w:val="clear" w:color="auto"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w:t>
            </w:r>
          </w:p>
        </w:tc>
        <w:tc>
          <w:tcPr>
            <w:tcW w:w="718" w:type="dxa"/>
            <w:shd w:val="clear" w:color="auto"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70" w:hRule="atLeast"/>
          <w:jc w:val="center"/>
        </w:trPr>
        <w:tc>
          <w:tcPr>
            <w:tcW w:w="1198" w:type="dxa"/>
            <w:vMerge w:val="continue"/>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p>
        </w:tc>
        <w:tc>
          <w:tcPr>
            <w:tcW w:w="1307"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可持续影响（10分）</w:t>
            </w:r>
          </w:p>
        </w:tc>
        <w:tc>
          <w:tcPr>
            <w:tcW w:w="2000"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可持续影响（10分）</w:t>
            </w:r>
          </w:p>
        </w:tc>
        <w:tc>
          <w:tcPr>
            <w:tcW w:w="3761" w:type="dxa"/>
            <w:shd w:val="clear" w:color="auto" w:fill="FFFFFF"/>
            <w:vAlign w:val="center"/>
          </w:tcPr>
          <w:p>
            <w:pPr>
              <w:widowControl/>
              <w:spacing w:line="0" w:lineRule="atLeast"/>
              <w:ind w:firstLine="0" w:firstLineChars="0"/>
              <w:jc w:val="left"/>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项目实施所产生的可持续影响。</w:t>
            </w:r>
          </w:p>
        </w:tc>
        <w:tc>
          <w:tcPr>
            <w:tcW w:w="7154" w:type="dxa"/>
            <w:shd w:val="clear" w:color="auto"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w:t>
            </w:r>
          </w:p>
        </w:tc>
        <w:tc>
          <w:tcPr>
            <w:tcW w:w="718" w:type="dxa"/>
            <w:shd w:val="clear" w:color="auto"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198" w:type="dxa"/>
            <w:vMerge w:val="continue"/>
            <w:shd w:val="clear" w:color="auto" w:fill="FFFFFF"/>
            <w:vAlign w:val="center"/>
          </w:tcPr>
          <w:p>
            <w:pPr>
              <w:widowControl/>
              <w:spacing w:line="0" w:lineRule="atLeast"/>
              <w:ind w:firstLine="440"/>
              <w:jc w:val="center"/>
              <w:rPr>
                <w:rFonts w:hint="default" w:ascii="Times New Roman" w:hAnsi="Times New Roman" w:cs="Times New Roman"/>
                <w:b w:val="0"/>
                <w:bCs w:val="0"/>
                <w:color w:val="000000"/>
                <w:kern w:val="0"/>
                <w:sz w:val="22"/>
                <w:szCs w:val="22"/>
              </w:rPr>
            </w:pPr>
          </w:p>
        </w:tc>
        <w:tc>
          <w:tcPr>
            <w:tcW w:w="1307"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满意度</w:t>
            </w:r>
          </w:p>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（10分）</w:t>
            </w:r>
          </w:p>
        </w:tc>
        <w:tc>
          <w:tcPr>
            <w:tcW w:w="2000"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服务对象满意度</w:t>
            </w:r>
          </w:p>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（10分）</w:t>
            </w:r>
          </w:p>
        </w:tc>
        <w:tc>
          <w:tcPr>
            <w:tcW w:w="3761"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社会公众或服务对象对项目实施效果的满意程度。</w:t>
            </w:r>
          </w:p>
        </w:tc>
        <w:tc>
          <w:tcPr>
            <w:tcW w:w="7154"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社会公众或服务对象是指因该项目实施而受到影响的部门（单位）、群体或个人。一般采取社会调查的方式。</w:t>
            </w:r>
          </w:p>
        </w:tc>
        <w:tc>
          <w:tcPr>
            <w:tcW w:w="718"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198"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合计</w:t>
            </w:r>
          </w:p>
        </w:tc>
        <w:tc>
          <w:tcPr>
            <w:tcW w:w="1307"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p>
        </w:tc>
        <w:tc>
          <w:tcPr>
            <w:tcW w:w="2000" w:type="dxa"/>
            <w:shd w:val="clear" w:color="auto" w:fill="FFFFFF"/>
            <w:vAlign w:val="center"/>
          </w:tcPr>
          <w:p>
            <w:pPr>
              <w:widowControl/>
              <w:spacing w:line="0" w:lineRule="atLeast"/>
              <w:ind w:firstLine="0" w:firstLineChars="0"/>
              <w:jc w:val="center"/>
              <w:rPr>
                <w:rFonts w:hint="default" w:ascii="Times New Roman" w:hAnsi="Times New Roman" w:cs="Times New Roman"/>
                <w:b w:val="0"/>
                <w:bCs w:val="0"/>
                <w:color w:val="000000"/>
                <w:kern w:val="0"/>
                <w:sz w:val="22"/>
                <w:szCs w:val="22"/>
              </w:rPr>
            </w:pPr>
          </w:p>
        </w:tc>
        <w:tc>
          <w:tcPr>
            <w:tcW w:w="3761"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p>
        </w:tc>
        <w:tc>
          <w:tcPr>
            <w:tcW w:w="7154"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p>
        </w:tc>
        <w:tc>
          <w:tcPr>
            <w:tcW w:w="718" w:type="dxa"/>
            <w:shd w:val="clear" w:color="000000" w:fill="FFFFFF"/>
            <w:vAlign w:val="center"/>
          </w:tcPr>
          <w:p>
            <w:pPr>
              <w:widowControl/>
              <w:spacing w:line="0" w:lineRule="atLeast"/>
              <w:ind w:firstLine="0" w:firstLineChars="0"/>
              <w:rPr>
                <w:rFonts w:hint="default" w:ascii="Times New Roman" w:hAnsi="Times New Roman" w:cs="Times New Roman"/>
                <w:b w:val="0"/>
                <w:bCs w:val="0"/>
                <w:color w:val="000000"/>
                <w:kern w:val="0"/>
                <w:sz w:val="22"/>
                <w:szCs w:val="22"/>
              </w:rPr>
            </w:pPr>
            <w:r>
              <w:rPr>
                <w:rFonts w:hint="default" w:ascii="Times New Roman" w:hAnsi="Times New Roman" w:cs="Times New Roman"/>
                <w:b w:val="0"/>
                <w:bCs w:val="0"/>
                <w:color w:val="000000"/>
                <w:kern w:val="0"/>
                <w:sz w:val="22"/>
                <w:szCs w:val="22"/>
              </w:rPr>
              <w:t>85.5</w:t>
            </w:r>
          </w:p>
        </w:tc>
      </w:tr>
      <w:bookmarkEnd w:id="304"/>
    </w:tbl>
    <w:p>
      <w:pPr>
        <w:ind w:firstLine="0" w:firstLineChars="0"/>
        <w:rPr>
          <w:rFonts w:hint="default" w:ascii="Times New Roman" w:hAnsi="Times New Roman" w:cs="Times New Roman"/>
          <w:b w:val="0"/>
          <w:bCs w:val="0"/>
        </w:rPr>
      </w:pPr>
    </w:p>
    <w:p>
      <w:pPr>
        <w:pStyle w:val="2"/>
        <w:ind w:firstLine="540"/>
        <w:rPr>
          <w:rFonts w:hint="default" w:ascii="Times New Roman" w:hAnsi="Times New Roman" w:cs="Times New Roman"/>
          <w:b w:val="0"/>
          <w:bCs w:val="0"/>
        </w:rPr>
        <w:sectPr>
          <w:headerReference r:id="rId15" w:type="default"/>
          <w:footnotePr>
            <w:numFmt w:val="decimalEnclosedCircleChinese"/>
            <w:numRestart w:val="eachPage"/>
          </w:footnotePr>
          <w:pgSz w:w="16838" w:h="11905" w:orient="landscape"/>
          <w:pgMar w:top="1587" w:right="1587" w:bottom="1587" w:left="1587" w:header="851" w:footer="992" w:gutter="0"/>
          <w:pgNumType w:fmt="decimal"/>
          <w:cols w:space="0" w:num="1"/>
          <w:rtlGutter w:val="0"/>
          <w:docGrid w:type="lines" w:linePitch="312" w:charSpace="0"/>
        </w:sectPr>
      </w:pPr>
    </w:p>
    <w:p>
      <w:pPr>
        <w:pStyle w:val="3"/>
        <w:ind w:firstLine="600"/>
        <w:rPr>
          <w:rFonts w:hint="default" w:ascii="Times New Roman" w:hAnsi="Times New Roman" w:eastAsia="方正小标宋_GBK" w:cs="Times New Roman"/>
          <w:b w:val="0"/>
          <w:bCs w:val="0"/>
        </w:rPr>
      </w:pPr>
      <w:bookmarkStart w:id="305" w:name="_Toc24374232"/>
      <w:bookmarkStart w:id="306" w:name="_Toc24374873"/>
      <w:bookmarkStart w:id="307" w:name="_Toc25650551"/>
      <w:bookmarkStart w:id="308" w:name="_Toc24311777"/>
      <w:bookmarkStart w:id="309" w:name="_Toc10037"/>
      <w:r>
        <w:rPr>
          <w:rFonts w:hint="default" w:ascii="Times New Roman" w:hAnsi="Times New Roman" w:eastAsia="方正小标宋_GBK" w:cs="Times New Roman"/>
          <w:b w:val="0"/>
          <w:bCs w:val="0"/>
        </w:rPr>
        <w:t>附</w:t>
      </w:r>
      <w:r>
        <w:rPr>
          <w:rFonts w:hint="default" w:ascii="Times New Roman" w:hAnsi="Times New Roman" w:eastAsia="方正小标宋_GBK" w:cs="Times New Roman"/>
          <w:b w:val="0"/>
          <w:bCs w:val="0"/>
          <w:lang w:val="en-US" w:eastAsia="zh-CN"/>
        </w:rPr>
        <w:t>件</w:t>
      </w:r>
      <w:r>
        <w:rPr>
          <w:rFonts w:hint="default" w:ascii="Times New Roman" w:hAnsi="Times New Roman" w:eastAsia="方正小标宋_GBK" w:cs="Times New Roman"/>
          <w:b w:val="0"/>
          <w:bCs w:val="0"/>
        </w:rPr>
        <w:t>2：</w:t>
      </w:r>
      <w:bookmarkEnd w:id="305"/>
      <w:bookmarkEnd w:id="306"/>
      <w:bookmarkEnd w:id="307"/>
      <w:bookmarkEnd w:id="308"/>
      <w:r>
        <w:rPr>
          <w:rFonts w:hint="default" w:ascii="Times New Roman" w:hAnsi="Times New Roman" w:eastAsia="方正小标宋_GBK" w:cs="Times New Roman"/>
          <w:b w:val="0"/>
          <w:bCs w:val="0"/>
        </w:rPr>
        <w:t>问题清单</w:t>
      </w:r>
      <w:bookmarkEnd w:id="309"/>
    </w:p>
    <w:p>
      <w:pPr>
        <w:ind w:firstLine="540"/>
        <w:rPr>
          <w:rFonts w:hint="default" w:ascii="Times New Roman" w:hAnsi="Times New Roman" w:cs="Times New Roman"/>
          <w:b w:val="0"/>
          <w:bCs w:val="0"/>
        </w:rPr>
      </w:pPr>
    </w:p>
    <w:tbl>
      <w:tblPr>
        <w:tblStyle w:val="21"/>
        <w:tblW w:w="8601" w:type="dxa"/>
        <w:tblInd w:w="93" w:type="dxa"/>
        <w:tblLayout w:type="fixed"/>
        <w:tblCellMar>
          <w:top w:w="0" w:type="dxa"/>
          <w:left w:w="108" w:type="dxa"/>
          <w:bottom w:w="0" w:type="dxa"/>
          <w:right w:w="108" w:type="dxa"/>
        </w:tblCellMar>
      </w:tblPr>
      <w:tblGrid>
        <w:gridCol w:w="2203"/>
        <w:gridCol w:w="659"/>
        <w:gridCol w:w="3704"/>
        <w:gridCol w:w="2035"/>
      </w:tblGrid>
      <w:tr>
        <w:tblPrEx>
          <w:tblCellMar>
            <w:top w:w="0" w:type="dxa"/>
            <w:left w:w="108" w:type="dxa"/>
            <w:bottom w:w="0" w:type="dxa"/>
            <w:right w:w="108" w:type="dxa"/>
          </w:tblCellMar>
        </w:tblPrEx>
        <w:trPr>
          <w:trHeight w:val="375" w:hRule="atLeast"/>
        </w:trPr>
        <w:tc>
          <w:tcPr>
            <w:tcW w:w="2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hint="default" w:ascii="Times New Roman" w:hAnsi="Times New Roman" w:eastAsia="黑体" w:cs="Times New Roman"/>
                <w:b w:val="0"/>
                <w:bCs w:val="0"/>
                <w:color w:val="000000"/>
                <w:sz w:val="21"/>
                <w:szCs w:val="21"/>
              </w:rPr>
            </w:pPr>
            <w:r>
              <w:rPr>
                <w:rFonts w:hint="default" w:ascii="Times New Roman" w:hAnsi="Times New Roman" w:eastAsia="黑体" w:cs="Times New Roman"/>
                <w:b w:val="0"/>
                <w:bCs w:val="0"/>
                <w:color w:val="000000"/>
                <w:kern w:val="0"/>
                <w:sz w:val="21"/>
                <w:szCs w:val="21"/>
                <w:lang w:bidi="ar"/>
              </w:rPr>
              <w:t>问题分类</w:t>
            </w: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hint="default" w:ascii="Times New Roman" w:hAnsi="Times New Roman" w:eastAsia="黑体" w:cs="Times New Roman"/>
                <w:b w:val="0"/>
                <w:bCs w:val="0"/>
                <w:color w:val="000000"/>
                <w:sz w:val="21"/>
                <w:szCs w:val="21"/>
              </w:rPr>
            </w:pPr>
            <w:r>
              <w:rPr>
                <w:rFonts w:hint="default" w:ascii="Times New Roman" w:hAnsi="Times New Roman" w:eastAsia="黑体" w:cs="Times New Roman"/>
                <w:b w:val="0"/>
                <w:bCs w:val="0"/>
                <w:color w:val="000000"/>
                <w:kern w:val="0"/>
                <w:sz w:val="21"/>
                <w:szCs w:val="21"/>
                <w:lang w:bidi="ar"/>
              </w:rPr>
              <w:t>序号</w:t>
            </w:r>
          </w:p>
        </w:tc>
        <w:tc>
          <w:tcPr>
            <w:tcW w:w="3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hint="default" w:ascii="Times New Roman" w:hAnsi="Times New Roman" w:eastAsia="黑体" w:cs="Times New Roman"/>
                <w:b w:val="0"/>
                <w:bCs w:val="0"/>
                <w:color w:val="000000"/>
                <w:sz w:val="21"/>
                <w:szCs w:val="21"/>
              </w:rPr>
            </w:pPr>
            <w:r>
              <w:rPr>
                <w:rFonts w:hint="default" w:ascii="Times New Roman" w:hAnsi="Times New Roman" w:eastAsia="黑体" w:cs="Times New Roman"/>
                <w:b w:val="0"/>
                <w:bCs w:val="0"/>
                <w:color w:val="000000"/>
                <w:kern w:val="0"/>
                <w:sz w:val="21"/>
                <w:szCs w:val="21"/>
                <w:lang w:bidi="ar"/>
              </w:rPr>
              <w:t>问题描述</w:t>
            </w:r>
          </w:p>
        </w:tc>
        <w:tc>
          <w:tcPr>
            <w:tcW w:w="2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hint="default" w:ascii="Times New Roman" w:hAnsi="Times New Roman" w:eastAsia="黑体" w:cs="Times New Roman"/>
                <w:b w:val="0"/>
                <w:bCs w:val="0"/>
                <w:color w:val="000000"/>
                <w:sz w:val="21"/>
                <w:szCs w:val="21"/>
              </w:rPr>
            </w:pPr>
            <w:r>
              <w:rPr>
                <w:rFonts w:hint="default" w:ascii="Times New Roman" w:hAnsi="Times New Roman" w:eastAsia="黑体" w:cs="Times New Roman"/>
                <w:b w:val="0"/>
                <w:bCs w:val="0"/>
                <w:color w:val="000000"/>
                <w:kern w:val="0"/>
                <w:sz w:val="21"/>
                <w:szCs w:val="21"/>
                <w:lang w:bidi="ar"/>
              </w:rPr>
              <w:t>项目责任单位</w:t>
            </w:r>
          </w:p>
        </w:tc>
      </w:tr>
      <w:tr>
        <w:tblPrEx>
          <w:tblCellMar>
            <w:top w:w="0" w:type="dxa"/>
            <w:left w:w="108" w:type="dxa"/>
            <w:bottom w:w="0" w:type="dxa"/>
            <w:right w:w="108" w:type="dxa"/>
          </w:tblCellMar>
        </w:tblPrEx>
        <w:trPr>
          <w:trHeight w:val="774" w:hRule="atLeast"/>
        </w:trPr>
        <w:tc>
          <w:tcPr>
            <w:tcW w:w="22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1"/>
                <w:szCs w:val="21"/>
              </w:rPr>
            </w:pPr>
            <w:r>
              <w:rPr>
                <w:rFonts w:hint="default" w:ascii="Times New Roman" w:hAnsi="Times New Roman" w:cs="Times New Roman"/>
                <w:b w:val="0"/>
                <w:bCs w:val="0"/>
                <w:color w:val="000000"/>
                <w:kern w:val="0"/>
                <w:sz w:val="21"/>
                <w:szCs w:val="21"/>
                <w:lang w:bidi="ar"/>
              </w:rPr>
              <w:t>项目立项存在的问题</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1"/>
                <w:szCs w:val="21"/>
              </w:rPr>
            </w:pPr>
            <w:r>
              <w:rPr>
                <w:rFonts w:hint="default" w:ascii="Times New Roman" w:hAnsi="Times New Roman" w:cs="Times New Roman"/>
                <w:b w:val="0"/>
                <w:bCs w:val="0"/>
                <w:color w:val="000000"/>
                <w:kern w:val="0"/>
                <w:sz w:val="21"/>
                <w:szCs w:val="21"/>
                <w:lang w:bidi="ar"/>
              </w:rPr>
              <w:t>1</w:t>
            </w:r>
          </w:p>
        </w:tc>
        <w:tc>
          <w:tcPr>
            <w:tcW w:w="37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hint="default" w:ascii="Times New Roman" w:hAnsi="Times New Roman" w:cs="Times New Roman"/>
                <w:b w:val="0"/>
                <w:bCs w:val="0"/>
                <w:color w:val="000000"/>
                <w:sz w:val="21"/>
                <w:szCs w:val="21"/>
              </w:rPr>
            </w:pPr>
            <w:r>
              <w:rPr>
                <w:rFonts w:hint="default" w:ascii="Times New Roman" w:hAnsi="Times New Roman" w:cs="Times New Roman"/>
                <w:b w:val="0"/>
                <w:bCs w:val="0"/>
                <w:color w:val="000000"/>
                <w:kern w:val="0"/>
                <w:sz w:val="21"/>
                <w:szCs w:val="21"/>
                <w:lang w:bidi="ar"/>
              </w:rPr>
              <w:t>无</w:t>
            </w:r>
          </w:p>
        </w:tc>
        <w:tc>
          <w:tcPr>
            <w:tcW w:w="20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1"/>
                <w:szCs w:val="21"/>
              </w:rPr>
            </w:pPr>
            <w:r>
              <w:rPr>
                <w:rFonts w:hint="default" w:ascii="Times New Roman" w:hAnsi="Times New Roman" w:cs="Times New Roman"/>
                <w:b w:val="0"/>
                <w:bCs w:val="0"/>
                <w:color w:val="000000"/>
                <w:kern w:val="0"/>
                <w:sz w:val="21"/>
                <w:szCs w:val="21"/>
                <w:lang w:bidi="ar"/>
              </w:rPr>
              <w:t>济宁市兖州区社会保险服务中心</w:t>
            </w:r>
          </w:p>
        </w:tc>
      </w:tr>
      <w:tr>
        <w:tblPrEx>
          <w:tblCellMar>
            <w:top w:w="0" w:type="dxa"/>
            <w:left w:w="108" w:type="dxa"/>
            <w:bottom w:w="0" w:type="dxa"/>
            <w:right w:w="108" w:type="dxa"/>
          </w:tblCellMar>
        </w:tblPrEx>
        <w:trPr>
          <w:trHeight w:val="449" w:hRule="atLeast"/>
        </w:trPr>
        <w:tc>
          <w:tcPr>
            <w:tcW w:w="22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1"/>
                <w:szCs w:val="21"/>
              </w:rPr>
            </w:pPr>
            <w:r>
              <w:rPr>
                <w:rFonts w:hint="default" w:ascii="Times New Roman" w:hAnsi="Times New Roman" w:cs="Times New Roman"/>
                <w:b w:val="0"/>
                <w:bCs w:val="0"/>
                <w:color w:val="000000"/>
                <w:kern w:val="0"/>
                <w:sz w:val="21"/>
                <w:szCs w:val="21"/>
                <w:lang w:bidi="ar"/>
              </w:rPr>
              <w:t>资金落实存在的问题</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1"/>
                <w:szCs w:val="21"/>
              </w:rPr>
            </w:pPr>
            <w:r>
              <w:rPr>
                <w:rFonts w:hint="default" w:ascii="Times New Roman" w:hAnsi="Times New Roman" w:cs="Times New Roman"/>
                <w:b w:val="0"/>
                <w:bCs w:val="0"/>
                <w:color w:val="000000"/>
                <w:kern w:val="0"/>
                <w:sz w:val="21"/>
                <w:szCs w:val="21"/>
                <w:lang w:bidi="ar"/>
              </w:rPr>
              <w:t>1</w:t>
            </w:r>
          </w:p>
        </w:tc>
        <w:tc>
          <w:tcPr>
            <w:tcW w:w="37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hint="default" w:ascii="Times New Roman" w:hAnsi="Times New Roman" w:cs="Times New Roman"/>
                <w:b w:val="0"/>
                <w:bCs w:val="0"/>
                <w:color w:val="000000"/>
                <w:sz w:val="21"/>
                <w:szCs w:val="21"/>
              </w:rPr>
            </w:pPr>
            <w:r>
              <w:rPr>
                <w:rFonts w:hint="default" w:ascii="Times New Roman" w:hAnsi="Times New Roman" w:cs="Times New Roman"/>
                <w:b w:val="0"/>
                <w:bCs w:val="0"/>
                <w:color w:val="000000"/>
                <w:kern w:val="0"/>
                <w:sz w:val="21"/>
                <w:szCs w:val="21"/>
                <w:lang w:bidi="ar"/>
              </w:rPr>
              <w:t>无</w:t>
            </w:r>
          </w:p>
        </w:tc>
        <w:tc>
          <w:tcPr>
            <w:tcW w:w="20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1"/>
                <w:szCs w:val="21"/>
              </w:rPr>
            </w:pPr>
            <w:r>
              <w:rPr>
                <w:rFonts w:hint="default" w:ascii="Times New Roman" w:hAnsi="Times New Roman" w:cs="Times New Roman"/>
                <w:b w:val="0"/>
                <w:bCs w:val="0"/>
                <w:color w:val="000000"/>
                <w:kern w:val="0"/>
                <w:sz w:val="21"/>
                <w:szCs w:val="21"/>
                <w:lang w:bidi="ar"/>
              </w:rPr>
              <w:t>济宁市兖州区社会保险服务中心</w:t>
            </w:r>
          </w:p>
        </w:tc>
      </w:tr>
      <w:tr>
        <w:tblPrEx>
          <w:tblCellMar>
            <w:top w:w="0" w:type="dxa"/>
            <w:left w:w="108" w:type="dxa"/>
            <w:bottom w:w="0" w:type="dxa"/>
            <w:right w:w="108" w:type="dxa"/>
          </w:tblCellMar>
        </w:tblPrEx>
        <w:trPr>
          <w:trHeight w:val="1287" w:hRule="atLeast"/>
        </w:trPr>
        <w:tc>
          <w:tcPr>
            <w:tcW w:w="22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1"/>
                <w:szCs w:val="21"/>
              </w:rPr>
            </w:pPr>
            <w:r>
              <w:rPr>
                <w:rFonts w:hint="default" w:ascii="Times New Roman" w:hAnsi="Times New Roman" w:cs="Times New Roman"/>
                <w:b w:val="0"/>
                <w:bCs w:val="0"/>
                <w:color w:val="000000"/>
                <w:kern w:val="0"/>
                <w:sz w:val="21"/>
                <w:szCs w:val="21"/>
                <w:lang w:bidi="ar"/>
              </w:rPr>
              <w:t>业务管理存在的问题</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1"/>
                <w:szCs w:val="21"/>
              </w:rPr>
            </w:pPr>
            <w:r>
              <w:rPr>
                <w:rFonts w:hint="default" w:ascii="Times New Roman" w:hAnsi="Times New Roman" w:cs="Times New Roman"/>
                <w:b w:val="0"/>
                <w:bCs w:val="0"/>
                <w:color w:val="000000"/>
                <w:kern w:val="0"/>
                <w:sz w:val="21"/>
                <w:szCs w:val="21"/>
                <w:lang w:bidi="ar"/>
              </w:rPr>
              <w:t>1</w:t>
            </w:r>
          </w:p>
        </w:tc>
        <w:tc>
          <w:tcPr>
            <w:tcW w:w="37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hint="default" w:ascii="Times New Roman" w:hAnsi="Times New Roman" w:cs="Times New Roman"/>
                <w:b w:val="0"/>
                <w:bCs w:val="0"/>
                <w:color w:val="000000"/>
                <w:sz w:val="21"/>
                <w:szCs w:val="21"/>
              </w:rPr>
            </w:pPr>
            <w:r>
              <w:rPr>
                <w:rFonts w:hint="default" w:ascii="Times New Roman" w:hAnsi="Times New Roman" w:cs="Times New Roman"/>
                <w:b w:val="0"/>
                <w:bCs w:val="0"/>
                <w:color w:val="000000"/>
                <w:kern w:val="0"/>
                <w:sz w:val="21"/>
                <w:szCs w:val="21"/>
                <w:lang w:bidi="ar"/>
              </w:rPr>
              <w:t>项目单位未针对本地区实际情况及具体项目管理作进一步明确。经沟通确认，项目单位只是按照上述政策文件精神和要求开展有关工作，未进一步制订具体实施方案和专门的业务管理制度。</w:t>
            </w:r>
          </w:p>
        </w:tc>
        <w:tc>
          <w:tcPr>
            <w:tcW w:w="20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1"/>
                <w:szCs w:val="21"/>
              </w:rPr>
            </w:pPr>
            <w:r>
              <w:rPr>
                <w:rFonts w:hint="default" w:ascii="Times New Roman" w:hAnsi="Times New Roman" w:cs="Times New Roman"/>
                <w:b w:val="0"/>
                <w:bCs w:val="0"/>
                <w:color w:val="000000"/>
                <w:kern w:val="0"/>
                <w:sz w:val="21"/>
                <w:szCs w:val="21"/>
                <w:lang w:bidi="ar"/>
              </w:rPr>
              <w:t>济宁市兖州区社会保险服务中心</w:t>
            </w:r>
          </w:p>
        </w:tc>
      </w:tr>
      <w:tr>
        <w:tblPrEx>
          <w:tblCellMar>
            <w:top w:w="0" w:type="dxa"/>
            <w:left w:w="108" w:type="dxa"/>
            <w:bottom w:w="0" w:type="dxa"/>
            <w:right w:w="108" w:type="dxa"/>
          </w:tblCellMar>
        </w:tblPrEx>
        <w:trPr>
          <w:trHeight w:val="939" w:hRule="atLeast"/>
        </w:trPr>
        <w:tc>
          <w:tcPr>
            <w:tcW w:w="22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1"/>
                <w:szCs w:val="21"/>
              </w:rPr>
            </w:pPr>
            <w:r>
              <w:rPr>
                <w:rFonts w:hint="default" w:ascii="Times New Roman" w:hAnsi="Times New Roman" w:cs="Times New Roman"/>
                <w:b w:val="0"/>
                <w:bCs w:val="0"/>
                <w:color w:val="000000"/>
                <w:kern w:val="0"/>
                <w:sz w:val="21"/>
                <w:szCs w:val="21"/>
                <w:lang w:bidi="ar"/>
              </w:rPr>
              <w:t>项目产出存在的问题</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1"/>
                <w:szCs w:val="21"/>
              </w:rPr>
            </w:pPr>
            <w:r>
              <w:rPr>
                <w:rFonts w:hint="default" w:ascii="Times New Roman" w:hAnsi="Times New Roman" w:cs="Times New Roman"/>
                <w:b w:val="0"/>
                <w:bCs w:val="0"/>
                <w:color w:val="000000"/>
                <w:kern w:val="0"/>
                <w:sz w:val="21"/>
                <w:szCs w:val="21"/>
                <w:lang w:bidi="ar"/>
              </w:rPr>
              <w:t>1</w:t>
            </w:r>
          </w:p>
        </w:tc>
        <w:tc>
          <w:tcPr>
            <w:tcW w:w="37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hint="default" w:ascii="Times New Roman" w:hAnsi="Times New Roman" w:cs="Times New Roman"/>
                <w:b w:val="0"/>
                <w:bCs w:val="0"/>
                <w:color w:val="000000"/>
                <w:sz w:val="21"/>
                <w:szCs w:val="21"/>
              </w:rPr>
            </w:pPr>
            <w:r>
              <w:rPr>
                <w:rFonts w:hint="default" w:ascii="Times New Roman" w:hAnsi="Times New Roman" w:cs="Times New Roman"/>
                <w:b w:val="0"/>
                <w:bCs w:val="0"/>
                <w:color w:val="000000"/>
                <w:kern w:val="0"/>
                <w:sz w:val="21"/>
                <w:szCs w:val="21"/>
                <w:lang w:bidi="ar"/>
              </w:rPr>
              <w:t>项目单位未及时更新实际领取人数和参保人数，相关指标和数据与年初申报表完全一样，不能很好地反应项目实际完成率。</w:t>
            </w:r>
          </w:p>
        </w:tc>
        <w:tc>
          <w:tcPr>
            <w:tcW w:w="20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1"/>
                <w:szCs w:val="21"/>
              </w:rPr>
            </w:pPr>
            <w:r>
              <w:rPr>
                <w:rFonts w:hint="default" w:ascii="Times New Roman" w:hAnsi="Times New Roman" w:cs="Times New Roman"/>
                <w:b w:val="0"/>
                <w:bCs w:val="0"/>
                <w:color w:val="000000"/>
                <w:kern w:val="0"/>
                <w:sz w:val="21"/>
                <w:szCs w:val="21"/>
                <w:lang w:bidi="ar"/>
              </w:rPr>
              <w:t>济宁市兖州区社会保险服务中心</w:t>
            </w:r>
          </w:p>
        </w:tc>
      </w:tr>
      <w:tr>
        <w:tblPrEx>
          <w:tblCellMar>
            <w:top w:w="0" w:type="dxa"/>
            <w:left w:w="108" w:type="dxa"/>
            <w:bottom w:w="0" w:type="dxa"/>
            <w:right w:w="108" w:type="dxa"/>
          </w:tblCellMar>
        </w:tblPrEx>
        <w:trPr>
          <w:trHeight w:val="90" w:hRule="atLeast"/>
        </w:trPr>
        <w:tc>
          <w:tcPr>
            <w:tcW w:w="22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1"/>
                <w:szCs w:val="21"/>
              </w:rPr>
            </w:pPr>
            <w:r>
              <w:rPr>
                <w:rFonts w:hint="default" w:ascii="Times New Roman" w:hAnsi="Times New Roman" w:cs="Times New Roman"/>
                <w:b w:val="0"/>
                <w:bCs w:val="0"/>
                <w:color w:val="000000"/>
                <w:kern w:val="0"/>
                <w:sz w:val="21"/>
                <w:szCs w:val="21"/>
                <w:lang w:bidi="ar"/>
              </w:rPr>
              <w:t>项目效益存在的问题</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1"/>
                <w:szCs w:val="21"/>
              </w:rPr>
            </w:pPr>
            <w:r>
              <w:rPr>
                <w:rFonts w:hint="default" w:ascii="Times New Roman" w:hAnsi="Times New Roman" w:cs="Times New Roman"/>
                <w:b w:val="0"/>
                <w:bCs w:val="0"/>
                <w:color w:val="000000"/>
                <w:kern w:val="0"/>
                <w:sz w:val="21"/>
                <w:szCs w:val="21"/>
                <w:lang w:bidi="ar"/>
              </w:rPr>
              <w:t>1</w:t>
            </w:r>
          </w:p>
        </w:tc>
        <w:tc>
          <w:tcPr>
            <w:tcW w:w="37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hint="default" w:ascii="Times New Roman" w:hAnsi="Times New Roman" w:cs="Times New Roman"/>
                <w:b w:val="0"/>
                <w:bCs w:val="0"/>
                <w:color w:val="000000"/>
                <w:sz w:val="21"/>
                <w:szCs w:val="21"/>
              </w:rPr>
            </w:pPr>
            <w:r>
              <w:rPr>
                <w:rFonts w:hint="default" w:ascii="Times New Roman" w:hAnsi="Times New Roman" w:cs="Times New Roman"/>
                <w:b w:val="0"/>
                <w:bCs w:val="0"/>
                <w:color w:val="000000"/>
                <w:kern w:val="0"/>
                <w:sz w:val="21"/>
                <w:szCs w:val="21"/>
                <w:lang w:bidi="ar"/>
              </w:rPr>
              <w:t>项目总结工作不足。</w:t>
            </w:r>
          </w:p>
        </w:tc>
        <w:tc>
          <w:tcPr>
            <w:tcW w:w="20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1"/>
                <w:szCs w:val="21"/>
              </w:rPr>
            </w:pPr>
            <w:r>
              <w:rPr>
                <w:rFonts w:hint="default" w:ascii="Times New Roman" w:hAnsi="Times New Roman" w:cs="Times New Roman"/>
                <w:b w:val="0"/>
                <w:bCs w:val="0"/>
                <w:color w:val="000000"/>
                <w:kern w:val="0"/>
                <w:sz w:val="21"/>
                <w:szCs w:val="21"/>
                <w:lang w:bidi="ar"/>
              </w:rPr>
              <w:t>济宁市兖州区社会保险服务中心</w:t>
            </w:r>
          </w:p>
        </w:tc>
      </w:tr>
      <w:tr>
        <w:tblPrEx>
          <w:tblCellMar>
            <w:top w:w="0" w:type="dxa"/>
            <w:left w:w="108" w:type="dxa"/>
            <w:bottom w:w="0" w:type="dxa"/>
            <w:right w:w="108" w:type="dxa"/>
          </w:tblCellMar>
        </w:tblPrEx>
        <w:trPr>
          <w:trHeight w:val="375" w:hRule="atLeast"/>
        </w:trPr>
        <w:tc>
          <w:tcPr>
            <w:tcW w:w="8601" w:type="dxa"/>
            <w:gridSpan w:val="4"/>
            <w:tcBorders>
              <w:top w:val="single" w:color="000000" w:sz="4" w:space="0"/>
              <w:left w:val="single" w:color="000000" w:sz="4" w:space="0"/>
              <w:bottom w:val="single" w:color="000000" w:sz="4" w:space="0"/>
              <w:right w:val="single" w:color="000000" w:sz="4" w:space="0"/>
            </w:tcBorders>
            <w:shd w:val="clear" w:color="auto" w:fill="auto"/>
          </w:tcPr>
          <w:p>
            <w:pPr>
              <w:widowControl/>
              <w:ind w:firstLine="0" w:firstLineChars="0"/>
              <w:jc w:val="left"/>
              <w:textAlignment w:val="top"/>
              <w:rPr>
                <w:rFonts w:hint="default" w:ascii="Times New Roman" w:hAnsi="Times New Roman" w:cs="Times New Roman"/>
                <w:b w:val="0"/>
                <w:bCs w:val="0"/>
                <w:color w:val="000000"/>
                <w:sz w:val="21"/>
                <w:szCs w:val="21"/>
              </w:rPr>
            </w:pPr>
            <w:r>
              <w:rPr>
                <w:rFonts w:hint="default" w:ascii="Times New Roman" w:hAnsi="Times New Roman" w:cs="Times New Roman"/>
                <w:b w:val="0"/>
                <w:bCs w:val="0"/>
                <w:color w:val="000000"/>
                <w:kern w:val="0"/>
                <w:sz w:val="21"/>
                <w:szCs w:val="21"/>
                <w:lang w:bidi="ar"/>
              </w:rPr>
              <w:t>备注：</w:t>
            </w:r>
          </w:p>
        </w:tc>
      </w:tr>
    </w:tbl>
    <w:p>
      <w:pPr>
        <w:ind w:firstLine="540"/>
        <w:rPr>
          <w:rFonts w:hint="default" w:ascii="Times New Roman" w:hAnsi="Times New Roman" w:cs="Times New Roman"/>
          <w:b w:val="0"/>
          <w:bCs w:val="0"/>
        </w:rPr>
      </w:pPr>
      <w:r>
        <w:rPr>
          <w:rFonts w:hint="default" w:ascii="Times New Roman" w:hAnsi="Times New Roman" w:cs="Times New Roman"/>
          <w:b w:val="0"/>
          <w:bCs w:val="0"/>
        </w:rPr>
        <w:br w:type="page"/>
      </w:r>
    </w:p>
    <w:p>
      <w:pPr>
        <w:pStyle w:val="3"/>
        <w:ind w:firstLine="600"/>
        <w:rPr>
          <w:rFonts w:hint="default" w:ascii="Times New Roman" w:hAnsi="Times New Roman" w:eastAsia="方正小标宋_GBK" w:cs="Times New Roman"/>
          <w:b w:val="0"/>
          <w:bCs w:val="0"/>
        </w:rPr>
      </w:pPr>
      <w:bookmarkStart w:id="310" w:name="_Toc11050"/>
      <w:r>
        <w:rPr>
          <w:rFonts w:hint="default" w:ascii="Times New Roman" w:hAnsi="Times New Roman" w:eastAsia="方正小标宋_GBK" w:cs="Times New Roman"/>
          <w:b w:val="0"/>
          <w:bCs w:val="0"/>
        </w:rPr>
        <w:t>附</w:t>
      </w:r>
      <w:r>
        <w:rPr>
          <w:rFonts w:hint="default" w:ascii="Times New Roman" w:hAnsi="Times New Roman" w:eastAsia="方正小标宋_GBK" w:cs="Times New Roman"/>
          <w:b w:val="0"/>
          <w:bCs w:val="0"/>
          <w:lang w:val="en-US" w:eastAsia="zh-CN"/>
        </w:rPr>
        <w:t>件</w:t>
      </w:r>
      <w:r>
        <w:rPr>
          <w:rFonts w:hint="default" w:ascii="Times New Roman" w:hAnsi="Times New Roman" w:eastAsia="方正小标宋_GBK" w:cs="Times New Roman"/>
          <w:b w:val="0"/>
          <w:bCs w:val="0"/>
        </w:rPr>
        <w:t>3：调查分析报告</w:t>
      </w:r>
      <w:bookmarkEnd w:id="310"/>
    </w:p>
    <w:p>
      <w:pPr>
        <w:pStyle w:val="4"/>
        <w:ind w:firstLine="0" w:firstLineChars="0"/>
        <w:jc w:val="center"/>
        <w:rPr>
          <w:rFonts w:hint="default" w:ascii="Times New Roman" w:hAnsi="Times New Roman" w:eastAsia="方正小标宋简体" w:cs="Times New Roman"/>
          <w:b w:val="0"/>
          <w:bCs w:val="0"/>
          <w:kern w:val="2"/>
          <w:sz w:val="44"/>
          <w:szCs w:val="44"/>
        </w:rPr>
      </w:pPr>
    </w:p>
    <w:p>
      <w:pPr>
        <w:pStyle w:val="4"/>
        <w:ind w:firstLine="0" w:firstLineChars="0"/>
        <w:jc w:val="center"/>
        <w:rPr>
          <w:rFonts w:hint="default" w:ascii="Times New Roman" w:hAnsi="Times New Roman" w:eastAsia="方正小标宋简体" w:cs="Times New Roman"/>
          <w:b w:val="0"/>
          <w:bCs w:val="0"/>
          <w:kern w:val="2"/>
          <w:sz w:val="44"/>
          <w:szCs w:val="44"/>
        </w:rPr>
      </w:pPr>
      <w:r>
        <w:rPr>
          <w:rFonts w:hint="default" w:ascii="Times New Roman" w:hAnsi="Times New Roman" w:eastAsia="方正小标宋简体" w:cs="Times New Roman"/>
          <w:b w:val="0"/>
          <w:bCs w:val="0"/>
          <w:kern w:val="2"/>
          <w:sz w:val="44"/>
          <w:szCs w:val="44"/>
        </w:rPr>
        <w:t>2021年兖州区机关事业单位基本养老保险基金支出项目绩效评价调查分析报告</w:t>
      </w:r>
    </w:p>
    <w:p>
      <w:pPr>
        <w:pStyle w:val="4"/>
        <w:rPr>
          <w:rFonts w:hint="default" w:ascii="Times New Roman" w:hAnsi="Times New Roman" w:cs="Times New Roman"/>
          <w:b w:val="0"/>
          <w:bCs w:val="0"/>
          <w:kern w:val="2"/>
          <w:sz w:val="32"/>
        </w:rPr>
      </w:pPr>
    </w:p>
    <w:p>
      <w:pPr>
        <w:pStyle w:val="4"/>
        <w:outlineLvl w:val="0"/>
        <w:rPr>
          <w:rFonts w:hint="default" w:ascii="Times New Roman" w:hAnsi="Times New Roman" w:eastAsia="黑体" w:cs="Times New Roman"/>
          <w:b w:val="0"/>
          <w:bCs w:val="0"/>
          <w:kern w:val="2"/>
          <w:sz w:val="32"/>
        </w:rPr>
      </w:pPr>
      <w:bookmarkStart w:id="311" w:name="_Toc10128"/>
      <w:bookmarkStart w:id="312" w:name="_Toc21934"/>
      <w:r>
        <w:rPr>
          <w:rFonts w:hint="default" w:ascii="Times New Roman" w:hAnsi="Times New Roman" w:eastAsia="黑体" w:cs="Times New Roman"/>
          <w:b w:val="0"/>
          <w:bCs w:val="0"/>
          <w:kern w:val="2"/>
          <w:sz w:val="32"/>
        </w:rPr>
        <w:t>一、调查背景</w:t>
      </w:r>
      <w:bookmarkEnd w:id="311"/>
      <w:bookmarkEnd w:id="312"/>
    </w:p>
    <w:p>
      <w:pPr>
        <w:rPr>
          <w:rFonts w:hint="default" w:ascii="Times New Roman" w:hAnsi="Times New Roman" w:eastAsia="仿宋" w:cs="Times New Roman"/>
          <w:b w:val="0"/>
          <w:bCs w:val="0"/>
          <w:kern w:val="0"/>
          <w:sz w:val="32"/>
          <w:szCs w:val="32"/>
        </w:rPr>
      </w:pPr>
      <w:r>
        <w:rPr>
          <w:rFonts w:hint="default" w:ascii="Times New Roman" w:hAnsi="Times New Roman" w:eastAsia="仿宋" w:cs="Times New Roman"/>
          <w:b w:val="0"/>
          <w:bCs w:val="0"/>
          <w:kern w:val="0"/>
          <w:sz w:val="32"/>
          <w:szCs w:val="32"/>
        </w:rPr>
        <w:t>针对兖州区2021年机关事业单位基本养老保险基金支出项目，逐项调查兖州区社会保险服务中心在政策执行过程中的项目决策、项目管理和项目绩效情况，主要涉及项目执行过程中的政策执行、管理制度建设、资金使用规范性、资金的使用和产出效果等，全面评价项目绩效状况。在此基础上，针对项目执行过程中存在的问题及不足，提出针对性的改进意见，以促进项目单位的项目管理水平，提升政策实施效果和财政资金的使用效益，为下一步的预算资金安排和完善提供参考。</w:t>
      </w:r>
    </w:p>
    <w:p>
      <w:pPr>
        <w:outlineLvl w:val="0"/>
        <w:rPr>
          <w:rFonts w:hint="default" w:ascii="Times New Roman" w:hAnsi="Times New Roman" w:eastAsia="黑体" w:cs="Times New Roman"/>
          <w:b w:val="0"/>
          <w:bCs w:val="0"/>
          <w:sz w:val="32"/>
          <w:szCs w:val="21"/>
        </w:rPr>
      </w:pPr>
      <w:bookmarkStart w:id="313" w:name="_Toc17564"/>
      <w:bookmarkStart w:id="314" w:name="_Toc13099"/>
      <w:r>
        <w:rPr>
          <w:rFonts w:hint="default" w:ascii="Times New Roman" w:hAnsi="Times New Roman" w:eastAsia="黑体" w:cs="Times New Roman"/>
          <w:b w:val="0"/>
          <w:bCs w:val="0"/>
          <w:sz w:val="32"/>
          <w:szCs w:val="21"/>
        </w:rPr>
        <w:t>二、调查问卷内容</w:t>
      </w:r>
      <w:bookmarkEnd w:id="313"/>
      <w:bookmarkEnd w:id="314"/>
    </w:p>
    <w:p>
      <w:pPr>
        <w:spacing w:line="560" w:lineRule="exact"/>
        <w:outlineLvl w:val="1"/>
        <w:rPr>
          <w:rFonts w:hint="default" w:ascii="Times New Roman" w:hAnsi="Times New Roman" w:eastAsia="楷体" w:cs="Times New Roman"/>
          <w:b w:val="0"/>
          <w:bCs w:val="0"/>
          <w:sz w:val="32"/>
          <w:szCs w:val="32"/>
        </w:rPr>
      </w:pPr>
      <w:bookmarkStart w:id="315" w:name="_Toc15586"/>
      <w:bookmarkStart w:id="316" w:name="_Toc10341"/>
      <w:bookmarkStart w:id="317" w:name="_Toc17161"/>
      <w:bookmarkStart w:id="318" w:name="_Toc13984"/>
      <w:bookmarkStart w:id="319" w:name="_Toc22194"/>
      <w:r>
        <w:rPr>
          <w:rFonts w:hint="default" w:ascii="Times New Roman" w:hAnsi="Times New Roman" w:eastAsia="楷体" w:cs="Times New Roman"/>
          <w:b w:val="0"/>
          <w:bCs w:val="0"/>
          <w:sz w:val="32"/>
          <w:szCs w:val="32"/>
        </w:rPr>
        <w:t>（一）调查对象基本信息</w:t>
      </w:r>
      <w:bookmarkEnd w:id="315"/>
      <w:bookmarkEnd w:id="316"/>
      <w:bookmarkEnd w:id="317"/>
      <w:bookmarkEnd w:id="318"/>
      <w:bookmarkEnd w:id="319"/>
    </w:p>
    <w:p>
      <w:pPr>
        <w:rPr>
          <w:rFonts w:hint="default" w:ascii="Times New Roman" w:hAnsi="Times New Roman" w:cs="Times New Roman"/>
          <w:b w:val="0"/>
          <w:bCs w:val="0"/>
        </w:rPr>
      </w:pPr>
      <w:r>
        <w:rPr>
          <w:rFonts w:hint="default" w:ascii="Times New Roman" w:hAnsi="Times New Roman" w:eastAsia="仿宋" w:cs="Times New Roman"/>
          <w:b w:val="0"/>
          <w:bCs w:val="0"/>
          <w:sz w:val="32"/>
          <w:szCs w:val="32"/>
        </w:rPr>
        <w:t>本次调研对象为2021年兖州区机关事业单位基本养老保险基金支出项目涉及的相关人员。</w:t>
      </w:r>
    </w:p>
    <w:p>
      <w:pPr>
        <w:numPr>
          <w:ilvl w:val="0"/>
          <w:numId w:val="2"/>
        </w:numPr>
        <w:spacing w:line="560" w:lineRule="exact"/>
        <w:outlineLvl w:val="1"/>
        <w:rPr>
          <w:rFonts w:hint="default" w:ascii="Times New Roman" w:hAnsi="Times New Roman" w:eastAsia="楷体" w:cs="Times New Roman"/>
          <w:b w:val="0"/>
          <w:bCs w:val="0"/>
          <w:sz w:val="32"/>
          <w:szCs w:val="32"/>
        </w:rPr>
      </w:pPr>
      <w:bookmarkStart w:id="320" w:name="_Toc8528"/>
      <w:bookmarkStart w:id="321" w:name="_Toc5261"/>
      <w:bookmarkStart w:id="322" w:name="_Toc7200"/>
      <w:bookmarkStart w:id="323" w:name="_Toc29037"/>
      <w:bookmarkStart w:id="324" w:name="_Toc18223"/>
      <w:r>
        <w:rPr>
          <w:rFonts w:hint="default" w:ascii="Times New Roman" w:hAnsi="Times New Roman" w:eastAsia="楷体" w:cs="Times New Roman"/>
          <w:b w:val="0"/>
          <w:bCs w:val="0"/>
          <w:sz w:val="32"/>
          <w:szCs w:val="32"/>
        </w:rPr>
        <w:t>调查对象基本问题</w:t>
      </w:r>
      <w:bookmarkEnd w:id="320"/>
      <w:bookmarkEnd w:id="321"/>
      <w:bookmarkEnd w:id="322"/>
      <w:bookmarkEnd w:id="323"/>
      <w:bookmarkEnd w:id="324"/>
    </w:p>
    <w:p>
      <w:pPr>
        <w:pStyle w:val="9"/>
        <w:ind w:firstLine="640"/>
        <w:rPr>
          <w:rFonts w:hint="default" w:ascii="Times New Roman" w:hAnsi="Times New Roman" w:cs="Times New Roman"/>
          <w:b w:val="0"/>
          <w:bCs w:val="0"/>
        </w:rPr>
      </w:pPr>
      <w:r>
        <w:rPr>
          <w:rFonts w:hint="default" w:ascii="Times New Roman" w:hAnsi="Times New Roman" w:eastAsia="仿宋" w:cs="Times New Roman"/>
          <w:b w:val="0"/>
          <w:bCs w:val="0"/>
          <w:sz w:val="32"/>
          <w:szCs w:val="32"/>
        </w:rPr>
        <w:t>本次调查主要是为了了解2021年兖</w:t>
      </w:r>
      <w:r>
        <w:rPr>
          <w:rFonts w:hint="default" w:ascii="Times New Roman" w:hAnsi="Times New Roman" w:eastAsia="仿宋" w:cs="Times New Roman"/>
          <w:b w:val="0"/>
          <w:bCs w:val="0"/>
          <w:kern w:val="0"/>
          <w:sz w:val="32"/>
          <w:szCs w:val="32"/>
        </w:rPr>
        <w:t>州区机关事业单位基本养老保险基金支出项目主要为济宁市兖州区社会保险服务中心2021年征收机关事业单位养老保险费27807万元，发放养老金50796万元，总体收不抵支，每月需财政补贴约2000万元，财政局已经按照申请及时拨付到位，确保了该项养老金的按时足额发放。评价工作组为了</w:t>
      </w:r>
      <w:r>
        <w:rPr>
          <w:rFonts w:hint="default" w:ascii="Times New Roman" w:hAnsi="Times New Roman" w:eastAsia="仿宋" w:cs="Times New Roman"/>
          <w:b w:val="0"/>
          <w:bCs w:val="0"/>
          <w:color w:val="000000"/>
          <w:sz w:val="32"/>
          <w:szCs w:val="32"/>
        </w:rPr>
        <w:t>解和评估</w:t>
      </w:r>
      <w:r>
        <w:rPr>
          <w:rFonts w:hint="default" w:ascii="Times New Roman" w:hAnsi="Times New Roman" w:eastAsia="仿宋" w:cs="Times New Roman"/>
          <w:b w:val="0"/>
          <w:bCs w:val="0"/>
          <w:sz w:val="32"/>
          <w:szCs w:val="32"/>
        </w:rPr>
        <w:t>2021年兖州区机关事业单位基本养老保险基金支出项目</w:t>
      </w:r>
      <w:r>
        <w:rPr>
          <w:rFonts w:hint="default" w:ascii="Times New Roman" w:hAnsi="Times New Roman" w:eastAsia="仿宋" w:cs="Times New Roman"/>
          <w:b w:val="0"/>
          <w:bCs w:val="0"/>
          <w:color w:val="000000"/>
          <w:sz w:val="32"/>
          <w:szCs w:val="32"/>
        </w:rPr>
        <w:t>的资金使用效益，开展了项目满意度调查工作。</w:t>
      </w:r>
    </w:p>
    <w:p>
      <w:pPr>
        <w:spacing w:line="560" w:lineRule="exact"/>
        <w:outlineLvl w:val="1"/>
        <w:rPr>
          <w:rFonts w:hint="default" w:ascii="Times New Roman" w:hAnsi="Times New Roman" w:eastAsia="楷体" w:cs="Times New Roman"/>
          <w:b w:val="0"/>
          <w:bCs w:val="0"/>
          <w:sz w:val="32"/>
          <w:szCs w:val="32"/>
        </w:rPr>
      </w:pPr>
      <w:bookmarkStart w:id="325" w:name="_Toc18483"/>
      <w:bookmarkStart w:id="326" w:name="_Toc12724"/>
      <w:bookmarkStart w:id="327" w:name="_Toc14703"/>
      <w:bookmarkStart w:id="328" w:name="_Toc31530"/>
      <w:bookmarkStart w:id="329" w:name="_Toc45"/>
      <w:r>
        <w:rPr>
          <w:rFonts w:hint="default" w:ascii="Times New Roman" w:hAnsi="Times New Roman" w:eastAsia="楷体" w:cs="Times New Roman"/>
          <w:b w:val="0"/>
          <w:bCs w:val="0"/>
          <w:sz w:val="32"/>
          <w:szCs w:val="32"/>
        </w:rPr>
        <w:t>（三）调查对象的满意度调查</w:t>
      </w:r>
      <w:bookmarkEnd w:id="325"/>
      <w:bookmarkEnd w:id="326"/>
      <w:bookmarkEnd w:id="327"/>
      <w:bookmarkEnd w:id="328"/>
      <w:bookmarkEnd w:id="329"/>
    </w:p>
    <w:p>
      <w:pPr>
        <w:outlineLvl w:val="0"/>
        <w:rPr>
          <w:rFonts w:hint="default" w:ascii="Times New Roman" w:hAnsi="Times New Roman" w:eastAsia="黑体" w:cs="Times New Roman"/>
          <w:b w:val="0"/>
          <w:bCs w:val="0"/>
          <w:sz w:val="32"/>
          <w:szCs w:val="21"/>
        </w:rPr>
      </w:pPr>
      <w:bookmarkStart w:id="330" w:name="_Toc16684"/>
      <w:bookmarkStart w:id="331" w:name="_Toc7579"/>
      <w:r>
        <w:rPr>
          <w:rFonts w:hint="default" w:ascii="Times New Roman" w:hAnsi="Times New Roman" w:eastAsia="黑体" w:cs="Times New Roman"/>
          <w:b w:val="0"/>
          <w:bCs w:val="0"/>
          <w:sz w:val="32"/>
          <w:szCs w:val="21"/>
        </w:rPr>
        <w:t>三、调查方式及计划</w:t>
      </w:r>
      <w:bookmarkEnd w:id="330"/>
      <w:bookmarkEnd w:id="331"/>
    </w:p>
    <w:p>
      <w:pPr>
        <w:spacing w:line="560" w:lineRule="exact"/>
        <w:outlineLvl w:val="1"/>
        <w:rPr>
          <w:rFonts w:hint="default" w:ascii="Times New Roman" w:hAnsi="Times New Roman" w:eastAsia="楷体" w:cs="Times New Roman"/>
          <w:b w:val="0"/>
          <w:bCs w:val="0"/>
          <w:sz w:val="32"/>
          <w:szCs w:val="32"/>
        </w:rPr>
      </w:pPr>
      <w:bookmarkStart w:id="332" w:name="_Toc25608"/>
      <w:bookmarkStart w:id="333" w:name="_Toc18383"/>
      <w:bookmarkStart w:id="334" w:name="_Toc26225"/>
      <w:bookmarkStart w:id="335" w:name="_Toc4332"/>
      <w:bookmarkStart w:id="336" w:name="_Toc23393"/>
      <w:r>
        <w:rPr>
          <w:rFonts w:hint="default" w:ascii="Times New Roman" w:hAnsi="Times New Roman" w:eastAsia="楷体" w:cs="Times New Roman"/>
          <w:b w:val="0"/>
          <w:bCs w:val="0"/>
          <w:sz w:val="32"/>
          <w:szCs w:val="32"/>
        </w:rPr>
        <w:t>（一）调查方式</w:t>
      </w:r>
      <w:bookmarkEnd w:id="332"/>
      <w:bookmarkEnd w:id="333"/>
      <w:bookmarkEnd w:id="334"/>
      <w:bookmarkEnd w:id="335"/>
      <w:bookmarkEnd w:id="336"/>
    </w:p>
    <w:p>
      <w:pPr>
        <w:spacing w:line="560" w:lineRule="exact"/>
        <w:rPr>
          <w:rFonts w:hint="default" w:ascii="Times New Roman" w:hAnsi="Times New Roman" w:eastAsia="仿宋" w:cs="Times New Roman"/>
          <w:b w:val="0"/>
          <w:bCs w:val="0"/>
          <w:sz w:val="32"/>
          <w:szCs w:val="32"/>
        </w:rPr>
      </w:pPr>
      <w:r>
        <w:rPr>
          <w:rFonts w:hint="default" w:ascii="Times New Roman" w:hAnsi="Times New Roman" w:eastAsia="仿宋" w:cs="Times New Roman"/>
          <w:b w:val="0"/>
          <w:bCs w:val="0"/>
          <w:sz w:val="32"/>
          <w:szCs w:val="32"/>
        </w:rPr>
        <w:t>针对上述问卷对象开展问卷调查，在全面调研开展之前先进行论证，根据论证结果对问卷和抽样方式进行修改调整。</w:t>
      </w:r>
    </w:p>
    <w:p>
      <w:pPr>
        <w:spacing w:line="560" w:lineRule="exact"/>
        <w:outlineLvl w:val="1"/>
        <w:rPr>
          <w:rFonts w:hint="default" w:ascii="Times New Roman" w:hAnsi="Times New Roman" w:eastAsia="楷体" w:cs="Times New Roman"/>
          <w:b w:val="0"/>
          <w:bCs w:val="0"/>
          <w:sz w:val="32"/>
          <w:szCs w:val="32"/>
        </w:rPr>
      </w:pPr>
      <w:bookmarkStart w:id="337" w:name="_Toc25267"/>
      <w:bookmarkStart w:id="338" w:name="_Toc28416"/>
      <w:bookmarkStart w:id="339" w:name="_Toc7627"/>
      <w:bookmarkStart w:id="340" w:name="_Toc24664"/>
      <w:bookmarkStart w:id="341" w:name="_Toc25327"/>
      <w:r>
        <w:rPr>
          <w:rFonts w:hint="default" w:ascii="Times New Roman" w:hAnsi="Times New Roman" w:eastAsia="楷体" w:cs="Times New Roman"/>
          <w:b w:val="0"/>
          <w:bCs w:val="0"/>
          <w:sz w:val="32"/>
          <w:szCs w:val="32"/>
        </w:rPr>
        <w:t>（二）抽样方式</w:t>
      </w:r>
      <w:bookmarkEnd w:id="337"/>
      <w:bookmarkEnd w:id="338"/>
      <w:bookmarkEnd w:id="339"/>
      <w:bookmarkEnd w:id="340"/>
      <w:bookmarkEnd w:id="341"/>
    </w:p>
    <w:p>
      <w:pPr>
        <w:spacing w:line="560" w:lineRule="exact"/>
        <w:rPr>
          <w:rFonts w:hint="default" w:ascii="Times New Roman" w:hAnsi="Times New Roman" w:eastAsia="仿宋" w:cs="Times New Roman"/>
          <w:b w:val="0"/>
          <w:bCs w:val="0"/>
          <w:sz w:val="32"/>
          <w:szCs w:val="32"/>
        </w:rPr>
      </w:pPr>
      <w:r>
        <w:rPr>
          <w:rFonts w:hint="default" w:ascii="Times New Roman" w:hAnsi="Times New Roman" w:eastAsia="仿宋" w:cs="Times New Roman"/>
          <w:b w:val="0"/>
          <w:bCs w:val="0"/>
          <w:sz w:val="32"/>
          <w:szCs w:val="32"/>
        </w:rPr>
        <w:t>本次问卷调查采用的方式为简单随机抽样，即对兖州区机关事业单位人员进行随访，总体中的每个个体都有相等的被选中的机会，能够以最佳的方式去创造一个真正代表总体的样本。</w:t>
      </w:r>
    </w:p>
    <w:p>
      <w:pPr>
        <w:spacing w:line="560" w:lineRule="exact"/>
        <w:outlineLvl w:val="0"/>
        <w:rPr>
          <w:rFonts w:hint="default" w:ascii="Times New Roman" w:hAnsi="Times New Roman" w:eastAsia="黑体" w:cs="Times New Roman"/>
          <w:b w:val="0"/>
          <w:bCs w:val="0"/>
          <w:sz w:val="32"/>
          <w:szCs w:val="32"/>
        </w:rPr>
      </w:pPr>
      <w:bookmarkStart w:id="342" w:name="_Toc30092"/>
      <w:bookmarkStart w:id="343" w:name="_Toc14693"/>
      <w:bookmarkStart w:id="344" w:name="_Toc26685"/>
      <w:bookmarkStart w:id="345" w:name="_Toc21007"/>
      <w:bookmarkStart w:id="346" w:name="_Toc9170"/>
      <w:r>
        <w:rPr>
          <w:rFonts w:hint="default" w:ascii="Times New Roman" w:hAnsi="Times New Roman" w:eastAsia="黑体" w:cs="Times New Roman"/>
          <w:b w:val="0"/>
          <w:bCs w:val="0"/>
          <w:sz w:val="32"/>
          <w:szCs w:val="32"/>
        </w:rPr>
        <w:t>四、问卷的发放和回收</w:t>
      </w:r>
      <w:bookmarkEnd w:id="342"/>
      <w:bookmarkEnd w:id="343"/>
      <w:bookmarkEnd w:id="344"/>
      <w:bookmarkEnd w:id="345"/>
      <w:bookmarkEnd w:id="346"/>
    </w:p>
    <w:p>
      <w:pPr>
        <w:spacing w:line="560" w:lineRule="exact"/>
        <w:rPr>
          <w:rFonts w:hint="default" w:ascii="Times New Roman" w:hAnsi="Times New Roman" w:eastAsia="仿宋" w:cs="Times New Roman"/>
          <w:b w:val="0"/>
          <w:bCs w:val="0"/>
          <w:sz w:val="32"/>
          <w:szCs w:val="32"/>
        </w:rPr>
      </w:pPr>
      <w:r>
        <w:rPr>
          <w:rFonts w:hint="default" w:ascii="Times New Roman" w:hAnsi="Times New Roman" w:eastAsia="仿宋" w:cs="Times New Roman"/>
          <w:b w:val="0"/>
          <w:bCs w:val="0"/>
          <w:sz w:val="32"/>
          <w:szCs w:val="32"/>
        </w:rPr>
        <w:t>本次调查共发放问卷100份，回收问卷96份，其中有效问卷96份。</w:t>
      </w:r>
    </w:p>
    <w:p>
      <w:pPr>
        <w:numPr>
          <w:ilvl w:val="0"/>
          <w:numId w:val="3"/>
        </w:numPr>
        <w:spacing w:line="560" w:lineRule="exact"/>
        <w:outlineLvl w:val="0"/>
        <w:rPr>
          <w:rFonts w:hint="default" w:ascii="Times New Roman" w:hAnsi="Times New Roman" w:eastAsia="黑体" w:cs="Times New Roman"/>
          <w:b w:val="0"/>
          <w:bCs w:val="0"/>
          <w:sz w:val="32"/>
          <w:szCs w:val="32"/>
        </w:rPr>
      </w:pPr>
      <w:bookmarkStart w:id="347" w:name="_Toc11846"/>
      <w:bookmarkStart w:id="348" w:name="_Toc29829"/>
      <w:bookmarkStart w:id="349" w:name="_Toc24495"/>
      <w:bookmarkStart w:id="350" w:name="_Toc21044"/>
      <w:bookmarkStart w:id="351" w:name="_Toc217"/>
      <w:r>
        <w:rPr>
          <w:rFonts w:hint="default" w:ascii="Times New Roman" w:hAnsi="Times New Roman" w:eastAsia="黑体" w:cs="Times New Roman"/>
          <w:b w:val="0"/>
          <w:bCs w:val="0"/>
          <w:sz w:val="32"/>
          <w:szCs w:val="32"/>
        </w:rPr>
        <w:t>调查结果分析</w:t>
      </w:r>
      <w:bookmarkEnd w:id="347"/>
      <w:bookmarkEnd w:id="348"/>
      <w:bookmarkEnd w:id="349"/>
      <w:bookmarkEnd w:id="350"/>
      <w:bookmarkEnd w:id="351"/>
    </w:p>
    <w:p>
      <w:pPr>
        <w:pStyle w:val="12"/>
        <w:spacing w:line="560" w:lineRule="exact"/>
        <w:rPr>
          <w:rFonts w:hint="default" w:ascii="Times New Roman" w:hAnsi="Times New Roman" w:eastAsia="仿宋" w:cs="Times New Roman"/>
          <w:b w:val="0"/>
          <w:bCs w:val="0"/>
          <w:sz w:val="32"/>
          <w:szCs w:val="32"/>
        </w:rPr>
      </w:pPr>
      <w:r>
        <w:rPr>
          <w:rFonts w:hint="default" w:ascii="Times New Roman" w:hAnsi="Times New Roman" w:eastAsia="仿宋" w:cs="Times New Roman"/>
          <w:b w:val="0"/>
          <w:bCs w:val="0"/>
          <w:sz w:val="32"/>
          <w:szCs w:val="32"/>
        </w:rPr>
        <w:t>本次调查共回收有效问卷数量96份，问卷调查结果显示，受调查对象了解机关事业单位养老保险政策的有95人，占调查人数的98.96%；不了解机关事业单位养老保险政策的占1人，占调查人数的1.04%。综上可以看出，调查对象基本上都了解机关事业单位养老保险政策。</w:t>
      </w:r>
    </w:p>
    <w:p>
      <w:pPr>
        <w:pStyle w:val="12"/>
        <w:spacing w:line="560" w:lineRule="exact"/>
        <w:rPr>
          <w:rFonts w:hint="default" w:ascii="Times New Roman" w:hAnsi="Times New Roman" w:eastAsia="仿宋" w:cs="Times New Roman"/>
          <w:b w:val="0"/>
          <w:bCs w:val="0"/>
          <w:sz w:val="32"/>
          <w:szCs w:val="32"/>
        </w:rPr>
      </w:pPr>
      <w:r>
        <w:rPr>
          <w:rFonts w:hint="default" w:ascii="Times New Roman" w:hAnsi="Times New Roman" w:eastAsia="仿宋" w:cs="Times New Roman"/>
          <w:b w:val="0"/>
          <w:bCs w:val="0"/>
          <w:sz w:val="32"/>
          <w:szCs w:val="32"/>
        </w:rPr>
        <w:t>受调查对象中对机关事业单位养老保险改革满意的有91人，占调查人数的94.79%；了解您的养老金金额是如何计算的的有92人，占调查人数的95.83%；认为您的养老金发放及时的有90人，占调查人数的93.75%；认为机关事业单位养老保险按照应得额足额发放的有89人，占调查对象的92.71%；对兖州区机关事业单位养老保险社会化管理服务水平满意的有89人，占调查对象的92.71%。综上可以看出，2021年兖</w:t>
      </w:r>
      <w:r>
        <w:rPr>
          <w:rFonts w:hint="default" w:ascii="Times New Roman" w:hAnsi="Times New Roman" w:eastAsia="仿宋" w:cs="Times New Roman"/>
          <w:b w:val="0"/>
          <w:bCs w:val="0"/>
          <w:kern w:val="0"/>
          <w:sz w:val="32"/>
          <w:szCs w:val="32"/>
        </w:rPr>
        <w:t>州区机关事业单位基本养老保险基金支出项目按照预定计划实施，有力保障了相关人员的养老金领取和生活所需，达到了项目的预期效益</w:t>
      </w:r>
      <w:r>
        <w:rPr>
          <w:rFonts w:hint="default" w:ascii="Times New Roman" w:hAnsi="Times New Roman" w:eastAsia="仿宋" w:cs="Times New Roman"/>
          <w:b w:val="0"/>
          <w:bCs w:val="0"/>
          <w:sz w:val="32"/>
          <w:szCs w:val="32"/>
        </w:rPr>
        <w:t>。</w:t>
      </w:r>
    </w:p>
    <w:p>
      <w:pPr>
        <w:pStyle w:val="4"/>
        <w:spacing w:line="580" w:lineRule="exact"/>
        <w:outlineLvl w:val="0"/>
        <w:rPr>
          <w:rFonts w:hint="default" w:ascii="Times New Roman" w:hAnsi="Times New Roman" w:eastAsia="黑体" w:cs="Times New Roman"/>
          <w:b w:val="0"/>
          <w:bCs w:val="0"/>
          <w:sz w:val="32"/>
          <w:szCs w:val="32"/>
        </w:rPr>
      </w:pPr>
      <w:bookmarkStart w:id="352" w:name="_Toc16904"/>
      <w:bookmarkStart w:id="353" w:name="_Toc19518"/>
      <w:r>
        <w:rPr>
          <w:rFonts w:hint="default" w:ascii="Times New Roman" w:hAnsi="Times New Roman" w:eastAsia="黑体" w:cs="Times New Roman"/>
          <w:b w:val="0"/>
          <w:bCs w:val="0"/>
          <w:sz w:val="32"/>
          <w:szCs w:val="32"/>
        </w:rPr>
        <w:t>六、调查结论</w:t>
      </w:r>
      <w:bookmarkEnd w:id="352"/>
      <w:bookmarkEnd w:id="353"/>
    </w:p>
    <w:p>
      <w:pPr>
        <w:pStyle w:val="12"/>
        <w:spacing w:after="0" w:line="560" w:lineRule="exact"/>
        <w:rPr>
          <w:rFonts w:hint="default" w:ascii="Times New Roman" w:hAnsi="Times New Roman" w:eastAsia="仿宋" w:cs="Times New Roman"/>
          <w:b w:val="0"/>
          <w:bCs w:val="0"/>
          <w:sz w:val="32"/>
          <w:szCs w:val="32"/>
        </w:rPr>
      </w:pPr>
      <w:r>
        <w:rPr>
          <w:rFonts w:hint="default" w:ascii="Times New Roman" w:hAnsi="Times New Roman" w:eastAsia="仿宋" w:cs="Times New Roman"/>
          <w:b w:val="0"/>
          <w:bCs w:val="0"/>
          <w:sz w:val="32"/>
          <w:szCs w:val="32"/>
        </w:rPr>
        <w:t>根据调查结果，绝大多数被调查对象对该项目实施表示非常满意，认为2021年兖</w:t>
      </w:r>
      <w:r>
        <w:rPr>
          <w:rFonts w:hint="default" w:ascii="Times New Roman" w:hAnsi="Times New Roman" w:eastAsia="仿宋" w:cs="Times New Roman"/>
          <w:b w:val="0"/>
          <w:bCs w:val="0"/>
          <w:kern w:val="0"/>
          <w:sz w:val="32"/>
          <w:szCs w:val="32"/>
        </w:rPr>
        <w:t>州区机关事业单位基本养老保险基金支出项目</w:t>
      </w:r>
      <w:r>
        <w:rPr>
          <w:rFonts w:hint="default" w:ascii="Times New Roman" w:hAnsi="Times New Roman" w:eastAsia="仿宋" w:cs="Times New Roman"/>
          <w:b w:val="0"/>
          <w:bCs w:val="0"/>
          <w:sz w:val="32"/>
          <w:szCs w:val="32"/>
        </w:rPr>
        <w:t>实施过程有效且能够达到预期效果，项目总体满意度较高。</w:t>
      </w:r>
    </w:p>
    <w:p>
      <w:pPr>
        <w:spacing w:line="580" w:lineRule="exact"/>
        <w:ind w:firstLine="0" w:firstLineChars="0"/>
        <w:jc w:val="left"/>
        <w:rPr>
          <w:rFonts w:hint="default" w:ascii="Times New Roman" w:hAnsi="Times New Roman" w:eastAsia="仿宋_GB2312" w:cs="Times New Roman"/>
          <w:b w:val="0"/>
          <w:bCs w:val="0"/>
          <w:sz w:val="28"/>
          <w:szCs w:val="28"/>
        </w:rPr>
      </w:pPr>
    </w:p>
    <w:p>
      <w:pPr>
        <w:pStyle w:val="2"/>
        <w:ind w:firstLine="560"/>
        <w:rPr>
          <w:rFonts w:hint="default" w:ascii="Times New Roman" w:hAnsi="Times New Roman" w:eastAsia="仿宋_GB2312" w:cs="Times New Roman"/>
          <w:b w:val="0"/>
          <w:bCs w:val="0"/>
          <w:sz w:val="28"/>
          <w:szCs w:val="28"/>
        </w:rPr>
      </w:pPr>
    </w:p>
    <w:p>
      <w:pPr>
        <w:ind w:firstLine="560"/>
        <w:rPr>
          <w:rFonts w:hint="default" w:ascii="Times New Roman" w:hAnsi="Times New Roman" w:eastAsia="仿宋_GB2312" w:cs="Times New Roman"/>
          <w:b w:val="0"/>
          <w:bCs w:val="0"/>
          <w:sz w:val="28"/>
          <w:szCs w:val="28"/>
        </w:rPr>
      </w:pPr>
    </w:p>
    <w:p>
      <w:pPr>
        <w:pStyle w:val="2"/>
        <w:ind w:firstLine="560"/>
        <w:rPr>
          <w:rFonts w:hint="default" w:ascii="Times New Roman" w:hAnsi="Times New Roman" w:eastAsia="仿宋_GB2312" w:cs="Times New Roman"/>
          <w:b w:val="0"/>
          <w:bCs w:val="0"/>
          <w:sz w:val="28"/>
          <w:szCs w:val="28"/>
        </w:rPr>
      </w:pPr>
    </w:p>
    <w:p>
      <w:pPr>
        <w:ind w:firstLine="560"/>
        <w:rPr>
          <w:rFonts w:hint="default" w:ascii="Times New Roman" w:hAnsi="Times New Roman" w:eastAsia="仿宋_GB2312" w:cs="Times New Roman"/>
          <w:b w:val="0"/>
          <w:bCs w:val="0"/>
          <w:sz w:val="28"/>
          <w:szCs w:val="28"/>
        </w:rPr>
      </w:pPr>
    </w:p>
    <w:p>
      <w:pPr>
        <w:pStyle w:val="2"/>
        <w:ind w:left="0" w:leftChars="0" w:firstLine="0" w:firstLineChars="0"/>
        <w:rPr>
          <w:rFonts w:hint="default" w:ascii="Times New Roman" w:hAnsi="Times New Roman" w:cs="Times New Roman"/>
          <w:b w:val="0"/>
          <w:bCs w:val="0"/>
        </w:rPr>
      </w:pPr>
    </w:p>
    <w:p>
      <w:pPr>
        <w:spacing w:line="580" w:lineRule="exact"/>
        <w:ind w:firstLine="560"/>
        <w:jc w:val="left"/>
        <w:rPr>
          <w:rFonts w:hint="default" w:ascii="Times New Roman" w:hAnsi="Times New Roman" w:cs="Times New Roman"/>
          <w:b w:val="0"/>
          <w:bCs w:val="0"/>
        </w:rPr>
      </w:pPr>
      <w:r>
        <w:rPr>
          <w:rFonts w:hint="default" w:ascii="Times New Roman" w:hAnsi="Times New Roman" w:eastAsia="仿宋_GB2312" w:cs="Times New Roman"/>
          <w:b w:val="0"/>
          <w:bCs w:val="0"/>
          <w:sz w:val="28"/>
          <w:szCs w:val="28"/>
        </w:rPr>
        <w:t>附件：</w:t>
      </w:r>
    </w:p>
    <w:p>
      <w:pPr>
        <w:spacing w:line="580" w:lineRule="exact"/>
        <w:ind w:firstLine="0" w:firstLineChars="0"/>
        <w:jc w:val="center"/>
        <w:rPr>
          <w:rFonts w:hint="default" w:ascii="Times New Roman" w:hAnsi="Times New Roman" w:eastAsia="方正小标宋简体" w:cs="Times New Roman"/>
          <w:b w:val="0"/>
          <w:bCs w:val="0"/>
          <w:sz w:val="44"/>
          <w:szCs w:val="44"/>
        </w:rPr>
      </w:pPr>
      <w:r>
        <w:rPr>
          <w:rFonts w:hint="default" w:ascii="Times New Roman" w:hAnsi="Times New Roman" w:eastAsia="方正小标宋简体" w:cs="Times New Roman"/>
          <w:b w:val="0"/>
          <w:bCs w:val="0"/>
          <w:sz w:val="44"/>
          <w:szCs w:val="44"/>
        </w:rPr>
        <w:t>兖州区2021年机关事业单位基本养老保险基金支出项目满意度调查问卷</w:t>
      </w:r>
    </w:p>
    <w:p>
      <w:pPr>
        <w:spacing w:line="580" w:lineRule="exact"/>
        <w:ind w:firstLine="560"/>
        <w:jc w:val="right"/>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——调查对象：兖州区机关事业单位工作人员</w:t>
      </w:r>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受兖州区财政局委托，山东德睿融投资咨询有限公司对兖州区2021年机关事业单位基本养老保险基金支出项目进行绩效评价。根据评价需要开展本次满意度调查，更好地了解项目支出情况，及时掌握机关事业单位退休人员的意见和建议，督促相关部门研究解决实施过程中出现的困难和问题，不断提升机关事业单位养老保险管理水平，特做此调查。非常感谢您抽出宝贵时间来完成这份调查，我们希望倾听您的心声，为您提供更满意的服务！请如实填写以下内容：</w:t>
      </w:r>
    </w:p>
    <w:p>
      <w:pPr>
        <w:spacing w:line="580" w:lineRule="exact"/>
        <w:ind w:firstLine="560"/>
        <w:outlineLvl w:val="1"/>
        <w:rPr>
          <w:rFonts w:hint="default" w:ascii="Times New Roman" w:hAnsi="Times New Roman" w:eastAsia="仿宋_GB2312" w:cs="Times New Roman"/>
          <w:b w:val="0"/>
          <w:bCs w:val="0"/>
          <w:sz w:val="28"/>
          <w:szCs w:val="28"/>
        </w:rPr>
      </w:pPr>
      <w:bookmarkStart w:id="354" w:name="_Toc21895"/>
      <w:bookmarkStart w:id="355" w:name="_Toc4863"/>
      <w:r>
        <w:rPr>
          <w:rFonts w:hint="default" w:ascii="Times New Roman" w:hAnsi="Times New Roman" w:eastAsia="仿宋_GB2312" w:cs="Times New Roman"/>
          <w:b w:val="0"/>
          <w:bCs w:val="0"/>
          <w:sz w:val="28"/>
          <w:szCs w:val="28"/>
        </w:rPr>
        <w:t>1. 您对机关事业单位养老保险改革是否满意？</w:t>
      </w:r>
      <w:bookmarkEnd w:id="354"/>
      <w:bookmarkEnd w:id="355"/>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A.非常满意</w:t>
      </w:r>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B.满意</w:t>
      </w:r>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C.一般</w:t>
      </w:r>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D.不满意</w:t>
      </w:r>
    </w:p>
    <w:p>
      <w:pPr>
        <w:spacing w:line="580" w:lineRule="exact"/>
        <w:ind w:firstLine="560"/>
        <w:outlineLvl w:val="1"/>
        <w:rPr>
          <w:rFonts w:hint="default" w:ascii="Times New Roman" w:hAnsi="Times New Roman" w:eastAsia="仿宋_GB2312" w:cs="Times New Roman"/>
          <w:b w:val="0"/>
          <w:bCs w:val="0"/>
          <w:sz w:val="28"/>
          <w:szCs w:val="28"/>
        </w:rPr>
      </w:pPr>
      <w:bookmarkStart w:id="356" w:name="_Toc22879"/>
      <w:bookmarkStart w:id="357" w:name="_Toc5848"/>
      <w:r>
        <w:rPr>
          <w:rFonts w:hint="default" w:ascii="Times New Roman" w:hAnsi="Times New Roman" w:eastAsia="仿宋_GB2312" w:cs="Times New Roman"/>
          <w:b w:val="0"/>
          <w:bCs w:val="0"/>
          <w:sz w:val="28"/>
          <w:szCs w:val="28"/>
        </w:rPr>
        <w:t>2. 您是否了解机关事业单位工作人员养老保险政策？</w:t>
      </w:r>
      <w:bookmarkEnd w:id="356"/>
      <w:bookmarkEnd w:id="357"/>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A.非常了解</w:t>
      </w:r>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B.了解</w:t>
      </w:r>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C.一般</w:t>
      </w:r>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D.不清楚</w:t>
      </w:r>
    </w:p>
    <w:p>
      <w:pPr>
        <w:spacing w:line="580" w:lineRule="exact"/>
        <w:ind w:firstLine="560"/>
        <w:outlineLvl w:val="1"/>
        <w:rPr>
          <w:rFonts w:hint="default" w:ascii="Times New Roman" w:hAnsi="Times New Roman" w:eastAsia="仿宋_GB2312" w:cs="Times New Roman"/>
          <w:b w:val="0"/>
          <w:bCs w:val="0"/>
          <w:sz w:val="28"/>
          <w:szCs w:val="28"/>
        </w:rPr>
      </w:pPr>
      <w:bookmarkStart w:id="358" w:name="_Toc7339"/>
      <w:bookmarkStart w:id="359" w:name="_Toc13960"/>
      <w:r>
        <w:rPr>
          <w:rFonts w:hint="default" w:ascii="Times New Roman" w:hAnsi="Times New Roman" w:eastAsia="仿宋_GB2312" w:cs="Times New Roman"/>
          <w:b w:val="0"/>
          <w:bCs w:val="0"/>
          <w:sz w:val="28"/>
          <w:szCs w:val="28"/>
        </w:rPr>
        <w:t>3. 您是否了解您的养老金金额是如何计算的？</w:t>
      </w:r>
      <w:bookmarkEnd w:id="358"/>
      <w:bookmarkEnd w:id="359"/>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A.非常了解</w:t>
      </w:r>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B.了解</w:t>
      </w:r>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C.一般</w:t>
      </w:r>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D.不清楚</w:t>
      </w:r>
    </w:p>
    <w:p>
      <w:pPr>
        <w:spacing w:line="580" w:lineRule="exact"/>
        <w:ind w:firstLine="560"/>
        <w:outlineLvl w:val="1"/>
        <w:rPr>
          <w:rFonts w:hint="default" w:ascii="Times New Roman" w:hAnsi="Times New Roman" w:eastAsia="仿宋_GB2312" w:cs="Times New Roman"/>
          <w:b w:val="0"/>
          <w:bCs w:val="0"/>
          <w:sz w:val="28"/>
          <w:szCs w:val="28"/>
        </w:rPr>
      </w:pPr>
      <w:bookmarkStart w:id="360" w:name="_Toc13902"/>
      <w:bookmarkStart w:id="361" w:name="_Toc19873"/>
      <w:r>
        <w:rPr>
          <w:rFonts w:hint="default" w:ascii="Times New Roman" w:hAnsi="Times New Roman" w:eastAsia="仿宋_GB2312" w:cs="Times New Roman"/>
          <w:b w:val="0"/>
          <w:bCs w:val="0"/>
          <w:sz w:val="28"/>
          <w:szCs w:val="28"/>
        </w:rPr>
        <w:t>4. 您认为您的养老金发放是否及时？</w:t>
      </w:r>
      <w:bookmarkEnd w:id="360"/>
      <w:bookmarkEnd w:id="361"/>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A.非常及时</w:t>
      </w:r>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B.较及时</w:t>
      </w:r>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C.一般</w:t>
      </w:r>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D.不及时</w:t>
      </w:r>
    </w:p>
    <w:p>
      <w:pPr>
        <w:spacing w:line="580" w:lineRule="exact"/>
        <w:ind w:firstLine="560"/>
        <w:outlineLvl w:val="1"/>
        <w:rPr>
          <w:rFonts w:hint="default" w:ascii="Times New Roman" w:hAnsi="Times New Roman" w:eastAsia="仿宋_GB2312" w:cs="Times New Roman"/>
          <w:b w:val="0"/>
          <w:bCs w:val="0"/>
          <w:sz w:val="28"/>
          <w:szCs w:val="28"/>
        </w:rPr>
      </w:pPr>
      <w:bookmarkStart w:id="362" w:name="_Toc3783"/>
      <w:bookmarkStart w:id="363" w:name="_Toc32329"/>
      <w:r>
        <w:rPr>
          <w:rFonts w:hint="default" w:ascii="Times New Roman" w:hAnsi="Times New Roman" w:eastAsia="仿宋_GB2312" w:cs="Times New Roman"/>
          <w:b w:val="0"/>
          <w:bCs w:val="0"/>
          <w:sz w:val="28"/>
          <w:szCs w:val="28"/>
        </w:rPr>
        <w:t>5. 您认为机关事业单位养老保险是否按照应得额足额发放？</w:t>
      </w:r>
      <w:bookmarkEnd w:id="362"/>
      <w:bookmarkEnd w:id="363"/>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A.是</w:t>
      </w:r>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B.否</w:t>
      </w:r>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6. 您对兖州区机关事业单位养老保险社会化管理服务水平是否满意？</w:t>
      </w:r>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A.非常满意</w:t>
      </w:r>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B.满意</w:t>
      </w:r>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C.一般</w:t>
      </w:r>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D.不满意</w:t>
      </w:r>
    </w:p>
    <w:p>
      <w:pPr>
        <w:spacing w:line="580" w:lineRule="exact"/>
        <w:ind w:firstLine="560"/>
        <w:outlineLvl w:val="1"/>
        <w:rPr>
          <w:rFonts w:hint="default" w:ascii="Times New Roman" w:hAnsi="Times New Roman" w:eastAsia="仿宋_GB2312" w:cs="Times New Roman"/>
          <w:b w:val="0"/>
          <w:bCs w:val="0"/>
          <w:sz w:val="28"/>
          <w:szCs w:val="28"/>
        </w:rPr>
      </w:pPr>
      <w:bookmarkStart w:id="364" w:name="_Toc24869"/>
      <w:bookmarkStart w:id="365" w:name="_Toc17770"/>
      <w:r>
        <w:rPr>
          <w:rFonts w:hint="default" w:ascii="Times New Roman" w:hAnsi="Times New Roman" w:eastAsia="仿宋_GB2312" w:cs="Times New Roman"/>
          <w:b w:val="0"/>
          <w:bCs w:val="0"/>
          <w:sz w:val="28"/>
          <w:szCs w:val="28"/>
        </w:rPr>
        <w:t>7. 您是否满意政府对机关事业单位退休人员的逐年调整情况？</w:t>
      </w:r>
      <w:bookmarkEnd w:id="364"/>
      <w:bookmarkEnd w:id="365"/>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A.非常满意</w:t>
      </w:r>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B.满意</w:t>
      </w:r>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C.一般</w:t>
      </w:r>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D.不满意</w:t>
      </w:r>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8. 您对2021年兖州区机关事业单位养老保险发放工作的整体评价？</w:t>
      </w:r>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A.非常满意</w:t>
      </w:r>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B.满意</w:t>
      </w:r>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C.一般</w:t>
      </w:r>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D.不满意</w:t>
      </w:r>
    </w:p>
    <w:p>
      <w:pPr>
        <w:spacing w:line="580" w:lineRule="exact"/>
        <w:ind w:firstLine="560"/>
        <w:rPr>
          <w:rFonts w:hint="default" w:ascii="Times New Roman" w:hAnsi="Times New Roman" w:eastAsia="仿宋_GB2312" w:cs="Times New Roman"/>
          <w:b w:val="0"/>
          <w:bCs w:val="0"/>
          <w:sz w:val="28"/>
          <w:szCs w:val="28"/>
        </w:rPr>
      </w:pPr>
      <w:r>
        <w:rPr>
          <w:rFonts w:hint="default" w:ascii="Times New Roman" w:hAnsi="Times New Roman" w:eastAsia="仿宋_GB2312" w:cs="Times New Roman"/>
          <w:b w:val="0"/>
          <w:bCs w:val="0"/>
          <w:sz w:val="28"/>
          <w:szCs w:val="28"/>
        </w:rPr>
        <w:t>9. 您对兖州区2021年机关事业单位养老金发放工作及兖州区社会保险服务中心相关工作有何意见或建议？</w:t>
      </w:r>
    </w:p>
    <w:p>
      <w:pPr>
        <w:ind w:firstLine="540"/>
        <w:rPr>
          <w:rFonts w:hint="default" w:ascii="Times New Roman" w:hAnsi="Times New Roman" w:cs="Times New Roman"/>
          <w:b w:val="0"/>
          <w:bCs w:val="0"/>
        </w:rPr>
      </w:pPr>
      <w:r>
        <w:rPr>
          <w:rFonts w:hint="default" w:ascii="Times New Roman" w:hAnsi="Times New Roman" w:cs="Times New Roman"/>
          <w:b w:val="0"/>
          <w:bCs w:val="0"/>
        </w:rPr>
        <w:br w:type="page"/>
      </w:r>
    </w:p>
    <w:p>
      <w:pPr>
        <w:pStyle w:val="3"/>
        <w:rPr>
          <w:rFonts w:hint="default" w:ascii="Times New Roman" w:hAnsi="Times New Roman" w:eastAsia="方正小标宋_GBK" w:cs="Times New Roman"/>
          <w:b w:val="0"/>
          <w:bCs w:val="0"/>
        </w:rPr>
      </w:pPr>
      <w:bookmarkStart w:id="366" w:name="_Toc13022"/>
      <w:r>
        <w:rPr>
          <w:rFonts w:hint="default" w:ascii="Times New Roman" w:hAnsi="Times New Roman" w:eastAsia="方正小标宋_GBK" w:cs="Times New Roman"/>
          <w:b w:val="0"/>
          <w:bCs w:val="0"/>
        </w:rPr>
        <w:t>附</w:t>
      </w:r>
      <w:r>
        <w:rPr>
          <w:rFonts w:hint="default" w:ascii="Times New Roman" w:hAnsi="Times New Roman" w:eastAsia="方正小标宋_GBK" w:cs="Times New Roman"/>
          <w:b w:val="0"/>
          <w:bCs w:val="0"/>
          <w:lang w:val="en-US" w:eastAsia="zh-CN"/>
        </w:rPr>
        <w:t>件</w:t>
      </w:r>
      <w:r>
        <w:rPr>
          <w:rFonts w:hint="default" w:ascii="Times New Roman" w:hAnsi="Times New Roman" w:eastAsia="方正小标宋_GBK" w:cs="Times New Roman"/>
          <w:b w:val="0"/>
          <w:bCs w:val="0"/>
        </w:rPr>
        <w:t>4：2023年预算项目支出绩效目标表</w:t>
      </w:r>
      <w:bookmarkEnd w:id="366"/>
    </w:p>
    <w:tbl>
      <w:tblPr>
        <w:tblStyle w:val="21"/>
        <w:tblW w:w="8925" w:type="dxa"/>
        <w:jc w:val="center"/>
        <w:tblLayout w:type="fixed"/>
        <w:tblCellMar>
          <w:top w:w="0" w:type="dxa"/>
          <w:left w:w="108" w:type="dxa"/>
          <w:bottom w:w="0" w:type="dxa"/>
          <w:right w:w="108" w:type="dxa"/>
        </w:tblCellMar>
      </w:tblPr>
      <w:tblGrid>
        <w:gridCol w:w="1174"/>
        <w:gridCol w:w="1466"/>
        <w:gridCol w:w="1995"/>
        <w:gridCol w:w="2295"/>
        <w:gridCol w:w="1995"/>
      </w:tblGrid>
      <w:tr>
        <w:tblPrEx>
          <w:tblCellMar>
            <w:top w:w="0" w:type="dxa"/>
            <w:left w:w="108" w:type="dxa"/>
            <w:bottom w:w="0" w:type="dxa"/>
            <w:right w:w="108" w:type="dxa"/>
          </w:tblCellMar>
        </w:tblPrEx>
        <w:trPr>
          <w:trHeight w:val="443" w:hRule="atLeast"/>
          <w:jc w:val="center"/>
        </w:trPr>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项目名称</w:t>
            </w:r>
          </w:p>
        </w:tc>
        <w:tc>
          <w:tcPr>
            <w:tcW w:w="77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机关事业单位养老保险财政补贴</w:t>
            </w:r>
          </w:p>
        </w:tc>
      </w:tr>
      <w:tr>
        <w:tblPrEx>
          <w:tblCellMar>
            <w:top w:w="0" w:type="dxa"/>
            <w:left w:w="108" w:type="dxa"/>
            <w:bottom w:w="0" w:type="dxa"/>
            <w:right w:w="108" w:type="dxa"/>
          </w:tblCellMar>
        </w:tblPrEx>
        <w:trPr>
          <w:trHeight w:val="466" w:hRule="atLeast"/>
          <w:jc w:val="center"/>
        </w:trPr>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主管部门</w:t>
            </w:r>
          </w:p>
        </w:tc>
        <w:tc>
          <w:tcPr>
            <w:tcW w:w="77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济宁市兖州区人力资源和社会保障局</w:t>
            </w:r>
          </w:p>
        </w:tc>
      </w:tr>
      <w:tr>
        <w:tblPrEx>
          <w:tblCellMar>
            <w:top w:w="0" w:type="dxa"/>
            <w:left w:w="108" w:type="dxa"/>
            <w:bottom w:w="0" w:type="dxa"/>
            <w:right w:w="108" w:type="dxa"/>
          </w:tblCellMar>
        </w:tblPrEx>
        <w:trPr>
          <w:trHeight w:val="465" w:hRule="atLeast"/>
          <w:jc w:val="center"/>
        </w:trPr>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项目单位</w:t>
            </w:r>
          </w:p>
        </w:tc>
        <w:tc>
          <w:tcPr>
            <w:tcW w:w="77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济宁市兖州区社会保险事业中心</w:t>
            </w:r>
          </w:p>
        </w:tc>
      </w:tr>
      <w:tr>
        <w:tblPrEx>
          <w:tblCellMar>
            <w:top w:w="0" w:type="dxa"/>
            <w:left w:w="108" w:type="dxa"/>
            <w:bottom w:w="0" w:type="dxa"/>
            <w:right w:w="108" w:type="dxa"/>
          </w:tblCellMar>
        </w:tblPrEx>
        <w:trPr>
          <w:trHeight w:val="428" w:hRule="atLeast"/>
          <w:jc w:val="center"/>
        </w:trPr>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资金情况</w:t>
            </w:r>
          </w:p>
        </w:tc>
        <w:tc>
          <w:tcPr>
            <w:tcW w:w="77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金额：22000万元</w:t>
            </w:r>
          </w:p>
        </w:tc>
      </w:tr>
      <w:tr>
        <w:tblPrEx>
          <w:tblCellMar>
            <w:top w:w="0" w:type="dxa"/>
            <w:left w:w="108" w:type="dxa"/>
            <w:bottom w:w="0" w:type="dxa"/>
            <w:right w:w="108" w:type="dxa"/>
          </w:tblCellMar>
        </w:tblPrEx>
        <w:trPr>
          <w:trHeight w:val="1110" w:hRule="atLeast"/>
          <w:jc w:val="center"/>
        </w:trPr>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项目目标</w:t>
            </w:r>
          </w:p>
        </w:tc>
        <w:tc>
          <w:tcPr>
            <w:tcW w:w="77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负责兖州区机关事业单位养老保险的征收和支付，2023年预计全年征收33169万元，发放退休金2022年预计58678万元，为确保发放，全年预计机关事业养老保险缺口补贴22000万元。</w:t>
            </w:r>
          </w:p>
        </w:tc>
      </w:tr>
      <w:tr>
        <w:tblPrEx>
          <w:tblCellMar>
            <w:top w:w="0" w:type="dxa"/>
            <w:left w:w="108" w:type="dxa"/>
            <w:bottom w:w="0" w:type="dxa"/>
            <w:right w:w="108" w:type="dxa"/>
          </w:tblCellMar>
        </w:tblPrEx>
        <w:trPr>
          <w:trHeight w:val="510" w:hRule="atLeast"/>
          <w:jc w:val="center"/>
        </w:trPr>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绩效指标</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一级指标</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二级指标</w:t>
            </w:r>
          </w:p>
        </w:tc>
        <w:tc>
          <w:tcPr>
            <w:tcW w:w="22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三级指标</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指标值</w:t>
            </w:r>
          </w:p>
        </w:tc>
      </w:tr>
      <w:tr>
        <w:tblPrEx>
          <w:tblCellMar>
            <w:top w:w="0" w:type="dxa"/>
            <w:left w:w="108" w:type="dxa"/>
            <w:bottom w:w="0" w:type="dxa"/>
            <w:right w:w="108" w:type="dxa"/>
          </w:tblCellMar>
        </w:tblPrEx>
        <w:trPr>
          <w:trHeight w:val="810" w:hRule="atLeast"/>
          <w:jc w:val="center"/>
        </w:trPr>
        <w:tc>
          <w:tcPr>
            <w:tcW w:w="11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年度绩效指标</w:t>
            </w:r>
          </w:p>
        </w:tc>
        <w:tc>
          <w:tcPr>
            <w:tcW w:w="1466" w:type="dxa"/>
            <w:vMerge w:val="restart"/>
            <w:tcBorders>
              <w:top w:val="nil"/>
              <w:left w:val="single" w:color="000000" w:sz="4" w:space="0"/>
              <w:bottom w:val="nil"/>
              <w:right w:val="single" w:color="000000" w:sz="4" w:space="0"/>
            </w:tcBorders>
            <w:shd w:val="clear" w:color="auto" w:fill="auto"/>
            <w:noWrap/>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产出指标</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数量指标</w:t>
            </w:r>
          </w:p>
        </w:tc>
        <w:tc>
          <w:tcPr>
            <w:tcW w:w="2295" w:type="dxa"/>
            <w:tcBorders>
              <w:top w:val="single" w:color="000000" w:sz="4" w:space="0"/>
              <w:left w:val="single" w:color="000000" w:sz="4" w:space="0"/>
              <w:bottom w:val="single" w:color="000000" w:sz="4" w:space="0"/>
              <w:right w:val="nil"/>
            </w:tcBorders>
            <w:shd w:val="clear" w:color="auto" w:fill="auto"/>
            <w:vAlign w:val="center"/>
          </w:tcPr>
          <w:p>
            <w:pPr>
              <w:widowControl/>
              <w:ind w:firstLine="0" w:firstLineChars="0"/>
              <w:jc w:val="lef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1、机关事业养老保险退休人数8265人。2、在职人数15410人</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1、退休人数8265人2、在职人15410</w:t>
            </w:r>
          </w:p>
        </w:tc>
      </w:tr>
      <w:tr>
        <w:tblPrEx>
          <w:tblCellMar>
            <w:top w:w="0" w:type="dxa"/>
            <w:left w:w="108" w:type="dxa"/>
            <w:bottom w:w="0" w:type="dxa"/>
            <w:right w:w="108" w:type="dxa"/>
          </w:tblCellMar>
        </w:tblPrEx>
        <w:trPr>
          <w:trHeight w:val="810"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default" w:ascii="Times New Roman" w:hAnsi="Times New Roman" w:cs="Times New Roman"/>
                <w:b w:val="0"/>
                <w:bCs w:val="0"/>
                <w:color w:val="000000"/>
                <w:sz w:val="20"/>
                <w:szCs w:val="20"/>
              </w:rPr>
            </w:pPr>
          </w:p>
        </w:tc>
        <w:tc>
          <w:tcPr>
            <w:tcW w:w="1466" w:type="dxa"/>
            <w:vMerge w:val="continue"/>
            <w:tcBorders>
              <w:top w:val="nil"/>
              <w:left w:val="single" w:color="000000" w:sz="4" w:space="0"/>
              <w:bottom w:val="nil"/>
              <w:right w:val="single" w:color="000000" w:sz="4" w:space="0"/>
            </w:tcBorders>
            <w:shd w:val="clear" w:color="auto" w:fill="auto"/>
            <w:noWrap/>
            <w:vAlign w:val="center"/>
          </w:tcPr>
          <w:p>
            <w:pPr>
              <w:ind w:firstLine="400"/>
              <w:jc w:val="center"/>
              <w:rPr>
                <w:rFonts w:hint="default" w:ascii="Times New Roman" w:hAnsi="Times New Roman" w:cs="Times New Roman"/>
                <w:b w:val="0"/>
                <w:bCs w:val="0"/>
                <w:color w:val="000000"/>
                <w:sz w:val="20"/>
                <w:szCs w:val="20"/>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数量指标</w:t>
            </w:r>
          </w:p>
        </w:tc>
        <w:tc>
          <w:tcPr>
            <w:tcW w:w="2295" w:type="dxa"/>
            <w:tcBorders>
              <w:top w:val="single" w:color="000000" w:sz="4" w:space="0"/>
              <w:left w:val="single" w:color="000000" w:sz="4" w:space="0"/>
              <w:bottom w:val="single" w:color="000000" w:sz="4" w:space="0"/>
              <w:right w:val="nil"/>
            </w:tcBorders>
            <w:shd w:val="clear" w:color="auto" w:fill="auto"/>
            <w:vAlign w:val="center"/>
          </w:tcPr>
          <w:p>
            <w:pPr>
              <w:widowControl/>
              <w:ind w:firstLine="0" w:firstLineChars="0"/>
              <w:jc w:val="lef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全年机关事业养老保险增缴金额333169万元。</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基本养老金收入33169万元</w:t>
            </w:r>
          </w:p>
        </w:tc>
      </w:tr>
      <w:tr>
        <w:tblPrEx>
          <w:tblCellMar>
            <w:top w:w="0" w:type="dxa"/>
            <w:left w:w="108" w:type="dxa"/>
            <w:bottom w:w="0" w:type="dxa"/>
            <w:right w:w="108" w:type="dxa"/>
          </w:tblCellMar>
        </w:tblPrEx>
        <w:trPr>
          <w:trHeight w:val="354"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default" w:ascii="Times New Roman" w:hAnsi="Times New Roman" w:cs="Times New Roman"/>
                <w:b w:val="0"/>
                <w:bCs w:val="0"/>
                <w:color w:val="000000"/>
                <w:sz w:val="20"/>
                <w:szCs w:val="20"/>
              </w:rPr>
            </w:pPr>
          </w:p>
        </w:tc>
        <w:tc>
          <w:tcPr>
            <w:tcW w:w="1466" w:type="dxa"/>
            <w:vMerge w:val="continue"/>
            <w:tcBorders>
              <w:top w:val="nil"/>
              <w:left w:val="single" w:color="000000" w:sz="4" w:space="0"/>
              <w:bottom w:val="nil"/>
              <w:right w:val="single" w:color="000000" w:sz="4" w:space="0"/>
            </w:tcBorders>
            <w:shd w:val="clear" w:color="auto" w:fill="auto"/>
            <w:noWrap/>
            <w:vAlign w:val="center"/>
          </w:tcPr>
          <w:p>
            <w:pPr>
              <w:ind w:firstLine="400"/>
              <w:jc w:val="center"/>
              <w:rPr>
                <w:rFonts w:hint="default" w:ascii="Times New Roman" w:hAnsi="Times New Roman" w:cs="Times New Roman"/>
                <w:b w:val="0"/>
                <w:bCs w:val="0"/>
                <w:color w:val="000000"/>
                <w:sz w:val="20"/>
                <w:szCs w:val="20"/>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质量指标</w:t>
            </w:r>
          </w:p>
        </w:tc>
        <w:tc>
          <w:tcPr>
            <w:tcW w:w="2295" w:type="dxa"/>
            <w:tcBorders>
              <w:top w:val="single" w:color="000000" w:sz="4" w:space="0"/>
              <w:left w:val="single" w:color="000000" w:sz="4" w:space="0"/>
              <w:bottom w:val="single" w:color="000000" w:sz="4" w:space="0"/>
              <w:right w:val="nil"/>
            </w:tcBorders>
            <w:shd w:val="clear" w:color="auto" w:fill="auto"/>
            <w:vAlign w:val="center"/>
          </w:tcPr>
          <w:p>
            <w:pPr>
              <w:widowControl/>
              <w:ind w:firstLine="0" w:firstLineChars="0"/>
              <w:jc w:val="lef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养老金发放率</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≥90%</w:t>
            </w:r>
          </w:p>
        </w:tc>
      </w:tr>
      <w:tr>
        <w:tblPrEx>
          <w:tblCellMar>
            <w:top w:w="0" w:type="dxa"/>
            <w:left w:w="108" w:type="dxa"/>
            <w:bottom w:w="0" w:type="dxa"/>
            <w:right w:w="108" w:type="dxa"/>
          </w:tblCellMar>
        </w:tblPrEx>
        <w:trPr>
          <w:trHeight w:val="331"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default" w:ascii="Times New Roman" w:hAnsi="Times New Roman" w:cs="Times New Roman"/>
                <w:b w:val="0"/>
                <w:bCs w:val="0"/>
                <w:color w:val="000000"/>
                <w:sz w:val="20"/>
                <w:szCs w:val="20"/>
              </w:rPr>
            </w:pPr>
          </w:p>
        </w:tc>
        <w:tc>
          <w:tcPr>
            <w:tcW w:w="1466" w:type="dxa"/>
            <w:vMerge w:val="continue"/>
            <w:tcBorders>
              <w:top w:val="nil"/>
              <w:left w:val="single" w:color="000000" w:sz="4" w:space="0"/>
              <w:bottom w:val="nil"/>
              <w:right w:val="single" w:color="000000" w:sz="4" w:space="0"/>
            </w:tcBorders>
            <w:shd w:val="clear" w:color="auto" w:fill="auto"/>
            <w:noWrap/>
            <w:vAlign w:val="center"/>
          </w:tcPr>
          <w:p>
            <w:pPr>
              <w:ind w:firstLine="400"/>
              <w:jc w:val="center"/>
              <w:rPr>
                <w:rFonts w:hint="default" w:ascii="Times New Roman" w:hAnsi="Times New Roman" w:cs="Times New Roman"/>
                <w:b w:val="0"/>
                <w:bCs w:val="0"/>
                <w:color w:val="000000"/>
                <w:sz w:val="20"/>
                <w:szCs w:val="20"/>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时效指标</w:t>
            </w:r>
          </w:p>
        </w:tc>
        <w:tc>
          <w:tcPr>
            <w:tcW w:w="2295" w:type="dxa"/>
            <w:tcBorders>
              <w:top w:val="single" w:color="000000" w:sz="4" w:space="0"/>
              <w:left w:val="single" w:color="000000" w:sz="4" w:space="0"/>
              <w:bottom w:val="single" w:color="000000" w:sz="4" w:space="0"/>
              <w:right w:val="nil"/>
            </w:tcBorders>
            <w:shd w:val="clear" w:color="auto" w:fill="auto"/>
            <w:vAlign w:val="center"/>
          </w:tcPr>
          <w:p>
            <w:pPr>
              <w:widowControl/>
              <w:ind w:firstLine="0" w:firstLineChars="0"/>
              <w:jc w:val="lef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养老金发放及时性</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≥90%</w:t>
            </w:r>
          </w:p>
        </w:tc>
      </w:tr>
      <w:tr>
        <w:tblPrEx>
          <w:tblCellMar>
            <w:top w:w="0" w:type="dxa"/>
            <w:left w:w="108" w:type="dxa"/>
            <w:bottom w:w="0" w:type="dxa"/>
            <w:right w:w="108" w:type="dxa"/>
          </w:tblCellMar>
        </w:tblPrEx>
        <w:trPr>
          <w:trHeight w:val="628"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default" w:ascii="Times New Roman" w:hAnsi="Times New Roman" w:cs="Times New Roman"/>
                <w:b w:val="0"/>
                <w:bCs w:val="0"/>
                <w:color w:val="000000"/>
                <w:sz w:val="20"/>
                <w:szCs w:val="20"/>
              </w:rPr>
            </w:pPr>
          </w:p>
        </w:tc>
        <w:tc>
          <w:tcPr>
            <w:tcW w:w="1466" w:type="dxa"/>
            <w:vMerge w:val="continue"/>
            <w:tcBorders>
              <w:top w:val="nil"/>
              <w:left w:val="single" w:color="000000" w:sz="4" w:space="0"/>
              <w:bottom w:val="nil"/>
              <w:right w:val="single" w:color="000000" w:sz="4" w:space="0"/>
            </w:tcBorders>
            <w:shd w:val="clear" w:color="auto" w:fill="auto"/>
            <w:noWrap/>
            <w:vAlign w:val="center"/>
          </w:tcPr>
          <w:p>
            <w:pPr>
              <w:ind w:firstLine="400"/>
              <w:jc w:val="center"/>
              <w:rPr>
                <w:rFonts w:hint="default" w:ascii="Times New Roman" w:hAnsi="Times New Roman" w:cs="Times New Roman"/>
                <w:b w:val="0"/>
                <w:bCs w:val="0"/>
                <w:color w:val="000000"/>
                <w:sz w:val="20"/>
                <w:szCs w:val="20"/>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成本指标</w:t>
            </w:r>
          </w:p>
        </w:tc>
        <w:tc>
          <w:tcPr>
            <w:tcW w:w="2295" w:type="dxa"/>
            <w:tcBorders>
              <w:top w:val="single" w:color="000000" w:sz="4" w:space="0"/>
              <w:left w:val="single" w:color="000000" w:sz="4" w:space="0"/>
              <w:bottom w:val="single" w:color="000000" w:sz="4" w:space="0"/>
              <w:right w:val="nil"/>
            </w:tcBorders>
            <w:shd w:val="clear" w:color="auto" w:fill="auto"/>
            <w:vAlign w:val="center"/>
          </w:tcPr>
          <w:p>
            <w:pPr>
              <w:widowControl/>
              <w:ind w:firstLine="0" w:firstLineChars="0"/>
              <w:jc w:val="lef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基本养老金支出54836万元</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≥95%</w:t>
            </w:r>
          </w:p>
        </w:tc>
      </w:tr>
      <w:tr>
        <w:tblPrEx>
          <w:tblCellMar>
            <w:top w:w="0" w:type="dxa"/>
            <w:left w:w="108" w:type="dxa"/>
            <w:bottom w:w="0" w:type="dxa"/>
            <w:right w:w="108" w:type="dxa"/>
          </w:tblCellMar>
        </w:tblPrEx>
        <w:trPr>
          <w:trHeight w:val="810"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default" w:ascii="Times New Roman" w:hAnsi="Times New Roman" w:cs="Times New Roman"/>
                <w:b w:val="0"/>
                <w:bCs w:val="0"/>
                <w:color w:val="000000"/>
                <w:sz w:val="20"/>
                <w:szCs w:val="20"/>
              </w:rPr>
            </w:pPr>
          </w:p>
        </w:tc>
        <w:tc>
          <w:tcPr>
            <w:tcW w:w="1466" w:type="dxa"/>
            <w:vMerge w:val="continue"/>
            <w:tcBorders>
              <w:top w:val="nil"/>
              <w:left w:val="single" w:color="000000" w:sz="4" w:space="0"/>
              <w:bottom w:val="nil"/>
              <w:right w:val="single" w:color="000000" w:sz="4" w:space="0"/>
            </w:tcBorders>
            <w:shd w:val="clear" w:color="auto" w:fill="auto"/>
            <w:noWrap/>
            <w:vAlign w:val="center"/>
          </w:tcPr>
          <w:p>
            <w:pPr>
              <w:ind w:firstLine="400"/>
              <w:jc w:val="center"/>
              <w:rPr>
                <w:rFonts w:hint="default" w:ascii="Times New Roman" w:hAnsi="Times New Roman" w:cs="Times New Roman"/>
                <w:b w:val="0"/>
                <w:bCs w:val="0"/>
                <w:color w:val="000000"/>
                <w:sz w:val="20"/>
                <w:szCs w:val="20"/>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成本指标</w:t>
            </w:r>
          </w:p>
        </w:tc>
        <w:tc>
          <w:tcPr>
            <w:tcW w:w="2295" w:type="dxa"/>
            <w:tcBorders>
              <w:top w:val="single" w:color="000000" w:sz="4" w:space="0"/>
              <w:left w:val="single" w:color="000000" w:sz="4" w:space="0"/>
              <w:bottom w:val="single" w:color="000000" w:sz="4" w:space="0"/>
              <w:right w:val="nil"/>
            </w:tcBorders>
            <w:shd w:val="clear" w:color="auto" w:fill="auto"/>
            <w:vAlign w:val="center"/>
          </w:tcPr>
          <w:p>
            <w:pPr>
              <w:widowControl/>
              <w:ind w:firstLine="0" w:firstLineChars="0"/>
              <w:jc w:val="lef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机关事业单位养老保险财政补贴资金</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≤22000万元</w:t>
            </w:r>
          </w:p>
        </w:tc>
      </w:tr>
      <w:tr>
        <w:tblPrEx>
          <w:tblCellMar>
            <w:top w:w="0" w:type="dxa"/>
            <w:left w:w="108" w:type="dxa"/>
            <w:bottom w:w="0" w:type="dxa"/>
            <w:right w:w="108" w:type="dxa"/>
          </w:tblCellMar>
        </w:tblPrEx>
        <w:trPr>
          <w:trHeight w:val="346"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default" w:ascii="Times New Roman" w:hAnsi="Times New Roman" w:cs="Times New Roman"/>
                <w:b w:val="0"/>
                <w:bCs w:val="0"/>
                <w:color w:val="000000"/>
                <w:sz w:val="20"/>
                <w:szCs w:val="20"/>
              </w:rPr>
            </w:pPr>
          </w:p>
        </w:tc>
        <w:tc>
          <w:tcPr>
            <w:tcW w:w="1466"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效益指标</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社会效益指标</w:t>
            </w:r>
          </w:p>
        </w:tc>
        <w:tc>
          <w:tcPr>
            <w:tcW w:w="2295" w:type="dxa"/>
            <w:tcBorders>
              <w:top w:val="single" w:color="000000" w:sz="4" w:space="0"/>
              <w:left w:val="single" w:color="000000" w:sz="4" w:space="0"/>
              <w:bottom w:val="single" w:color="000000" w:sz="4" w:space="0"/>
              <w:right w:val="nil"/>
            </w:tcBorders>
            <w:shd w:val="clear" w:color="auto" w:fill="auto"/>
            <w:vAlign w:val="center"/>
          </w:tcPr>
          <w:p>
            <w:pPr>
              <w:widowControl/>
              <w:ind w:firstLine="0" w:firstLineChars="0"/>
              <w:jc w:val="lef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保障机关事业养老保险待遇的全面落实率</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≥95%</w:t>
            </w:r>
          </w:p>
        </w:tc>
      </w:tr>
      <w:tr>
        <w:tblPrEx>
          <w:tblCellMar>
            <w:top w:w="0" w:type="dxa"/>
            <w:left w:w="108" w:type="dxa"/>
            <w:bottom w:w="0" w:type="dxa"/>
            <w:right w:w="108" w:type="dxa"/>
          </w:tblCellMar>
        </w:tblPrEx>
        <w:trPr>
          <w:trHeight w:val="288"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default" w:ascii="Times New Roman" w:hAnsi="Times New Roman" w:cs="Times New Roman"/>
                <w:b w:val="0"/>
                <w:bCs w:val="0"/>
                <w:color w:val="000000"/>
                <w:sz w:val="20"/>
                <w:szCs w:val="20"/>
              </w:rPr>
            </w:pPr>
          </w:p>
        </w:tc>
        <w:tc>
          <w:tcPr>
            <w:tcW w:w="1466" w:type="dxa"/>
            <w:vMerge w:val="continue"/>
            <w:tcBorders>
              <w:top w:val="single" w:color="000000" w:sz="4" w:space="0"/>
              <w:left w:val="single" w:color="000000" w:sz="4" w:space="0"/>
              <w:bottom w:val="nil"/>
              <w:right w:val="single" w:color="000000" w:sz="4" w:space="0"/>
            </w:tcBorders>
            <w:shd w:val="clear" w:color="auto" w:fill="auto"/>
            <w:vAlign w:val="center"/>
          </w:tcPr>
          <w:p>
            <w:pPr>
              <w:ind w:firstLine="400"/>
              <w:jc w:val="center"/>
              <w:rPr>
                <w:rFonts w:hint="default" w:ascii="Times New Roman" w:hAnsi="Times New Roman" w:cs="Times New Roman"/>
                <w:b w:val="0"/>
                <w:bCs w:val="0"/>
                <w:color w:val="000000"/>
                <w:sz w:val="20"/>
                <w:szCs w:val="20"/>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可持续影响指标</w:t>
            </w:r>
          </w:p>
        </w:tc>
        <w:tc>
          <w:tcPr>
            <w:tcW w:w="2295" w:type="dxa"/>
            <w:tcBorders>
              <w:top w:val="single" w:color="000000" w:sz="4" w:space="0"/>
              <w:left w:val="single" w:color="000000" w:sz="4" w:space="0"/>
              <w:bottom w:val="single" w:color="000000" w:sz="4" w:space="0"/>
              <w:right w:val="nil"/>
            </w:tcBorders>
            <w:shd w:val="clear" w:color="auto" w:fill="auto"/>
            <w:vAlign w:val="center"/>
          </w:tcPr>
          <w:p>
            <w:pPr>
              <w:widowControl/>
              <w:ind w:firstLine="0" w:firstLineChars="0"/>
              <w:jc w:val="lef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持续维护社会和谐稳定</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可持续</w:t>
            </w:r>
          </w:p>
        </w:tc>
      </w:tr>
      <w:tr>
        <w:tblPrEx>
          <w:tblCellMar>
            <w:top w:w="0" w:type="dxa"/>
            <w:left w:w="108" w:type="dxa"/>
            <w:bottom w:w="0" w:type="dxa"/>
            <w:right w:w="108" w:type="dxa"/>
          </w:tblCellMar>
        </w:tblPrEx>
        <w:trPr>
          <w:trHeight w:val="810"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default" w:ascii="Times New Roman" w:hAnsi="Times New Roman" w:cs="Times New Roman"/>
                <w:b w:val="0"/>
                <w:bCs w:val="0"/>
                <w:color w:val="000000"/>
                <w:sz w:val="20"/>
                <w:szCs w:val="20"/>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lef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满意度指标</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服务对象满意度指标</w:t>
            </w:r>
          </w:p>
        </w:tc>
        <w:tc>
          <w:tcPr>
            <w:tcW w:w="2295" w:type="dxa"/>
            <w:tcBorders>
              <w:top w:val="single" w:color="000000" w:sz="4" w:space="0"/>
              <w:left w:val="single" w:color="000000" w:sz="4" w:space="0"/>
              <w:bottom w:val="single" w:color="000000" w:sz="4" w:space="0"/>
              <w:right w:val="nil"/>
            </w:tcBorders>
            <w:shd w:val="clear" w:color="auto" w:fill="auto"/>
            <w:vAlign w:val="center"/>
          </w:tcPr>
          <w:p>
            <w:pPr>
              <w:widowControl/>
              <w:ind w:firstLine="0" w:firstLineChars="0"/>
              <w:jc w:val="lef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发放人员满意度</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≥90%</w:t>
            </w:r>
          </w:p>
        </w:tc>
      </w:tr>
      <w:tr>
        <w:tblPrEx>
          <w:tblCellMar>
            <w:top w:w="0" w:type="dxa"/>
            <w:left w:w="108" w:type="dxa"/>
            <w:bottom w:w="0" w:type="dxa"/>
            <w:right w:w="108" w:type="dxa"/>
          </w:tblCellMar>
        </w:tblPrEx>
        <w:trPr>
          <w:trHeight w:val="510" w:hRule="atLeast"/>
          <w:jc w:val="center"/>
        </w:trPr>
        <w:tc>
          <w:tcPr>
            <w:tcW w:w="8925" w:type="dxa"/>
            <w:gridSpan w:val="5"/>
            <w:tcBorders>
              <w:top w:val="single" w:color="000000" w:sz="4" w:space="0"/>
              <w:left w:val="nil"/>
              <w:bottom w:val="nil"/>
              <w:right w:val="nil"/>
            </w:tcBorders>
            <w:shd w:val="clear" w:color="auto" w:fill="auto"/>
            <w:vAlign w:val="center"/>
          </w:tcPr>
          <w:p>
            <w:pPr>
              <w:widowControl/>
              <w:ind w:firstLine="400"/>
              <w:jc w:val="lef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kern w:val="0"/>
                <w:sz w:val="20"/>
                <w:szCs w:val="20"/>
                <w:lang w:bidi="ar"/>
              </w:rPr>
              <w:t>注：一年期项目填报此表</w:t>
            </w:r>
          </w:p>
        </w:tc>
      </w:tr>
    </w:tbl>
    <w:p>
      <w:pPr>
        <w:ind w:left="0" w:leftChars="0" w:firstLine="0" w:firstLineChars="0"/>
        <w:rPr>
          <w:rFonts w:hint="default" w:ascii="Times New Roman" w:hAnsi="Times New Roman" w:cs="Times New Roman"/>
          <w:b w:val="0"/>
          <w:bCs w:val="0"/>
        </w:rPr>
      </w:pPr>
    </w:p>
    <w:sectPr>
      <w:headerReference r:id="rId16" w:type="default"/>
      <w:footnotePr>
        <w:numFmt w:val="decimalEnclosedCircleChinese"/>
        <w:numRestart w:val="eachPage"/>
      </w:footnotePr>
      <w:pgSz w:w="11905" w:h="16838"/>
      <w:pgMar w:top="1587" w:right="1587" w:bottom="1587" w:left="1587" w:header="851" w:footer="992" w:gutter="0"/>
      <w:pgNumType w:fmt="decimal"/>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40"/>
      </w:pPr>
      <w:r>
        <w:separator/>
      </w:r>
    </w:p>
  </w:endnote>
  <w:endnote w:type="continuationSeparator" w:id="1">
    <w:p>
      <w:pPr>
        <w:spacing w:line="240" w:lineRule="auto"/>
        <w:ind w:firstLine="5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embedRegular r:id="rId1" w:fontKey="{FD18C9A9-5FD1-4F4B-B0FC-90F2FFF938C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embedRegular r:id="rId2" w:fontKey="{1E33A9B8-0A7D-47E0-BF75-D3E42383E54F}"/>
  </w:font>
  <w:font w:name="仿宋">
    <w:panose1 w:val="02010609060101010101"/>
    <w:charset w:val="86"/>
    <w:family w:val="modern"/>
    <w:pitch w:val="default"/>
    <w:sig w:usb0="800002BF" w:usb1="38CF7CFA" w:usb2="00000016" w:usb3="00000000" w:csb0="00040001" w:csb1="00000000"/>
    <w:embedRegular r:id="rId3" w:fontKey="{20C7FE3C-6772-4891-8C39-CC3A3DEB845C}"/>
  </w:font>
  <w:font w:name="Calibri Light">
    <w:panose1 w:val="020F0302020204030204"/>
    <w:charset w:val="00"/>
    <w:family w:val="swiss"/>
    <w:pitch w:val="default"/>
    <w:sig w:usb0="A00002EF" w:usb1="4000207B" w:usb2="00000000" w:usb3="00000000" w:csb0="2000019F" w:csb1="00000000"/>
  </w:font>
  <w:font w:name="方正小标宋_GBK">
    <w:panose1 w:val="03000509000000000000"/>
    <w:charset w:val="86"/>
    <w:family w:val="script"/>
    <w:pitch w:val="default"/>
    <w:sig w:usb0="00000001" w:usb1="080E0000" w:usb2="00000000" w:usb3="00000000" w:csb0="00040000" w:csb1="00000000"/>
    <w:embedRegular r:id="rId4" w:fontKey="{9BC1EC1D-801C-45B7-A471-5C688934E35A}"/>
  </w:font>
  <w:font w:name="仿宋_GB2312">
    <w:panose1 w:val="02010609030101010101"/>
    <w:charset w:val="86"/>
    <w:family w:val="modern"/>
    <w:pitch w:val="default"/>
    <w:sig w:usb0="00000001" w:usb1="080E0000" w:usb2="00000000" w:usb3="00000000" w:csb0="00040000" w:csb1="00000000"/>
    <w:embedRegular r:id="rId5" w:fontKey="{73F62E31-E4E1-4054-8EA2-A4EC9089C856}"/>
  </w:font>
  <w:font w:name="华文新魏">
    <w:panose1 w:val="02010800040101010101"/>
    <w:charset w:val="86"/>
    <w:family w:val="auto"/>
    <w:pitch w:val="default"/>
    <w:sig w:usb0="00000001" w:usb1="080F0000" w:usb2="00000000" w:usb3="00000000" w:csb0="00040000" w:csb1="00000000"/>
    <w:embedRegular r:id="rId6" w:fontKey="{54B72420-B465-482C-9DC0-282FA1BF5FD3}"/>
  </w:font>
  <w:font w:name="方正小标宋简体">
    <w:panose1 w:val="03000509000000000000"/>
    <w:charset w:val="86"/>
    <w:family w:val="auto"/>
    <w:pitch w:val="default"/>
    <w:sig w:usb0="00000001" w:usb1="080E0000" w:usb2="00000000" w:usb3="00000000" w:csb0="00040000" w:csb1="00000000"/>
    <w:embedRegular r:id="rId7" w:fontKey="{3B6C4A74-724A-45C6-8632-4819F19A01FE}"/>
  </w:font>
  <w:font w:name="楷体_GB2312">
    <w:panose1 w:val="02010609030101010101"/>
    <w:charset w:val="86"/>
    <w:family w:val="modern"/>
    <w:pitch w:val="default"/>
    <w:sig w:usb0="00000001" w:usb1="080E0000" w:usb2="00000000" w:usb3="00000000" w:csb0="00040000" w:csb1="00000000"/>
    <w:embedRegular r:id="rId8" w:fontKey="{2C6FBB36-1479-4176-818A-9D2E6F64534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2702238"/>
    </w:sdtPr>
    <w:sdtContent>
      <w:p>
        <w:pPr>
          <w:pStyle w:val="15"/>
          <w:ind w:firstLine="0" w:firstLineChars="0"/>
          <w:jc w:val="center"/>
        </w:pPr>
        <w:r>
          <w:fldChar w:fldCharType="begin"/>
        </w:r>
        <w:r>
          <w:instrText xml:space="preserve">PAGE   \* MERGEFORMAT</w:instrText>
        </w:r>
        <w:r>
          <w:fldChar w:fldCharType="separate"/>
        </w:r>
        <w:r>
          <w:rPr>
            <w:lang w:val="zh-CN"/>
          </w:rPr>
          <w:t>2</w:t>
        </w:r>
        <w:r>
          <w:fldChar w:fldCharType="end"/>
        </w:r>
      </w:p>
    </w:sdtContent>
  </w:sdt>
  <w:p>
    <w:pPr>
      <w:pStyle w:val="15"/>
      <w:ind w:firstLine="0" w:firstLineChars="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r>
      <w:rPr>
        <w:sz w:val="18"/>
      </w:rPr>
      <w:pict>
        <v:shape id="_x0000_s3077" o:spid="_x0000_s3077" o:spt="202" type="#_x0000_t202" style="position:absolute;left:0pt;margin-top:0pt;height:144pt;width:144pt;mso-position-horizontal:outside;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pPr>
                  <w:pStyle w:val="15"/>
                </w:pP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0" w:firstLineChars="0"/>
    </w:pPr>
    <w:r>
      <w:rPr>
        <w:sz w:val="18"/>
      </w:rPr>
      <w:pict>
        <v:shape id="_x0000_s3078" o:spid="_x0000_s3078" o:spt="202" type="#_x0000_t202" style="position:absolute;left:0pt;margin-top:0pt;height:144pt;width:144pt;mso-position-horizontal:outside;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15"/>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- 2 -</w:t>
                </w:r>
                <w:r>
                  <w:rPr>
                    <w:rFonts w:hint="eastAsia" w:ascii="宋体" w:hAnsi="宋体" w:eastAsia="宋体" w:cs="宋体"/>
                    <w:sz w:val="28"/>
                    <w:szCs w:val="28"/>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0" w:firstLineChars="0"/>
    </w:pPr>
    <w:r>
      <w:pict>
        <v:shape id="_x0000_s3073" o:spid="_x0000_s3073" o:spt="202" type="#_x0000_t202" style="position:absolute;left:0pt;margin-top:0pt;height:144pt;width:144pt;mso-position-horizontal:outside;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pPr>
                  <w:pStyle w:val="15"/>
                  <w:ind w:firstLine="360"/>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0" w:firstLineChars="0"/>
    </w:pPr>
    <w:r>
      <w:rPr>
        <w:sz w:val="18"/>
      </w:rPr>
      <w:pict>
        <v:shape id="_x0000_s3079" o:spid="_x0000_s3079" o:spt="202" type="#_x0000_t202" style="position:absolute;left:0pt;margin-top:0pt;height:144pt;width:144pt;mso-position-horizontal:outside;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pPr>
                  <w:pStyle w:val="15"/>
                </w:pPr>
                <w:r>
                  <w:t xml:space="preserve">— </w:t>
                </w:r>
                <w:r>
                  <w:fldChar w:fldCharType="begin"/>
                </w:r>
                <w:r>
                  <w:instrText xml:space="preserve"> PAGE  \* MERGEFORMAT </w:instrText>
                </w:r>
                <w:r>
                  <w:fldChar w:fldCharType="separate"/>
                </w:r>
                <w:r>
                  <w:t>- 6 -</w:t>
                </w:r>
                <w:r>
                  <w:fldChar w:fldCharType="end"/>
                </w:r>
                <w:r>
                  <w:t xml:space="preserve"> —</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40"/>
      </w:pPr>
      <w:r>
        <w:separator/>
      </w:r>
    </w:p>
  </w:footnote>
  <w:footnote w:type="continuationSeparator" w:id="1">
    <w:p>
      <w:pPr>
        <w:spacing w:line="360" w:lineRule="auto"/>
        <w:ind w:firstLine="5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top w:val="none" w:color="auto" w:sz="0" w:space="0"/>
        <w:left w:val="none" w:color="auto" w:sz="0" w:space="0"/>
        <w:bottom w:val="none" w:color="auto" w:sz="0" w:space="0"/>
        <w:right w:val="none" w:color="auto" w:sz="0" w:space="0"/>
      </w:pBdr>
      <w:ind w:firstLine="420"/>
      <w:jc w:val="right"/>
      <w:rPr>
        <w:rFonts w:ascii="华文新魏" w:hAnsi="仿宋" w:eastAsia="华文新魏" w:cs="仿宋"/>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5250" w:firstLineChars="2500"/>
      <w:rPr>
        <w:rFonts w:ascii="华文新魏" w:hAnsi="仿宋" w:eastAsia="华文新魏" w:cs="仿宋"/>
        <w:sz w:val="21"/>
        <w:szCs w:val="21"/>
      </w:rPr>
    </w:pPr>
    <w:r>
      <w:rPr>
        <w:rFonts w:hint="eastAsia" w:ascii="华文新魏" w:hAnsi="仿宋" w:eastAsia="华文新魏" w:cs="仿宋"/>
        <w:sz w:val="21"/>
        <w:szCs w:val="21"/>
      </w:rPr>
      <w:drawing>
        <wp:anchor distT="0" distB="0" distL="114300" distR="114300" simplePos="0" relativeHeight="251662336" behindDoc="0" locked="0" layoutInCell="1" allowOverlap="1">
          <wp:simplePos x="0" y="0"/>
          <wp:positionH relativeFrom="column">
            <wp:posOffset>2943860</wp:posOffset>
          </wp:positionH>
          <wp:positionV relativeFrom="paragraph">
            <wp:posOffset>-118110</wp:posOffset>
          </wp:positionV>
          <wp:extent cx="400050" cy="361950"/>
          <wp:effectExtent l="0" t="0" r="0" b="0"/>
          <wp:wrapNone/>
          <wp:docPr id="3" name="图片 3"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2"/>
                  <pic:cNvPicPr>
                    <a:picLocks noChangeAspect="1"/>
                  </pic:cNvPicPr>
                </pic:nvPicPr>
                <pic:blipFill>
                  <a:blip r:embed="rId1"/>
                  <a:stretch>
                    <a:fillRect/>
                  </a:stretch>
                </pic:blipFill>
                <pic:spPr>
                  <a:xfrm>
                    <a:off x="0" y="0"/>
                    <a:ext cx="400050" cy="361950"/>
                  </a:xfrm>
                  <a:prstGeom prst="rect">
                    <a:avLst/>
                  </a:prstGeom>
                  <a:noFill/>
                  <a:ln>
                    <a:noFill/>
                  </a:ln>
                </pic:spPr>
              </pic:pic>
            </a:graphicData>
          </a:graphic>
        </wp:anchor>
      </w:drawing>
    </w:r>
    <w:r>
      <w:rPr>
        <w:rFonts w:hint="eastAsia" w:ascii="华文新魏" w:hAnsi="仿宋" w:eastAsia="华文新魏" w:cs="仿宋"/>
        <w:sz w:val="21"/>
        <w:szCs w:val="21"/>
      </w:rPr>
      <w:t>山东德睿融投资咨询有限公司</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top w:val="none" w:color="auto" w:sz="0" w:space="0"/>
        <w:bottom w:val="single" w:color="auto" w:sz="4" w:space="1"/>
      </w:pBdr>
      <w:ind w:firstLine="420"/>
      <w:jc w:val="right"/>
      <w:rPr>
        <w:rFonts w:ascii="华文新魏" w:hAnsi="仿宋" w:eastAsia="华文新魏" w:cs="仿宋"/>
        <w:sz w:val="21"/>
        <w:szCs w:val="21"/>
      </w:rPr>
    </w:pPr>
    <w:r>
      <w:rPr>
        <w:rFonts w:hint="eastAsia" w:ascii="华文新魏" w:hAnsi="仿宋" w:eastAsia="华文新魏" w:cs="仿宋"/>
        <w:sz w:val="21"/>
        <w:szCs w:val="21"/>
      </w:rPr>
      <w:drawing>
        <wp:anchor distT="0" distB="0" distL="114300" distR="114300" simplePos="0" relativeHeight="251661312" behindDoc="0" locked="0" layoutInCell="1" allowOverlap="1">
          <wp:simplePos x="0" y="0"/>
          <wp:positionH relativeFrom="column">
            <wp:posOffset>3407410</wp:posOffset>
          </wp:positionH>
          <wp:positionV relativeFrom="paragraph">
            <wp:posOffset>-105410</wp:posOffset>
          </wp:positionV>
          <wp:extent cx="400050" cy="361950"/>
          <wp:effectExtent l="0" t="0" r="0" b="6350"/>
          <wp:wrapTopAndBottom/>
          <wp:docPr id="7"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图片2"/>
                  <pic:cNvPicPr>
                    <a:picLocks noChangeAspect="1"/>
                  </pic:cNvPicPr>
                </pic:nvPicPr>
                <pic:blipFill>
                  <a:blip r:embed="rId1"/>
                  <a:stretch>
                    <a:fillRect/>
                  </a:stretch>
                </pic:blipFill>
                <pic:spPr>
                  <a:xfrm>
                    <a:off x="0" y="0"/>
                    <a:ext cx="400050" cy="361950"/>
                  </a:xfrm>
                  <a:prstGeom prst="rect">
                    <a:avLst/>
                  </a:prstGeom>
                  <a:noFill/>
                  <a:ln>
                    <a:noFill/>
                  </a:ln>
                </pic:spPr>
              </pic:pic>
            </a:graphicData>
          </a:graphic>
        </wp:anchor>
      </w:drawing>
    </w:r>
    <w:r>
      <w:rPr>
        <w:rFonts w:hint="eastAsia" w:ascii="华文新魏" w:hAnsi="仿宋" w:eastAsia="华文新魏" w:cs="仿宋"/>
        <w:sz w:val="21"/>
        <w:szCs w:val="21"/>
      </w:rPr>
      <w:t>山东德睿融投资咨询有限公司</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top w:val="none" w:color="auto" w:sz="0" w:space="0"/>
        <w:bottom w:val="single" w:color="auto" w:sz="4" w:space="1"/>
      </w:pBdr>
      <w:ind w:firstLine="420"/>
      <w:jc w:val="right"/>
      <w:rPr>
        <w:rFonts w:ascii="华文新魏" w:hAnsi="仿宋" w:eastAsia="华文新魏" w:cs="仿宋"/>
        <w:sz w:val="21"/>
        <w:szCs w:val="21"/>
      </w:rPr>
    </w:pPr>
    <w:r>
      <w:rPr>
        <w:rFonts w:hint="eastAsia" w:ascii="华文新魏" w:hAnsi="仿宋" w:eastAsia="华文新魏" w:cs="仿宋"/>
        <w:sz w:val="21"/>
        <w:szCs w:val="21"/>
      </w:rPr>
      <w:drawing>
        <wp:anchor distT="0" distB="0" distL="114300" distR="114300" simplePos="0" relativeHeight="251659264" behindDoc="0" locked="0" layoutInCell="1" allowOverlap="1">
          <wp:simplePos x="0" y="0"/>
          <wp:positionH relativeFrom="column">
            <wp:posOffset>6594475</wp:posOffset>
          </wp:positionH>
          <wp:positionV relativeFrom="paragraph">
            <wp:posOffset>-92710</wp:posOffset>
          </wp:positionV>
          <wp:extent cx="400050" cy="361950"/>
          <wp:effectExtent l="0" t="0" r="0" b="0"/>
          <wp:wrapTopAndBottom/>
          <wp:docPr id="10"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图片2"/>
                  <pic:cNvPicPr>
                    <a:picLocks noChangeAspect="1"/>
                  </pic:cNvPicPr>
                </pic:nvPicPr>
                <pic:blipFill>
                  <a:blip r:embed="rId1"/>
                  <a:stretch>
                    <a:fillRect/>
                  </a:stretch>
                </pic:blipFill>
                <pic:spPr>
                  <a:xfrm>
                    <a:off x="0" y="0"/>
                    <a:ext cx="400050" cy="361950"/>
                  </a:xfrm>
                  <a:prstGeom prst="rect">
                    <a:avLst/>
                  </a:prstGeom>
                  <a:noFill/>
                  <a:ln>
                    <a:noFill/>
                  </a:ln>
                </pic:spPr>
              </pic:pic>
            </a:graphicData>
          </a:graphic>
        </wp:anchor>
      </w:drawing>
    </w:r>
    <w:r>
      <w:rPr>
        <w:rFonts w:hint="eastAsia" w:ascii="华文新魏" w:hAnsi="仿宋" w:eastAsia="华文新魏" w:cs="仿宋"/>
        <w:sz w:val="21"/>
        <w:szCs w:val="21"/>
      </w:rPr>
      <w:t>山东德睿融投资咨询有限公司</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top w:val="none" w:color="auto" w:sz="0" w:space="0"/>
        <w:bottom w:val="single" w:color="auto" w:sz="4" w:space="1"/>
      </w:pBdr>
      <w:ind w:firstLine="420"/>
      <w:jc w:val="right"/>
      <w:rPr>
        <w:rFonts w:ascii="华文新魏" w:hAnsi="仿宋" w:eastAsia="华文新魏" w:cs="仿宋"/>
        <w:sz w:val="21"/>
        <w:szCs w:val="21"/>
      </w:rPr>
    </w:pPr>
    <w:r>
      <w:rPr>
        <w:rFonts w:hint="eastAsia" w:ascii="华文新魏" w:hAnsi="仿宋" w:eastAsia="华文新魏" w:cs="仿宋"/>
        <w:sz w:val="21"/>
        <w:szCs w:val="21"/>
      </w:rPr>
      <w:drawing>
        <wp:anchor distT="0" distB="0" distL="114300" distR="114300" simplePos="0" relativeHeight="251660288" behindDoc="0" locked="0" layoutInCell="1" allowOverlap="1">
          <wp:simplePos x="0" y="0"/>
          <wp:positionH relativeFrom="column">
            <wp:posOffset>3354705</wp:posOffset>
          </wp:positionH>
          <wp:positionV relativeFrom="paragraph">
            <wp:posOffset>-90805</wp:posOffset>
          </wp:positionV>
          <wp:extent cx="400050" cy="361950"/>
          <wp:effectExtent l="0" t="0" r="0" b="6350"/>
          <wp:wrapTopAndBottom/>
          <wp:docPr id="12"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descr="图片2"/>
                  <pic:cNvPicPr>
                    <a:picLocks noChangeAspect="1"/>
                  </pic:cNvPicPr>
                </pic:nvPicPr>
                <pic:blipFill>
                  <a:blip r:embed="rId1"/>
                  <a:stretch>
                    <a:fillRect/>
                  </a:stretch>
                </pic:blipFill>
                <pic:spPr>
                  <a:xfrm>
                    <a:off x="0" y="0"/>
                    <a:ext cx="400050" cy="361950"/>
                  </a:xfrm>
                  <a:prstGeom prst="rect">
                    <a:avLst/>
                  </a:prstGeom>
                  <a:noFill/>
                  <a:ln>
                    <a:noFill/>
                  </a:ln>
                </pic:spPr>
              </pic:pic>
            </a:graphicData>
          </a:graphic>
        </wp:anchor>
      </w:drawing>
    </w:r>
    <w:r>
      <w:rPr>
        <w:rFonts w:hint="eastAsia" w:ascii="华文新魏" w:hAnsi="仿宋" w:eastAsia="华文新魏" w:cs="仿宋"/>
        <w:sz w:val="21"/>
        <w:szCs w:val="21"/>
      </w:rPr>
      <w:t>山东德睿融投资咨询有限公司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6AEB4E"/>
    <w:multiLevelType w:val="singleLevel"/>
    <w:tmpl w:val="1C6AEB4E"/>
    <w:lvl w:ilvl="0" w:tentative="0">
      <w:start w:val="4"/>
      <w:numFmt w:val="chineseCounting"/>
      <w:suff w:val="nothing"/>
      <w:lvlText w:val="（%1）"/>
      <w:lvlJc w:val="left"/>
      <w:rPr>
        <w:rFonts w:hint="eastAsia"/>
      </w:rPr>
    </w:lvl>
  </w:abstractNum>
  <w:abstractNum w:abstractNumId="1">
    <w:nsid w:val="28E15ED4"/>
    <w:multiLevelType w:val="singleLevel"/>
    <w:tmpl w:val="28E15ED4"/>
    <w:lvl w:ilvl="0" w:tentative="0">
      <w:start w:val="2"/>
      <w:numFmt w:val="chineseCounting"/>
      <w:suff w:val="nothing"/>
      <w:lvlText w:val="（%1）"/>
      <w:lvlJc w:val="left"/>
      <w:rPr>
        <w:rFonts w:hint="eastAsia"/>
      </w:rPr>
    </w:lvl>
  </w:abstractNum>
  <w:abstractNum w:abstractNumId="2">
    <w:nsid w:val="7C5BE913"/>
    <w:multiLevelType w:val="singleLevel"/>
    <w:tmpl w:val="7C5BE913"/>
    <w:lvl w:ilvl="0" w:tentative="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hideSpellingErrors/>
  <w:documentProtection w:enforcement="0"/>
  <w:defaultTabStop w:val="420"/>
  <w:drawingGridHorizontalSpacing w:val="135"/>
  <w:drawingGridVerticalSpacing w:val="367"/>
  <w:noPunctuationKerning w:val="1"/>
  <w:characterSpacingControl w:val="compressPunctuation"/>
  <w:hdrShapeDefaults>
    <o:shapelayout v:ext="edit">
      <o:idmap v:ext="edit" data="3"/>
    </o:shapelayout>
  </w:hdrShapeDefaults>
  <w:footnotePr>
    <w:numFmt w:val="decimalEnclosedCircleChinese"/>
    <w:numRestart w:val="eachPage"/>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M4Nzc5MjUxZjYxOTI2NzgyYWUwNGY4YTg4Y2RiMWEifQ=="/>
  </w:docVars>
  <w:rsids>
    <w:rsidRoot w:val="00503737"/>
    <w:rsid w:val="00000C53"/>
    <w:rsid w:val="000016BE"/>
    <w:rsid w:val="00005B3B"/>
    <w:rsid w:val="00006374"/>
    <w:rsid w:val="000107C7"/>
    <w:rsid w:val="00016172"/>
    <w:rsid w:val="000208EB"/>
    <w:rsid w:val="00022895"/>
    <w:rsid w:val="000316B9"/>
    <w:rsid w:val="000332D2"/>
    <w:rsid w:val="0004031A"/>
    <w:rsid w:val="000429AE"/>
    <w:rsid w:val="00053332"/>
    <w:rsid w:val="00055D21"/>
    <w:rsid w:val="00055DCF"/>
    <w:rsid w:val="00056688"/>
    <w:rsid w:val="000570A4"/>
    <w:rsid w:val="00057467"/>
    <w:rsid w:val="00074798"/>
    <w:rsid w:val="00074C5E"/>
    <w:rsid w:val="00075696"/>
    <w:rsid w:val="00080517"/>
    <w:rsid w:val="000847E7"/>
    <w:rsid w:val="00084E23"/>
    <w:rsid w:val="00085D38"/>
    <w:rsid w:val="000913C0"/>
    <w:rsid w:val="00091A3A"/>
    <w:rsid w:val="000964E4"/>
    <w:rsid w:val="000A01C9"/>
    <w:rsid w:val="000A07C5"/>
    <w:rsid w:val="000A08E8"/>
    <w:rsid w:val="000A3A6F"/>
    <w:rsid w:val="000A41C9"/>
    <w:rsid w:val="000A5BE8"/>
    <w:rsid w:val="000B163E"/>
    <w:rsid w:val="000B3BFF"/>
    <w:rsid w:val="000B52EB"/>
    <w:rsid w:val="000B6ADB"/>
    <w:rsid w:val="000C4FA5"/>
    <w:rsid w:val="000C5BF3"/>
    <w:rsid w:val="000D1169"/>
    <w:rsid w:val="000D3397"/>
    <w:rsid w:val="000D44AB"/>
    <w:rsid w:val="000D4A87"/>
    <w:rsid w:val="000E0015"/>
    <w:rsid w:val="000E1208"/>
    <w:rsid w:val="000E179C"/>
    <w:rsid w:val="000E4BFC"/>
    <w:rsid w:val="000E7B7D"/>
    <w:rsid w:val="000E7E53"/>
    <w:rsid w:val="000F43B1"/>
    <w:rsid w:val="00105E99"/>
    <w:rsid w:val="0011302E"/>
    <w:rsid w:val="00116083"/>
    <w:rsid w:val="00117035"/>
    <w:rsid w:val="00117D50"/>
    <w:rsid w:val="001223D1"/>
    <w:rsid w:val="001265A1"/>
    <w:rsid w:val="00136197"/>
    <w:rsid w:val="001370F8"/>
    <w:rsid w:val="001420E3"/>
    <w:rsid w:val="00142403"/>
    <w:rsid w:val="00146633"/>
    <w:rsid w:val="00147169"/>
    <w:rsid w:val="0014750E"/>
    <w:rsid w:val="00150184"/>
    <w:rsid w:val="00154620"/>
    <w:rsid w:val="0016200D"/>
    <w:rsid w:val="00162AC9"/>
    <w:rsid w:val="00163232"/>
    <w:rsid w:val="00163DC4"/>
    <w:rsid w:val="00165160"/>
    <w:rsid w:val="00171FCA"/>
    <w:rsid w:val="00172572"/>
    <w:rsid w:val="00172B4D"/>
    <w:rsid w:val="00174189"/>
    <w:rsid w:val="001745A5"/>
    <w:rsid w:val="00174FDA"/>
    <w:rsid w:val="00175525"/>
    <w:rsid w:val="0017605A"/>
    <w:rsid w:val="00177670"/>
    <w:rsid w:val="00177B7C"/>
    <w:rsid w:val="0018631D"/>
    <w:rsid w:val="001870CA"/>
    <w:rsid w:val="0019261A"/>
    <w:rsid w:val="00192960"/>
    <w:rsid w:val="00192D7D"/>
    <w:rsid w:val="001A446A"/>
    <w:rsid w:val="001B24DD"/>
    <w:rsid w:val="001B446C"/>
    <w:rsid w:val="001B44F4"/>
    <w:rsid w:val="001C0101"/>
    <w:rsid w:val="001C17F5"/>
    <w:rsid w:val="001C325E"/>
    <w:rsid w:val="001C48AD"/>
    <w:rsid w:val="001C6B95"/>
    <w:rsid w:val="001C736D"/>
    <w:rsid w:val="001D2A99"/>
    <w:rsid w:val="001D3E5F"/>
    <w:rsid w:val="001D40D1"/>
    <w:rsid w:val="001D4DAE"/>
    <w:rsid w:val="001D5E3C"/>
    <w:rsid w:val="001D760D"/>
    <w:rsid w:val="001D78B5"/>
    <w:rsid w:val="001E272D"/>
    <w:rsid w:val="001E4EB9"/>
    <w:rsid w:val="001E6451"/>
    <w:rsid w:val="001F1AD8"/>
    <w:rsid w:val="001F4201"/>
    <w:rsid w:val="001F717D"/>
    <w:rsid w:val="00200841"/>
    <w:rsid w:val="0020091E"/>
    <w:rsid w:val="00204E4F"/>
    <w:rsid w:val="00205C60"/>
    <w:rsid w:val="0020697A"/>
    <w:rsid w:val="00206C99"/>
    <w:rsid w:val="002073DA"/>
    <w:rsid w:val="00210812"/>
    <w:rsid w:val="00211345"/>
    <w:rsid w:val="00211E11"/>
    <w:rsid w:val="00212831"/>
    <w:rsid w:val="002166EC"/>
    <w:rsid w:val="00226AE3"/>
    <w:rsid w:val="00235D36"/>
    <w:rsid w:val="002365DB"/>
    <w:rsid w:val="00236A6E"/>
    <w:rsid w:val="00237C6A"/>
    <w:rsid w:val="0024344B"/>
    <w:rsid w:val="0024377F"/>
    <w:rsid w:val="0024440C"/>
    <w:rsid w:val="00244A2B"/>
    <w:rsid w:val="00246E00"/>
    <w:rsid w:val="00251D3A"/>
    <w:rsid w:val="0025235E"/>
    <w:rsid w:val="00252A1C"/>
    <w:rsid w:val="00252DA9"/>
    <w:rsid w:val="00256F3C"/>
    <w:rsid w:val="0025726E"/>
    <w:rsid w:val="002613DC"/>
    <w:rsid w:val="00262FB5"/>
    <w:rsid w:val="00264F4F"/>
    <w:rsid w:val="0026656D"/>
    <w:rsid w:val="00266B02"/>
    <w:rsid w:val="002752A0"/>
    <w:rsid w:val="00275E9A"/>
    <w:rsid w:val="0028057F"/>
    <w:rsid w:val="0028124C"/>
    <w:rsid w:val="002901BB"/>
    <w:rsid w:val="00290FB3"/>
    <w:rsid w:val="00294616"/>
    <w:rsid w:val="00297DAC"/>
    <w:rsid w:val="002A46DF"/>
    <w:rsid w:val="002A5785"/>
    <w:rsid w:val="002A5D4A"/>
    <w:rsid w:val="002B0A68"/>
    <w:rsid w:val="002B1934"/>
    <w:rsid w:val="002B297D"/>
    <w:rsid w:val="002B3E62"/>
    <w:rsid w:val="002B44B2"/>
    <w:rsid w:val="002B616E"/>
    <w:rsid w:val="002B6715"/>
    <w:rsid w:val="002C0E67"/>
    <w:rsid w:val="002C210B"/>
    <w:rsid w:val="002C2D06"/>
    <w:rsid w:val="002C393E"/>
    <w:rsid w:val="002C56D1"/>
    <w:rsid w:val="002C6C5E"/>
    <w:rsid w:val="002C7D2A"/>
    <w:rsid w:val="002D15AA"/>
    <w:rsid w:val="002D3847"/>
    <w:rsid w:val="002D4123"/>
    <w:rsid w:val="002D5386"/>
    <w:rsid w:val="002D562A"/>
    <w:rsid w:val="002D5D60"/>
    <w:rsid w:val="002D7E49"/>
    <w:rsid w:val="002E0EF5"/>
    <w:rsid w:val="002F28A2"/>
    <w:rsid w:val="002F75B5"/>
    <w:rsid w:val="00300CB5"/>
    <w:rsid w:val="0030249C"/>
    <w:rsid w:val="003078AA"/>
    <w:rsid w:val="0031608D"/>
    <w:rsid w:val="00323DDC"/>
    <w:rsid w:val="00325096"/>
    <w:rsid w:val="003258D5"/>
    <w:rsid w:val="00327C18"/>
    <w:rsid w:val="00330221"/>
    <w:rsid w:val="00330A87"/>
    <w:rsid w:val="00332BDF"/>
    <w:rsid w:val="00336A1E"/>
    <w:rsid w:val="00337F4C"/>
    <w:rsid w:val="00340DFC"/>
    <w:rsid w:val="003436D9"/>
    <w:rsid w:val="00350D47"/>
    <w:rsid w:val="00356B80"/>
    <w:rsid w:val="00357241"/>
    <w:rsid w:val="003578F1"/>
    <w:rsid w:val="00357EDD"/>
    <w:rsid w:val="00360E18"/>
    <w:rsid w:val="00363634"/>
    <w:rsid w:val="00364FB8"/>
    <w:rsid w:val="00370E91"/>
    <w:rsid w:val="003715A2"/>
    <w:rsid w:val="00375E43"/>
    <w:rsid w:val="003815EA"/>
    <w:rsid w:val="003857A9"/>
    <w:rsid w:val="00391228"/>
    <w:rsid w:val="00394FDE"/>
    <w:rsid w:val="003978CE"/>
    <w:rsid w:val="003A02F5"/>
    <w:rsid w:val="003A07FA"/>
    <w:rsid w:val="003A2B5B"/>
    <w:rsid w:val="003A34B5"/>
    <w:rsid w:val="003A6016"/>
    <w:rsid w:val="003A7079"/>
    <w:rsid w:val="003B3D82"/>
    <w:rsid w:val="003B5FB4"/>
    <w:rsid w:val="003B6242"/>
    <w:rsid w:val="003B768B"/>
    <w:rsid w:val="003B78EA"/>
    <w:rsid w:val="003C05AD"/>
    <w:rsid w:val="003C18DD"/>
    <w:rsid w:val="003C23A0"/>
    <w:rsid w:val="003C3544"/>
    <w:rsid w:val="003D05EC"/>
    <w:rsid w:val="003D1441"/>
    <w:rsid w:val="003D2FE6"/>
    <w:rsid w:val="003D4EFF"/>
    <w:rsid w:val="003D5D33"/>
    <w:rsid w:val="003E429F"/>
    <w:rsid w:val="003F3A2F"/>
    <w:rsid w:val="003F465B"/>
    <w:rsid w:val="003F4FCC"/>
    <w:rsid w:val="00400384"/>
    <w:rsid w:val="00400F44"/>
    <w:rsid w:val="00401805"/>
    <w:rsid w:val="00401C51"/>
    <w:rsid w:val="00402DB9"/>
    <w:rsid w:val="00403C8D"/>
    <w:rsid w:val="004056BF"/>
    <w:rsid w:val="00414ADF"/>
    <w:rsid w:val="004210AB"/>
    <w:rsid w:val="00422C2B"/>
    <w:rsid w:val="00422D61"/>
    <w:rsid w:val="00423748"/>
    <w:rsid w:val="00424669"/>
    <w:rsid w:val="0043556C"/>
    <w:rsid w:val="00436489"/>
    <w:rsid w:val="00436D70"/>
    <w:rsid w:val="00441E8A"/>
    <w:rsid w:val="00441FA5"/>
    <w:rsid w:val="0044229C"/>
    <w:rsid w:val="00443D45"/>
    <w:rsid w:val="004464B2"/>
    <w:rsid w:val="004530F8"/>
    <w:rsid w:val="00454FA6"/>
    <w:rsid w:val="0045656B"/>
    <w:rsid w:val="004621ED"/>
    <w:rsid w:val="004624DE"/>
    <w:rsid w:val="0047283E"/>
    <w:rsid w:val="00472A06"/>
    <w:rsid w:val="004735AB"/>
    <w:rsid w:val="0047650D"/>
    <w:rsid w:val="00476831"/>
    <w:rsid w:val="00477D36"/>
    <w:rsid w:val="00481804"/>
    <w:rsid w:val="004845DB"/>
    <w:rsid w:val="004864C4"/>
    <w:rsid w:val="004869AA"/>
    <w:rsid w:val="0048704A"/>
    <w:rsid w:val="00494680"/>
    <w:rsid w:val="0049793A"/>
    <w:rsid w:val="004A3871"/>
    <w:rsid w:val="004A3D4E"/>
    <w:rsid w:val="004A4319"/>
    <w:rsid w:val="004A47EB"/>
    <w:rsid w:val="004A5ABA"/>
    <w:rsid w:val="004A6395"/>
    <w:rsid w:val="004A7BE8"/>
    <w:rsid w:val="004B07B2"/>
    <w:rsid w:val="004B4133"/>
    <w:rsid w:val="004B4B80"/>
    <w:rsid w:val="004C4B39"/>
    <w:rsid w:val="004C54A0"/>
    <w:rsid w:val="004D050A"/>
    <w:rsid w:val="004D198A"/>
    <w:rsid w:val="004D4B78"/>
    <w:rsid w:val="004D55A1"/>
    <w:rsid w:val="004D5AD7"/>
    <w:rsid w:val="004D68AA"/>
    <w:rsid w:val="004D6F8E"/>
    <w:rsid w:val="004D79DC"/>
    <w:rsid w:val="004E0C89"/>
    <w:rsid w:val="004E24BA"/>
    <w:rsid w:val="004E353C"/>
    <w:rsid w:val="004E3D84"/>
    <w:rsid w:val="004E5CF3"/>
    <w:rsid w:val="004E6909"/>
    <w:rsid w:val="004F0894"/>
    <w:rsid w:val="004F6199"/>
    <w:rsid w:val="004F727C"/>
    <w:rsid w:val="004F7BF6"/>
    <w:rsid w:val="00500005"/>
    <w:rsid w:val="00503737"/>
    <w:rsid w:val="00503D47"/>
    <w:rsid w:val="00510AA7"/>
    <w:rsid w:val="00511072"/>
    <w:rsid w:val="00511843"/>
    <w:rsid w:val="00511D05"/>
    <w:rsid w:val="00512373"/>
    <w:rsid w:val="00513104"/>
    <w:rsid w:val="0051544C"/>
    <w:rsid w:val="005203DD"/>
    <w:rsid w:val="00520433"/>
    <w:rsid w:val="00523117"/>
    <w:rsid w:val="00523324"/>
    <w:rsid w:val="00523707"/>
    <w:rsid w:val="00526B22"/>
    <w:rsid w:val="005316FE"/>
    <w:rsid w:val="00535B49"/>
    <w:rsid w:val="00536DAD"/>
    <w:rsid w:val="0053723E"/>
    <w:rsid w:val="00537DE5"/>
    <w:rsid w:val="00540E22"/>
    <w:rsid w:val="0054295E"/>
    <w:rsid w:val="005451FC"/>
    <w:rsid w:val="005508E8"/>
    <w:rsid w:val="00551081"/>
    <w:rsid w:val="00556626"/>
    <w:rsid w:val="00560485"/>
    <w:rsid w:val="00565AD6"/>
    <w:rsid w:val="00567A8D"/>
    <w:rsid w:val="005708D3"/>
    <w:rsid w:val="00576EE8"/>
    <w:rsid w:val="00576F58"/>
    <w:rsid w:val="0058009A"/>
    <w:rsid w:val="005818DF"/>
    <w:rsid w:val="005874C5"/>
    <w:rsid w:val="005954CE"/>
    <w:rsid w:val="0059771A"/>
    <w:rsid w:val="005A0A62"/>
    <w:rsid w:val="005A14BA"/>
    <w:rsid w:val="005A26B8"/>
    <w:rsid w:val="005A623B"/>
    <w:rsid w:val="005A787C"/>
    <w:rsid w:val="005B1012"/>
    <w:rsid w:val="005B4065"/>
    <w:rsid w:val="005B4720"/>
    <w:rsid w:val="005B4B6C"/>
    <w:rsid w:val="005B6B3E"/>
    <w:rsid w:val="005B79CE"/>
    <w:rsid w:val="005C0231"/>
    <w:rsid w:val="005C4A51"/>
    <w:rsid w:val="005C5875"/>
    <w:rsid w:val="005C67D3"/>
    <w:rsid w:val="005C67FC"/>
    <w:rsid w:val="005C7306"/>
    <w:rsid w:val="005D2659"/>
    <w:rsid w:val="005D3BF2"/>
    <w:rsid w:val="005D448F"/>
    <w:rsid w:val="005D550E"/>
    <w:rsid w:val="005D65B7"/>
    <w:rsid w:val="005D7A39"/>
    <w:rsid w:val="005E2D9C"/>
    <w:rsid w:val="005E44D3"/>
    <w:rsid w:val="005E6852"/>
    <w:rsid w:val="005E6A30"/>
    <w:rsid w:val="005F3D03"/>
    <w:rsid w:val="005F5A1D"/>
    <w:rsid w:val="00602CE7"/>
    <w:rsid w:val="006040EB"/>
    <w:rsid w:val="00610F5C"/>
    <w:rsid w:val="00611B4E"/>
    <w:rsid w:val="0061582C"/>
    <w:rsid w:val="0061662E"/>
    <w:rsid w:val="0062337D"/>
    <w:rsid w:val="006242FC"/>
    <w:rsid w:val="0062604B"/>
    <w:rsid w:val="0063308C"/>
    <w:rsid w:val="00636E3B"/>
    <w:rsid w:val="00641ADC"/>
    <w:rsid w:val="00641E2E"/>
    <w:rsid w:val="00652B1F"/>
    <w:rsid w:val="00653774"/>
    <w:rsid w:val="00660A6C"/>
    <w:rsid w:val="00661C77"/>
    <w:rsid w:val="00665473"/>
    <w:rsid w:val="00665508"/>
    <w:rsid w:val="00666F88"/>
    <w:rsid w:val="006741EC"/>
    <w:rsid w:val="00675449"/>
    <w:rsid w:val="0067548D"/>
    <w:rsid w:val="00675CCA"/>
    <w:rsid w:val="00677E79"/>
    <w:rsid w:val="00682257"/>
    <w:rsid w:val="006830DA"/>
    <w:rsid w:val="00684447"/>
    <w:rsid w:val="00692765"/>
    <w:rsid w:val="006948E7"/>
    <w:rsid w:val="00695E32"/>
    <w:rsid w:val="00697920"/>
    <w:rsid w:val="006A0C78"/>
    <w:rsid w:val="006A3337"/>
    <w:rsid w:val="006A3876"/>
    <w:rsid w:val="006A3F9A"/>
    <w:rsid w:val="006A4683"/>
    <w:rsid w:val="006B3187"/>
    <w:rsid w:val="006B41CF"/>
    <w:rsid w:val="006B669D"/>
    <w:rsid w:val="006B6DC0"/>
    <w:rsid w:val="006B74B3"/>
    <w:rsid w:val="006B7755"/>
    <w:rsid w:val="006C27F2"/>
    <w:rsid w:val="006C6C7A"/>
    <w:rsid w:val="006D0DCC"/>
    <w:rsid w:val="006D1359"/>
    <w:rsid w:val="006D4ACC"/>
    <w:rsid w:val="006E0DA2"/>
    <w:rsid w:val="006E2C93"/>
    <w:rsid w:val="006F027F"/>
    <w:rsid w:val="006F1595"/>
    <w:rsid w:val="006F6B00"/>
    <w:rsid w:val="007068FC"/>
    <w:rsid w:val="007070A0"/>
    <w:rsid w:val="00711243"/>
    <w:rsid w:val="00711FF8"/>
    <w:rsid w:val="00712318"/>
    <w:rsid w:val="00715D49"/>
    <w:rsid w:val="007169D9"/>
    <w:rsid w:val="00716C60"/>
    <w:rsid w:val="00717A22"/>
    <w:rsid w:val="007201A2"/>
    <w:rsid w:val="0072045F"/>
    <w:rsid w:val="007226DC"/>
    <w:rsid w:val="007244CB"/>
    <w:rsid w:val="00724967"/>
    <w:rsid w:val="00727567"/>
    <w:rsid w:val="00727701"/>
    <w:rsid w:val="0073014D"/>
    <w:rsid w:val="00730B67"/>
    <w:rsid w:val="007313F2"/>
    <w:rsid w:val="007314C3"/>
    <w:rsid w:val="00733094"/>
    <w:rsid w:val="00733A1E"/>
    <w:rsid w:val="00734AAB"/>
    <w:rsid w:val="00737CCB"/>
    <w:rsid w:val="00737D3F"/>
    <w:rsid w:val="0074102C"/>
    <w:rsid w:val="00741DEE"/>
    <w:rsid w:val="00742CEA"/>
    <w:rsid w:val="0074412B"/>
    <w:rsid w:val="00745386"/>
    <w:rsid w:val="007477FD"/>
    <w:rsid w:val="0075098E"/>
    <w:rsid w:val="00751F7D"/>
    <w:rsid w:val="00753760"/>
    <w:rsid w:val="00755CC5"/>
    <w:rsid w:val="00756738"/>
    <w:rsid w:val="00760167"/>
    <w:rsid w:val="007617C3"/>
    <w:rsid w:val="00773880"/>
    <w:rsid w:val="00773C09"/>
    <w:rsid w:val="007764E9"/>
    <w:rsid w:val="00782D8C"/>
    <w:rsid w:val="00784EAD"/>
    <w:rsid w:val="00786C96"/>
    <w:rsid w:val="00790393"/>
    <w:rsid w:val="00790408"/>
    <w:rsid w:val="00793C21"/>
    <w:rsid w:val="00794612"/>
    <w:rsid w:val="00795564"/>
    <w:rsid w:val="007A206C"/>
    <w:rsid w:val="007A4043"/>
    <w:rsid w:val="007A6F0D"/>
    <w:rsid w:val="007B0701"/>
    <w:rsid w:val="007B083C"/>
    <w:rsid w:val="007B1804"/>
    <w:rsid w:val="007B4501"/>
    <w:rsid w:val="007B55D1"/>
    <w:rsid w:val="007B5ACE"/>
    <w:rsid w:val="007C05DC"/>
    <w:rsid w:val="007C07A2"/>
    <w:rsid w:val="007C4FAD"/>
    <w:rsid w:val="007D0712"/>
    <w:rsid w:val="007D09B6"/>
    <w:rsid w:val="007D1D80"/>
    <w:rsid w:val="007D4610"/>
    <w:rsid w:val="007E0C5C"/>
    <w:rsid w:val="007E2979"/>
    <w:rsid w:val="007E2B60"/>
    <w:rsid w:val="007E53B8"/>
    <w:rsid w:val="007E7924"/>
    <w:rsid w:val="007F3747"/>
    <w:rsid w:val="007F40E9"/>
    <w:rsid w:val="007F53A4"/>
    <w:rsid w:val="0080120C"/>
    <w:rsid w:val="00801C1F"/>
    <w:rsid w:val="00802373"/>
    <w:rsid w:val="00803ECF"/>
    <w:rsid w:val="0080562B"/>
    <w:rsid w:val="008058BA"/>
    <w:rsid w:val="00805D42"/>
    <w:rsid w:val="00807B98"/>
    <w:rsid w:val="0081649D"/>
    <w:rsid w:val="008171F9"/>
    <w:rsid w:val="008235F6"/>
    <w:rsid w:val="0082406B"/>
    <w:rsid w:val="00825EF9"/>
    <w:rsid w:val="0082750A"/>
    <w:rsid w:val="00830617"/>
    <w:rsid w:val="00832BB8"/>
    <w:rsid w:val="008373E3"/>
    <w:rsid w:val="00842675"/>
    <w:rsid w:val="00842685"/>
    <w:rsid w:val="008462C6"/>
    <w:rsid w:val="0084719D"/>
    <w:rsid w:val="0084743F"/>
    <w:rsid w:val="00851709"/>
    <w:rsid w:val="0085171B"/>
    <w:rsid w:val="00854404"/>
    <w:rsid w:val="00855FA0"/>
    <w:rsid w:val="0086007D"/>
    <w:rsid w:val="00860815"/>
    <w:rsid w:val="008666AF"/>
    <w:rsid w:val="00866FA6"/>
    <w:rsid w:val="008705DD"/>
    <w:rsid w:val="00872046"/>
    <w:rsid w:val="00877E5C"/>
    <w:rsid w:val="00880186"/>
    <w:rsid w:val="00882EA2"/>
    <w:rsid w:val="00892E79"/>
    <w:rsid w:val="00894D45"/>
    <w:rsid w:val="0089601E"/>
    <w:rsid w:val="0089779F"/>
    <w:rsid w:val="008A085A"/>
    <w:rsid w:val="008A21D2"/>
    <w:rsid w:val="008A3026"/>
    <w:rsid w:val="008A6264"/>
    <w:rsid w:val="008B085F"/>
    <w:rsid w:val="008B1B05"/>
    <w:rsid w:val="008B2140"/>
    <w:rsid w:val="008B271D"/>
    <w:rsid w:val="008C06BF"/>
    <w:rsid w:val="008C1CEF"/>
    <w:rsid w:val="008C2227"/>
    <w:rsid w:val="008C714D"/>
    <w:rsid w:val="008C7A1C"/>
    <w:rsid w:val="008D335C"/>
    <w:rsid w:val="008E07FF"/>
    <w:rsid w:val="008E2A7E"/>
    <w:rsid w:val="008E489C"/>
    <w:rsid w:val="008E60B1"/>
    <w:rsid w:val="008F0F1C"/>
    <w:rsid w:val="008F12EA"/>
    <w:rsid w:val="008F24F0"/>
    <w:rsid w:val="008F418E"/>
    <w:rsid w:val="008F4BC8"/>
    <w:rsid w:val="008F63E9"/>
    <w:rsid w:val="008F7199"/>
    <w:rsid w:val="00900D27"/>
    <w:rsid w:val="00900E4D"/>
    <w:rsid w:val="00901ECE"/>
    <w:rsid w:val="00904354"/>
    <w:rsid w:val="0092729E"/>
    <w:rsid w:val="009333D0"/>
    <w:rsid w:val="00935F5C"/>
    <w:rsid w:val="00936681"/>
    <w:rsid w:val="00936DB0"/>
    <w:rsid w:val="00936E99"/>
    <w:rsid w:val="00937F27"/>
    <w:rsid w:val="009403FC"/>
    <w:rsid w:val="00940995"/>
    <w:rsid w:val="00940DC0"/>
    <w:rsid w:val="00945567"/>
    <w:rsid w:val="00945BDC"/>
    <w:rsid w:val="00945DDB"/>
    <w:rsid w:val="00950B4F"/>
    <w:rsid w:val="00951866"/>
    <w:rsid w:val="00952997"/>
    <w:rsid w:val="0095434D"/>
    <w:rsid w:val="00954F52"/>
    <w:rsid w:val="009551FF"/>
    <w:rsid w:val="009613D9"/>
    <w:rsid w:val="009632F3"/>
    <w:rsid w:val="0096522C"/>
    <w:rsid w:val="00965E47"/>
    <w:rsid w:val="00965FF0"/>
    <w:rsid w:val="00971377"/>
    <w:rsid w:val="00974022"/>
    <w:rsid w:val="00975525"/>
    <w:rsid w:val="00975DC5"/>
    <w:rsid w:val="0098318A"/>
    <w:rsid w:val="00987EC4"/>
    <w:rsid w:val="00991777"/>
    <w:rsid w:val="00993F4C"/>
    <w:rsid w:val="009A60FC"/>
    <w:rsid w:val="009B0A8D"/>
    <w:rsid w:val="009B29FB"/>
    <w:rsid w:val="009B7CF2"/>
    <w:rsid w:val="009C01BE"/>
    <w:rsid w:val="009C7C64"/>
    <w:rsid w:val="009D00E6"/>
    <w:rsid w:val="009D4707"/>
    <w:rsid w:val="009E411B"/>
    <w:rsid w:val="009E7B85"/>
    <w:rsid w:val="009F0572"/>
    <w:rsid w:val="009F087A"/>
    <w:rsid w:val="00A005CE"/>
    <w:rsid w:val="00A0244D"/>
    <w:rsid w:val="00A03043"/>
    <w:rsid w:val="00A0479B"/>
    <w:rsid w:val="00A061BD"/>
    <w:rsid w:val="00A07D2E"/>
    <w:rsid w:val="00A11385"/>
    <w:rsid w:val="00A12DA6"/>
    <w:rsid w:val="00A16D1B"/>
    <w:rsid w:val="00A17CDE"/>
    <w:rsid w:val="00A21A30"/>
    <w:rsid w:val="00A23E52"/>
    <w:rsid w:val="00A272E2"/>
    <w:rsid w:val="00A32957"/>
    <w:rsid w:val="00A35793"/>
    <w:rsid w:val="00A4159C"/>
    <w:rsid w:val="00A420EF"/>
    <w:rsid w:val="00A449C0"/>
    <w:rsid w:val="00A513D0"/>
    <w:rsid w:val="00A54230"/>
    <w:rsid w:val="00A56678"/>
    <w:rsid w:val="00A57DB7"/>
    <w:rsid w:val="00A612AB"/>
    <w:rsid w:val="00A616BE"/>
    <w:rsid w:val="00A61983"/>
    <w:rsid w:val="00A633D8"/>
    <w:rsid w:val="00A63F10"/>
    <w:rsid w:val="00A65C96"/>
    <w:rsid w:val="00A6681C"/>
    <w:rsid w:val="00A7172A"/>
    <w:rsid w:val="00A71EFB"/>
    <w:rsid w:val="00A77EEE"/>
    <w:rsid w:val="00A83203"/>
    <w:rsid w:val="00A83AF6"/>
    <w:rsid w:val="00A84AC4"/>
    <w:rsid w:val="00A858CC"/>
    <w:rsid w:val="00A8781C"/>
    <w:rsid w:val="00A919A0"/>
    <w:rsid w:val="00A92358"/>
    <w:rsid w:val="00A95244"/>
    <w:rsid w:val="00A9636D"/>
    <w:rsid w:val="00A9783F"/>
    <w:rsid w:val="00AA05E8"/>
    <w:rsid w:val="00AA166F"/>
    <w:rsid w:val="00AA3335"/>
    <w:rsid w:val="00AB2AD5"/>
    <w:rsid w:val="00AB460B"/>
    <w:rsid w:val="00AB47B5"/>
    <w:rsid w:val="00AB6A1D"/>
    <w:rsid w:val="00AB7452"/>
    <w:rsid w:val="00AC6D89"/>
    <w:rsid w:val="00AD45E5"/>
    <w:rsid w:val="00AD56E3"/>
    <w:rsid w:val="00AD6AA9"/>
    <w:rsid w:val="00AD7AEB"/>
    <w:rsid w:val="00AE1205"/>
    <w:rsid w:val="00AE3E87"/>
    <w:rsid w:val="00AE630C"/>
    <w:rsid w:val="00AF070E"/>
    <w:rsid w:val="00AF0A95"/>
    <w:rsid w:val="00AF16C4"/>
    <w:rsid w:val="00AF3B01"/>
    <w:rsid w:val="00AF7244"/>
    <w:rsid w:val="00AF75F7"/>
    <w:rsid w:val="00B00551"/>
    <w:rsid w:val="00B01995"/>
    <w:rsid w:val="00B02F2B"/>
    <w:rsid w:val="00B045CF"/>
    <w:rsid w:val="00B04D8E"/>
    <w:rsid w:val="00B1117A"/>
    <w:rsid w:val="00B137A3"/>
    <w:rsid w:val="00B149C6"/>
    <w:rsid w:val="00B17EBE"/>
    <w:rsid w:val="00B26DCE"/>
    <w:rsid w:val="00B27303"/>
    <w:rsid w:val="00B276CA"/>
    <w:rsid w:val="00B35223"/>
    <w:rsid w:val="00B4035A"/>
    <w:rsid w:val="00B413B7"/>
    <w:rsid w:val="00B47934"/>
    <w:rsid w:val="00B53184"/>
    <w:rsid w:val="00B5718D"/>
    <w:rsid w:val="00B5768C"/>
    <w:rsid w:val="00B62262"/>
    <w:rsid w:val="00B627C7"/>
    <w:rsid w:val="00B65AD1"/>
    <w:rsid w:val="00B67EDF"/>
    <w:rsid w:val="00B7504B"/>
    <w:rsid w:val="00B76464"/>
    <w:rsid w:val="00B76B8E"/>
    <w:rsid w:val="00B92019"/>
    <w:rsid w:val="00BA3E06"/>
    <w:rsid w:val="00BB1716"/>
    <w:rsid w:val="00BB3BC3"/>
    <w:rsid w:val="00BB6E12"/>
    <w:rsid w:val="00BC02FC"/>
    <w:rsid w:val="00BC50C3"/>
    <w:rsid w:val="00BC5CD4"/>
    <w:rsid w:val="00BC7937"/>
    <w:rsid w:val="00BD110F"/>
    <w:rsid w:val="00BD3ECF"/>
    <w:rsid w:val="00BD4B9A"/>
    <w:rsid w:val="00BD541E"/>
    <w:rsid w:val="00BD5E48"/>
    <w:rsid w:val="00BE1A44"/>
    <w:rsid w:val="00BE38E0"/>
    <w:rsid w:val="00BE6284"/>
    <w:rsid w:val="00BF1F63"/>
    <w:rsid w:val="00BF50AC"/>
    <w:rsid w:val="00BF6AF1"/>
    <w:rsid w:val="00C001E0"/>
    <w:rsid w:val="00C04B2B"/>
    <w:rsid w:val="00C13BBC"/>
    <w:rsid w:val="00C143C7"/>
    <w:rsid w:val="00C14B2A"/>
    <w:rsid w:val="00C21D8A"/>
    <w:rsid w:val="00C249E9"/>
    <w:rsid w:val="00C31988"/>
    <w:rsid w:val="00C31AD9"/>
    <w:rsid w:val="00C322F5"/>
    <w:rsid w:val="00C4335C"/>
    <w:rsid w:val="00C45153"/>
    <w:rsid w:val="00C46CEE"/>
    <w:rsid w:val="00C47838"/>
    <w:rsid w:val="00C47E47"/>
    <w:rsid w:val="00C50673"/>
    <w:rsid w:val="00C55448"/>
    <w:rsid w:val="00C60CB9"/>
    <w:rsid w:val="00C6329E"/>
    <w:rsid w:val="00C6418D"/>
    <w:rsid w:val="00C65C24"/>
    <w:rsid w:val="00C6660F"/>
    <w:rsid w:val="00C72624"/>
    <w:rsid w:val="00C756BF"/>
    <w:rsid w:val="00C77EDD"/>
    <w:rsid w:val="00C8620C"/>
    <w:rsid w:val="00C9122E"/>
    <w:rsid w:val="00C92564"/>
    <w:rsid w:val="00C95C5C"/>
    <w:rsid w:val="00C961EB"/>
    <w:rsid w:val="00C97F78"/>
    <w:rsid w:val="00CA1DE7"/>
    <w:rsid w:val="00CA25D0"/>
    <w:rsid w:val="00CA43C1"/>
    <w:rsid w:val="00CA5210"/>
    <w:rsid w:val="00CA6A4B"/>
    <w:rsid w:val="00CB002B"/>
    <w:rsid w:val="00CB4ACC"/>
    <w:rsid w:val="00CC114F"/>
    <w:rsid w:val="00CC563C"/>
    <w:rsid w:val="00CC754F"/>
    <w:rsid w:val="00CC79FF"/>
    <w:rsid w:val="00CC7F5C"/>
    <w:rsid w:val="00CD0179"/>
    <w:rsid w:val="00CD234E"/>
    <w:rsid w:val="00CD2537"/>
    <w:rsid w:val="00CD716F"/>
    <w:rsid w:val="00CE49A3"/>
    <w:rsid w:val="00CE4C24"/>
    <w:rsid w:val="00CF1826"/>
    <w:rsid w:val="00CF6F68"/>
    <w:rsid w:val="00D00011"/>
    <w:rsid w:val="00D017B7"/>
    <w:rsid w:val="00D05F79"/>
    <w:rsid w:val="00D122B3"/>
    <w:rsid w:val="00D21BB3"/>
    <w:rsid w:val="00D227A0"/>
    <w:rsid w:val="00D23B31"/>
    <w:rsid w:val="00D37B0D"/>
    <w:rsid w:val="00D41586"/>
    <w:rsid w:val="00D42446"/>
    <w:rsid w:val="00D43F6C"/>
    <w:rsid w:val="00D476F8"/>
    <w:rsid w:val="00D47AD4"/>
    <w:rsid w:val="00D52331"/>
    <w:rsid w:val="00D5320D"/>
    <w:rsid w:val="00D5783D"/>
    <w:rsid w:val="00D57B60"/>
    <w:rsid w:val="00D7063F"/>
    <w:rsid w:val="00D71B50"/>
    <w:rsid w:val="00D7571B"/>
    <w:rsid w:val="00D762C8"/>
    <w:rsid w:val="00D776F7"/>
    <w:rsid w:val="00D8399C"/>
    <w:rsid w:val="00D85408"/>
    <w:rsid w:val="00D860EE"/>
    <w:rsid w:val="00D9140E"/>
    <w:rsid w:val="00D932DF"/>
    <w:rsid w:val="00D95E06"/>
    <w:rsid w:val="00D968F6"/>
    <w:rsid w:val="00D9714B"/>
    <w:rsid w:val="00DA05B6"/>
    <w:rsid w:val="00DA1415"/>
    <w:rsid w:val="00DA1FC1"/>
    <w:rsid w:val="00DA55A0"/>
    <w:rsid w:val="00DA64B7"/>
    <w:rsid w:val="00DB56E0"/>
    <w:rsid w:val="00DB69D7"/>
    <w:rsid w:val="00DB6F0A"/>
    <w:rsid w:val="00DB726D"/>
    <w:rsid w:val="00DC3ECA"/>
    <w:rsid w:val="00DC7B80"/>
    <w:rsid w:val="00DD368F"/>
    <w:rsid w:val="00DD4413"/>
    <w:rsid w:val="00DD4600"/>
    <w:rsid w:val="00DD53F9"/>
    <w:rsid w:val="00DE01CF"/>
    <w:rsid w:val="00DE10A3"/>
    <w:rsid w:val="00DE7999"/>
    <w:rsid w:val="00DE79BA"/>
    <w:rsid w:val="00DF17D0"/>
    <w:rsid w:val="00DF2A9B"/>
    <w:rsid w:val="00DF3B6B"/>
    <w:rsid w:val="00DF4AB4"/>
    <w:rsid w:val="00E02CE2"/>
    <w:rsid w:val="00E0554E"/>
    <w:rsid w:val="00E07DDA"/>
    <w:rsid w:val="00E1227A"/>
    <w:rsid w:val="00E12410"/>
    <w:rsid w:val="00E142B7"/>
    <w:rsid w:val="00E2104F"/>
    <w:rsid w:val="00E23A10"/>
    <w:rsid w:val="00E255E5"/>
    <w:rsid w:val="00E30987"/>
    <w:rsid w:val="00E36E4E"/>
    <w:rsid w:val="00E41416"/>
    <w:rsid w:val="00E4145F"/>
    <w:rsid w:val="00E43D19"/>
    <w:rsid w:val="00E44463"/>
    <w:rsid w:val="00E5024F"/>
    <w:rsid w:val="00E5210A"/>
    <w:rsid w:val="00E56A4E"/>
    <w:rsid w:val="00E60D15"/>
    <w:rsid w:val="00E63118"/>
    <w:rsid w:val="00E64C61"/>
    <w:rsid w:val="00E657E2"/>
    <w:rsid w:val="00E66CBC"/>
    <w:rsid w:val="00E670E2"/>
    <w:rsid w:val="00E67148"/>
    <w:rsid w:val="00E73AEA"/>
    <w:rsid w:val="00E8017B"/>
    <w:rsid w:val="00E80819"/>
    <w:rsid w:val="00E80F64"/>
    <w:rsid w:val="00E81413"/>
    <w:rsid w:val="00E87B6C"/>
    <w:rsid w:val="00E95CEB"/>
    <w:rsid w:val="00E96236"/>
    <w:rsid w:val="00E96AE4"/>
    <w:rsid w:val="00EA2C5F"/>
    <w:rsid w:val="00EA4C3F"/>
    <w:rsid w:val="00EA6361"/>
    <w:rsid w:val="00EA707B"/>
    <w:rsid w:val="00EB5C5D"/>
    <w:rsid w:val="00EB5E5C"/>
    <w:rsid w:val="00EB6419"/>
    <w:rsid w:val="00EB69EE"/>
    <w:rsid w:val="00EC0158"/>
    <w:rsid w:val="00EC129A"/>
    <w:rsid w:val="00EC184D"/>
    <w:rsid w:val="00EC2AA8"/>
    <w:rsid w:val="00EC2FC1"/>
    <w:rsid w:val="00EC3F33"/>
    <w:rsid w:val="00EC5350"/>
    <w:rsid w:val="00EC7DF1"/>
    <w:rsid w:val="00ED3594"/>
    <w:rsid w:val="00EE6472"/>
    <w:rsid w:val="00EF4C15"/>
    <w:rsid w:val="00EF7DC3"/>
    <w:rsid w:val="00F0088D"/>
    <w:rsid w:val="00F01670"/>
    <w:rsid w:val="00F055E6"/>
    <w:rsid w:val="00F07788"/>
    <w:rsid w:val="00F07B02"/>
    <w:rsid w:val="00F13F62"/>
    <w:rsid w:val="00F159C6"/>
    <w:rsid w:val="00F16759"/>
    <w:rsid w:val="00F17501"/>
    <w:rsid w:val="00F2142B"/>
    <w:rsid w:val="00F216B2"/>
    <w:rsid w:val="00F22B58"/>
    <w:rsid w:val="00F246C1"/>
    <w:rsid w:val="00F2534A"/>
    <w:rsid w:val="00F26585"/>
    <w:rsid w:val="00F272BF"/>
    <w:rsid w:val="00F30F8E"/>
    <w:rsid w:val="00F33052"/>
    <w:rsid w:val="00F34903"/>
    <w:rsid w:val="00F37345"/>
    <w:rsid w:val="00F408B6"/>
    <w:rsid w:val="00F41649"/>
    <w:rsid w:val="00F419A9"/>
    <w:rsid w:val="00F42329"/>
    <w:rsid w:val="00F5287C"/>
    <w:rsid w:val="00F55506"/>
    <w:rsid w:val="00F56200"/>
    <w:rsid w:val="00F606D5"/>
    <w:rsid w:val="00F63AD7"/>
    <w:rsid w:val="00F655E5"/>
    <w:rsid w:val="00F66FE0"/>
    <w:rsid w:val="00F70D0B"/>
    <w:rsid w:val="00F71957"/>
    <w:rsid w:val="00F82C3A"/>
    <w:rsid w:val="00F8716D"/>
    <w:rsid w:val="00F91740"/>
    <w:rsid w:val="00F949F2"/>
    <w:rsid w:val="00F972AB"/>
    <w:rsid w:val="00FA0989"/>
    <w:rsid w:val="00FB25CC"/>
    <w:rsid w:val="00FB4FB3"/>
    <w:rsid w:val="00FB603E"/>
    <w:rsid w:val="00FB7EE1"/>
    <w:rsid w:val="00FC4944"/>
    <w:rsid w:val="00FC4FCA"/>
    <w:rsid w:val="00FC7885"/>
    <w:rsid w:val="00FE1063"/>
    <w:rsid w:val="00FE255C"/>
    <w:rsid w:val="00FE4922"/>
    <w:rsid w:val="00FE4F4D"/>
    <w:rsid w:val="00FE597F"/>
    <w:rsid w:val="00FE658F"/>
    <w:rsid w:val="00FF0333"/>
    <w:rsid w:val="00FF0B46"/>
    <w:rsid w:val="00FF1458"/>
    <w:rsid w:val="01172099"/>
    <w:rsid w:val="014120C7"/>
    <w:rsid w:val="01C320F6"/>
    <w:rsid w:val="01CE1393"/>
    <w:rsid w:val="01E05F3C"/>
    <w:rsid w:val="01E60081"/>
    <w:rsid w:val="020344E4"/>
    <w:rsid w:val="020816EA"/>
    <w:rsid w:val="02111BDE"/>
    <w:rsid w:val="021A6B98"/>
    <w:rsid w:val="02721654"/>
    <w:rsid w:val="02EF782A"/>
    <w:rsid w:val="02F25759"/>
    <w:rsid w:val="03234BEC"/>
    <w:rsid w:val="032A2FA7"/>
    <w:rsid w:val="035348A5"/>
    <w:rsid w:val="03694F55"/>
    <w:rsid w:val="03761FE1"/>
    <w:rsid w:val="03811CA7"/>
    <w:rsid w:val="039110DC"/>
    <w:rsid w:val="03C74A1A"/>
    <w:rsid w:val="03EF4BB5"/>
    <w:rsid w:val="04007D4D"/>
    <w:rsid w:val="04280BDE"/>
    <w:rsid w:val="0474047D"/>
    <w:rsid w:val="04C931EE"/>
    <w:rsid w:val="04DE6BDA"/>
    <w:rsid w:val="04F4408C"/>
    <w:rsid w:val="050419EF"/>
    <w:rsid w:val="051B556B"/>
    <w:rsid w:val="053A4F12"/>
    <w:rsid w:val="0544162D"/>
    <w:rsid w:val="056452DA"/>
    <w:rsid w:val="056763A5"/>
    <w:rsid w:val="059A1F08"/>
    <w:rsid w:val="05BC42D0"/>
    <w:rsid w:val="05C308E0"/>
    <w:rsid w:val="06187774"/>
    <w:rsid w:val="062358B3"/>
    <w:rsid w:val="06484524"/>
    <w:rsid w:val="06784980"/>
    <w:rsid w:val="06952D48"/>
    <w:rsid w:val="06BD1378"/>
    <w:rsid w:val="06DE3E94"/>
    <w:rsid w:val="06E27CAD"/>
    <w:rsid w:val="06E55FCB"/>
    <w:rsid w:val="07204D59"/>
    <w:rsid w:val="07231B68"/>
    <w:rsid w:val="073C3819"/>
    <w:rsid w:val="07717930"/>
    <w:rsid w:val="08066D65"/>
    <w:rsid w:val="081D6E6E"/>
    <w:rsid w:val="081E5D9A"/>
    <w:rsid w:val="085733F1"/>
    <w:rsid w:val="08846D72"/>
    <w:rsid w:val="08A63A6C"/>
    <w:rsid w:val="08E030FC"/>
    <w:rsid w:val="09080423"/>
    <w:rsid w:val="09131B19"/>
    <w:rsid w:val="091651B6"/>
    <w:rsid w:val="09264B4D"/>
    <w:rsid w:val="093D6B40"/>
    <w:rsid w:val="099A08B5"/>
    <w:rsid w:val="09A03EDE"/>
    <w:rsid w:val="09B61747"/>
    <w:rsid w:val="09B926C4"/>
    <w:rsid w:val="09C769D8"/>
    <w:rsid w:val="09F37A49"/>
    <w:rsid w:val="0A03621B"/>
    <w:rsid w:val="0A1B510C"/>
    <w:rsid w:val="0A2E1F94"/>
    <w:rsid w:val="0A3973F3"/>
    <w:rsid w:val="0A8D24BB"/>
    <w:rsid w:val="0AAA039E"/>
    <w:rsid w:val="0B0052A5"/>
    <w:rsid w:val="0B1F1FCD"/>
    <w:rsid w:val="0B362130"/>
    <w:rsid w:val="0B555C46"/>
    <w:rsid w:val="0B5F0D51"/>
    <w:rsid w:val="0B996B60"/>
    <w:rsid w:val="0BB579E9"/>
    <w:rsid w:val="0BB8764C"/>
    <w:rsid w:val="0BDC4285"/>
    <w:rsid w:val="0BEE28EB"/>
    <w:rsid w:val="0BFB4036"/>
    <w:rsid w:val="0C243604"/>
    <w:rsid w:val="0C4A769D"/>
    <w:rsid w:val="0C683586"/>
    <w:rsid w:val="0C946F52"/>
    <w:rsid w:val="0CB31F07"/>
    <w:rsid w:val="0CD20C0A"/>
    <w:rsid w:val="0CEF2638"/>
    <w:rsid w:val="0D307B12"/>
    <w:rsid w:val="0D331760"/>
    <w:rsid w:val="0D4841F9"/>
    <w:rsid w:val="0D524C9E"/>
    <w:rsid w:val="0D8768DB"/>
    <w:rsid w:val="0DBE21FF"/>
    <w:rsid w:val="0DCB303D"/>
    <w:rsid w:val="0DF47405"/>
    <w:rsid w:val="0E182A2F"/>
    <w:rsid w:val="0E2875AB"/>
    <w:rsid w:val="0E2F2BA4"/>
    <w:rsid w:val="0E385273"/>
    <w:rsid w:val="0E3F3762"/>
    <w:rsid w:val="0E4D00C0"/>
    <w:rsid w:val="0E536E29"/>
    <w:rsid w:val="0E5B5086"/>
    <w:rsid w:val="0EA578A0"/>
    <w:rsid w:val="0EB022C6"/>
    <w:rsid w:val="0EB34544"/>
    <w:rsid w:val="0EB81478"/>
    <w:rsid w:val="0ED83D75"/>
    <w:rsid w:val="0EDB43A3"/>
    <w:rsid w:val="0F014F38"/>
    <w:rsid w:val="0F061CEB"/>
    <w:rsid w:val="0F0E7747"/>
    <w:rsid w:val="0FA25B27"/>
    <w:rsid w:val="0FB422F9"/>
    <w:rsid w:val="0FC74F9C"/>
    <w:rsid w:val="0FC84707"/>
    <w:rsid w:val="0FCD25C3"/>
    <w:rsid w:val="0FFA01EA"/>
    <w:rsid w:val="10157FD4"/>
    <w:rsid w:val="103F39F0"/>
    <w:rsid w:val="10495056"/>
    <w:rsid w:val="105C3B37"/>
    <w:rsid w:val="10704089"/>
    <w:rsid w:val="109A3B86"/>
    <w:rsid w:val="10C8222C"/>
    <w:rsid w:val="10CE72F8"/>
    <w:rsid w:val="10D974E3"/>
    <w:rsid w:val="10DA4BD4"/>
    <w:rsid w:val="10DF7955"/>
    <w:rsid w:val="10FF2916"/>
    <w:rsid w:val="1107089E"/>
    <w:rsid w:val="11337E3C"/>
    <w:rsid w:val="114C7342"/>
    <w:rsid w:val="11952D34"/>
    <w:rsid w:val="119C7A5A"/>
    <w:rsid w:val="11BB1714"/>
    <w:rsid w:val="11C00F00"/>
    <w:rsid w:val="12052847"/>
    <w:rsid w:val="120C170E"/>
    <w:rsid w:val="1225315B"/>
    <w:rsid w:val="122B1E5C"/>
    <w:rsid w:val="123635C4"/>
    <w:rsid w:val="12485CA9"/>
    <w:rsid w:val="128D6F19"/>
    <w:rsid w:val="12905A8D"/>
    <w:rsid w:val="12AB76DE"/>
    <w:rsid w:val="12EE3A35"/>
    <w:rsid w:val="12F85D2B"/>
    <w:rsid w:val="12FF12E0"/>
    <w:rsid w:val="130A4100"/>
    <w:rsid w:val="13221A2C"/>
    <w:rsid w:val="13267BB2"/>
    <w:rsid w:val="132F34E3"/>
    <w:rsid w:val="13453739"/>
    <w:rsid w:val="134F7DB0"/>
    <w:rsid w:val="13541265"/>
    <w:rsid w:val="136117AC"/>
    <w:rsid w:val="136C738C"/>
    <w:rsid w:val="137B4287"/>
    <w:rsid w:val="13A81FD3"/>
    <w:rsid w:val="13B64320"/>
    <w:rsid w:val="13D11886"/>
    <w:rsid w:val="13F709C7"/>
    <w:rsid w:val="14051DD9"/>
    <w:rsid w:val="140C6BE3"/>
    <w:rsid w:val="142017F1"/>
    <w:rsid w:val="143D2374"/>
    <w:rsid w:val="144D4B00"/>
    <w:rsid w:val="14547FEF"/>
    <w:rsid w:val="14651B57"/>
    <w:rsid w:val="14675F92"/>
    <w:rsid w:val="14930AAD"/>
    <w:rsid w:val="150237A4"/>
    <w:rsid w:val="1557618D"/>
    <w:rsid w:val="156C2D77"/>
    <w:rsid w:val="15963E4E"/>
    <w:rsid w:val="15B9757C"/>
    <w:rsid w:val="15CC58CF"/>
    <w:rsid w:val="15D44A7A"/>
    <w:rsid w:val="16130AEE"/>
    <w:rsid w:val="162D59C2"/>
    <w:rsid w:val="163539DE"/>
    <w:rsid w:val="1644465E"/>
    <w:rsid w:val="16687281"/>
    <w:rsid w:val="1679139F"/>
    <w:rsid w:val="16893F32"/>
    <w:rsid w:val="16B234FA"/>
    <w:rsid w:val="16B55AD8"/>
    <w:rsid w:val="16C61DE9"/>
    <w:rsid w:val="16C85686"/>
    <w:rsid w:val="16EE2AF4"/>
    <w:rsid w:val="17092B03"/>
    <w:rsid w:val="170A0B6B"/>
    <w:rsid w:val="170A613E"/>
    <w:rsid w:val="171E01FE"/>
    <w:rsid w:val="175725D1"/>
    <w:rsid w:val="175C47B0"/>
    <w:rsid w:val="176B6BCE"/>
    <w:rsid w:val="17B73274"/>
    <w:rsid w:val="17C00A87"/>
    <w:rsid w:val="17DB097F"/>
    <w:rsid w:val="17EA27C8"/>
    <w:rsid w:val="17EC7253"/>
    <w:rsid w:val="17F24003"/>
    <w:rsid w:val="17FD2545"/>
    <w:rsid w:val="1819423B"/>
    <w:rsid w:val="183B0C31"/>
    <w:rsid w:val="18653E0A"/>
    <w:rsid w:val="18680600"/>
    <w:rsid w:val="187A6127"/>
    <w:rsid w:val="188D6CEA"/>
    <w:rsid w:val="190C0EA1"/>
    <w:rsid w:val="19AB267A"/>
    <w:rsid w:val="19AC7CB6"/>
    <w:rsid w:val="19B220B4"/>
    <w:rsid w:val="19CF7D77"/>
    <w:rsid w:val="19D84E8D"/>
    <w:rsid w:val="1A024B0B"/>
    <w:rsid w:val="1A601179"/>
    <w:rsid w:val="1A7A2AE1"/>
    <w:rsid w:val="1A8324B7"/>
    <w:rsid w:val="1A9C1B1E"/>
    <w:rsid w:val="1AD77605"/>
    <w:rsid w:val="1AF86F4C"/>
    <w:rsid w:val="1B114960"/>
    <w:rsid w:val="1B757893"/>
    <w:rsid w:val="1B9B3B80"/>
    <w:rsid w:val="1BCC3362"/>
    <w:rsid w:val="1BD42B13"/>
    <w:rsid w:val="1BF626B2"/>
    <w:rsid w:val="1C0D1A0B"/>
    <w:rsid w:val="1C5450E4"/>
    <w:rsid w:val="1C8324A6"/>
    <w:rsid w:val="1CA17BBB"/>
    <w:rsid w:val="1CA67605"/>
    <w:rsid w:val="1CD9743C"/>
    <w:rsid w:val="1D227DE1"/>
    <w:rsid w:val="1D4604A0"/>
    <w:rsid w:val="1D896D11"/>
    <w:rsid w:val="1E1869A4"/>
    <w:rsid w:val="1E19597D"/>
    <w:rsid w:val="1E40296B"/>
    <w:rsid w:val="1E40489E"/>
    <w:rsid w:val="1E4D1CC5"/>
    <w:rsid w:val="1E97362F"/>
    <w:rsid w:val="1EB92071"/>
    <w:rsid w:val="1EC77AB4"/>
    <w:rsid w:val="1EEB7551"/>
    <w:rsid w:val="1F0A596D"/>
    <w:rsid w:val="1F1C136B"/>
    <w:rsid w:val="1F5E3B1A"/>
    <w:rsid w:val="1F820466"/>
    <w:rsid w:val="1FAE2601"/>
    <w:rsid w:val="1FB6516F"/>
    <w:rsid w:val="1FFB0419"/>
    <w:rsid w:val="200A21D5"/>
    <w:rsid w:val="2032337F"/>
    <w:rsid w:val="2033323C"/>
    <w:rsid w:val="20607ACB"/>
    <w:rsid w:val="206D24B9"/>
    <w:rsid w:val="20873677"/>
    <w:rsid w:val="20BE673B"/>
    <w:rsid w:val="20C20673"/>
    <w:rsid w:val="20D52A86"/>
    <w:rsid w:val="20E57A47"/>
    <w:rsid w:val="210D2C08"/>
    <w:rsid w:val="21105848"/>
    <w:rsid w:val="211308E2"/>
    <w:rsid w:val="21252B13"/>
    <w:rsid w:val="212C1A17"/>
    <w:rsid w:val="21316DFF"/>
    <w:rsid w:val="213B5E42"/>
    <w:rsid w:val="21473FD5"/>
    <w:rsid w:val="214D76EC"/>
    <w:rsid w:val="21674248"/>
    <w:rsid w:val="219847DF"/>
    <w:rsid w:val="219B351A"/>
    <w:rsid w:val="22242FDB"/>
    <w:rsid w:val="223B4F0A"/>
    <w:rsid w:val="223E739D"/>
    <w:rsid w:val="22407BB4"/>
    <w:rsid w:val="22DC629C"/>
    <w:rsid w:val="22EC0DCF"/>
    <w:rsid w:val="22F247BD"/>
    <w:rsid w:val="22F30804"/>
    <w:rsid w:val="23006A8B"/>
    <w:rsid w:val="23172525"/>
    <w:rsid w:val="234B55D2"/>
    <w:rsid w:val="235E08C6"/>
    <w:rsid w:val="235E6E49"/>
    <w:rsid w:val="23815DF8"/>
    <w:rsid w:val="23881667"/>
    <w:rsid w:val="23A85725"/>
    <w:rsid w:val="23A9671C"/>
    <w:rsid w:val="23AE6B9B"/>
    <w:rsid w:val="23CE18C6"/>
    <w:rsid w:val="24320D0F"/>
    <w:rsid w:val="244F702F"/>
    <w:rsid w:val="245C5FE8"/>
    <w:rsid w:val="246F01AC"/>
    <w:rsid w:val="247010C0"/>
    <w:rsid w:val="249F4225"/>
    <w:rsid w:val="24AB1157"/>
    <w:rsid w:val="24D834A3"/>
    <w:rsid w:val="24F41BF7"/>
    <w:rsid w:val="2505775A"/>
    <w:rsid w:val="250A26FB"/>
    <w:rsid w:val="257250F7"/>
    <w:rsid w:val="25AB6EFA"/>
    <w:rsid w:val="25D677F3"/>
    <w:rsid w:val="26032DA8"/>
    <w:rsid w:val="2607591B"/>
    <w:rsid w:val="261741DD"/>
    <w:rsid w:val="261924A7"/>
    <w:rsid w:val="261A0EE5"/>
    <w:rsid w:val="262870C7"/>
    <w:rsid w:val="266B2A81"/>
    <w:rsid w:val="26AF12D5"/>
    <w:rsid w:val="26D7660D"/>
    <w:rsid w:val="26E24F6C"/>
    <w:rsid w:val="26F07E2E"/>
    <w:rsid w:val="270601B5"/>
    <w:rsid w:val="274D4BC8"/>
    <w:rsid w:val="277B0C05"/>
    <w:rsid w:val="277C5796"/>
    <w:rsid w:val="278641F8"/>
    <w:rsid w:val="27866BAB"/>
    <w:rsid w:val="279348F9"/>
    <w:rsid w:val="279D43E7"/>
    <w:rsid w:val="27B656E3"/>
    <w:rsid w:val="27E70199"/>
    <w:rsid w:val="27FC54E7"/>
    <w:rsid w:val="28025FDE"/>
    <w:rsid w:val="28156118"/>
    <w:rsid w:val="28242F64"/>
    <w:rsid w:val="2839176B"/>
    <w:rsid w:val="285E166E"/>
    <w:rsid w:val="287C74F6"/>
    <w:rsid w:val="28A75A9F"/>
    <w:rsid w:val="28B84D7F"/>
    <w:rsid w:val="28BA0CCD"/>
    <w:rsid w:val="28C71CCD"/>
    <w:rsid w:val="28E74AF2"/>
    <w:rsid w:val="28FA5372"/>
    <w:rsid w:val="290E3ACB"/>
    <w:rsid w:val="29206796"/>
    <w:rsid w:val="294D698C"/>
    <w:rsid w:val="295E06B9"/>
    <w:rsid w:val="29851FF6"/>
    <w:rsid w:val="29936CBB"/>
    <w:rsid w:val="29B259CF"/>
    <w:rsid w:val="29C9683B"/>
    <w:rsid w:val="29DE24A9"/>
    <w:rsid w:val="2A0B4A4F"/>
    <w:rsid w:val="2A151926"/>
    <w:rsid w:val="2A2972DB"/>
    <w:rsid w:val="2A32023A"/>
    <w:rsid w:val="2A3B54E3"/>
    <w:rsid w:val="2A4D4CA4"/>
    <w:rsid w:val="2AAB2783"/>
    <w:rsid w:val="2B0A01C2"/>
    <w:rsid w:val="2B154FC1"/>
    <w:rsid w:val="2B4022E3"/>
    <w:rsid w:val="2B435878"/>
    <w:rsid w:val="2B662B15"/>
    <w:rsid w:val="2B685806"/>
    <w:rsid w:val="2B9B4671"/>
    <w:rsid w:val="2B9D0155"/>
    <w:rsid w:val="2B9E737C"/>
    <w:rsid w:val="2BB44F53"/>
    <w:rsid w:val="2BEC1EF5"/>
    <w:rsid w:val="2C4D1361"/>
    <w:rsid w:val="2C5907A1"/>
    <w:rsid w:val="2C807C27"/>
    <w:rsid w:val="2C893B58"/>
    <w:rsid w:val="2C956D4E"/>
    <w:rsid w:val="2CA544DA"/>
    <w:rsid w:val="2CCD7955"/>
    <w:rsid w:val="2CDF51F9"/>
    <w:rsid w:val="2CE27B85"/>
    <w:rsid w:val="2D132373"/>
    <w:rsid w:val="2D546CEB"/>
    <w:rsid w:val="2D7471B2"/>
    <w:rsid w:val="2D881307"/>
    <w:rsid w:val="2D953FDA"/>
    <w:rsid w:val="2DA010C7"/>
    <w:rsid w:val="2DD43FEA"/>
    <w:rsid w:val="2DE82933"/>
    <w:rsid w:val="2E0A7CEF"/>
    <w:rsid w:val="2E1659F6"/>
    <w:rsid w:val="2E1A197C"/>
    <w:rsid w:val="2EA66FB4"/>
    <w:rsid w:val="2F075C9E"/>
    <w:rsid w:val="2F0F2DE8"/>
    <w:rsid w:val="2F311A1C"/>
    <w:rsid w:val="2F3A0647"/>
    <w:rsid w:val="2F801A83"/>
    <w:rsid w:val="2F8274BD"/>
    <w:rsid w:val="2F9257C7"/>
    <w:rsid w:val="2FA3101B"/>
    <w:rsid w:val="2FD00794"/>
    <w:rsid w:val="2FDF1BA5"/>
    <w:rsid w:val="301022D7"/>
    <w:rsid w:val="30154564"/>
    <w:rsid w:val="30244587"/>
    <w:rsid w:val="302E44D0"/>
    <w:rsid w:val="30327FA2"/>
    <w:rsid w:val="30983AE4"/>
    <w:rsid w:val="30B3365F"/>
    <w:rsid w:val="30CA3071"/>
    <w:rsid w:val="30FD2445"/>
    <w:rsid w:val="311D0350"/>
    <w:rsid w:val="312C1B30"/>
    <w:rsid w:val="31437FEA"/>
    <w:rsid w:val="31AA13FC"/>
    <w:rsid w:val="31F44578"/>
    <w:rsid w:val="32322E2A"/>
    <w:rsid w:val="3281036B"/>
    <w:rsid w:val="32852F38"/>
    <w:rsid w:val="329F7FE8"/>
    <w:rsid w:val="32CF395D"/>
    <w:rsid w:val="32CF531D"/>
    <w:rsid w:val="32D5176F"/>
    <w:rsid w:val="32E52E97"/>
    <w:rsid w:val="32F4216D"/>
    <w:rsid w:val="32F525CA"/>
    <w:rsid w:val="33422D59"/>
    <w:rsid w:val="334B0B46"/>
    <w:rsid w:val="33522170"/>
    <w:rsid w:val="33733535"/>
    <w:rsid w:val="33756431"/>
    <w:rsid w:val="337955AD"/>
    <w:rsid w:val="339B2B3B"/>
    <w:rsid w:val="33A14662"/>
    <w:rsid w:val="33A82CBE"/>
    <w:rsid w:val="33C13B5D"/>
    <w:rsid w:val="33F47A3E"/>
    <w:rsid w:val="33FC410D"/>
    <w:rsid w:val="34223859"/>
    <w:rsid w:val="342D259E"/>
    <w:rsid w:val="346050B5"/>
    <w:rsid w:val="34852794"/>
    <w:rsid w:val="34A766C9"/>
    <w:rsid w:val="34CD26C6"/>
    <w:rsid w:val="34FA4D40"/>
    <w:rsid w:val="34FB43EF"/>
    <w:rsid w:val="350E517D"/>
    <w:rsid w:val="35162CD7"/>
    <w:rsid w:val="35751699"/>
    <w:rsid w:val="3591033A"/>
    <w:rsid w:val="35953B59"/>
    <w:rsid w:val="35BF4682"/>
    <w:rsid w:val="35E66C7E"/>
    <w:rsid w:val="35EA51EE"/>
    <w:rsid w:val="35F11881"/>
    <w:rsid w:val="35FA6A6E"/>
    <w:rsid w:val="360D0402"/>
    <w:rsid w:val="361909F0"/>
    <w:rsid w:val="364D069A"/>
    <w:rsid w:val="368D485C"/>
    <w:rsid w:val="36B8340E"/>
    <w:rsid w:val="37056E6B"/>
    <w:rsid w:val="374417C1"/>
    <w:rsid w:val="37532D80"/>
    <w:rsid w:val="37743609"/>
    <w:rsid w:val="37991DE9"/>
    <w:rsid w:val="379B1626"/>
    <w:rsid w:val="379E570A"/>
    <w:rsid w:val="37A0361B"/>
    <w:rsid w:val="37EB4362"/>
    <w:rsid w:val="37F415BD"/>
    <w:rsid w:val="38151D36"/>
    <w:rsid w:val="38574E03"/>
    <w:rsid w:val="388F0737"/>
    <w:rsid w:val="38A24FBC"/>
    <w:rsid w:val="38CB0C09"/>
    <w:rsid w:val="38CC18CF"/>
    <w:rsid w:val="38CD277F"/>
    <w:rsid w:val="38D73128"/>
    <w:rsid w:val="391805C3"/>
    <w:rsid w:val="39416A2A"/>
    <w:rsid w:val="396201C9"/>
    <w:rsid w:val="397A6987"/>
    <w:rsid w:val="39893797"/>
    <w:rsid w:val="398B6D19"/>
    <w:rsid w:val="39A05A89"/>
    <w:rsid w:val="3A0B1DCF"/>
    <w:rsid w:val="3A155A27"/>
    <w:rsid w:val="3A5A24D9"/>
    <w:rsid w:val="3A6D7886"/>
    <w:rsid w:val="3A737442"/>
    <w:rsid w:val="3A806D9C"/>
    <w:rsid w:val="3A8F5064"/>
    <w:rsid w:val="3A943F5F"/>
    <w:rsid w:val="3AC24D8E"/>
    <w:rsid w:val="3ADA2BCF"/>
    <w:rsid w:val="3AEF7CE8"/>
    <w:rsid w:val="3AFB6128"/>
    <w:rsid w:val="3B366FCD"/>
    <w:rsid w:val="3B5273E0"/>
    <w:rsid w:val="3BCD60D4"/>
    <w:rsid w:val="3BE4223D"/>
    <w:rsid w:val="3C0542A0"/>
    <w:rsid w:val="3C0550C0"/>
    <w:rsid w:val="3C0E529D"/>
    <w:rsid w:val="3C1859C6"/>
    <w:rsid w:val="3C295DC9"/>
    <w:rsid w:val="3C312C20"/>
    <w:rsid w:val="3C3230F3"/>
    <w:rsid w:val="3C4D6C5D"/>
    <w:rsid w:val="3CAF39F9"/>
    <w:rsid w:val="3CBA6C98"/>
    <w:rsid w:val="3D7E7B25"/>
    <w:rsid w:val="3DA91CA4"/>
    <w:rsid w:val="3DAC62A9"/>
    <w:rsid w:val="3DB1570D"/>
    <w:rsid w:val="3DD40F59"/>
    <w:rsid w:val="3DD959BD"/>
    <w:rsid w:val="3DEA62BD"/>
    <w:rsid w:val="3DEB4AD0"/>
    <w:rsid w:val="3DEC4C3F"/>
    <w:rsid w:val="3E153186"/>
    <w:rsid w:val="3E375EDB"/>
    <w:rsid w:val="3E4E4C2A"/>
    <w:rsid w:val="3E797014"/>
    <w:rsid w:val="3E944861"/>
    <w:rsid w:val="3E953BBF"/>
    <w:rsid w:val="3E993262"/>
    <w:rsid w:val="3E9F2272"/>
    <w:rsid w:val="3EB767A2"/>
    <w:rsid w:val="3EC74407"/>
    <w:rsid w:val="3EEC5917"/>
    <w:rsid w:val="3F0102C8"/>
    <w:rsid w:val="3F0C2DE7"/>
    <w:rsid w:val="3F1809C3"/>
    <w:rsid w:val="3F1E277A"/>
    <w:rsid w:val="3F22479B"/>
    <w:rsid w:val="3F2A7AC5"/>
    <w:rsid w:val="3F2A7BD0"/>
    <w:rsid w:val="3F343834"/>
    <w:rsid w:val="3F63499B"/>
    <w:rsid w:val="3F9A720D"/>
    <w:rsid w:val="3FB17845"/>
    <w:rsid w:val="404943BA"/>
    <w:rsid w:val="406D0115"/>
    <w:rsid w:val="40977113"/>
    <w:rsid w:val="40CA7DEA"/>
    <w:rsid w:val="40D734D2"/>
    <w:rsid w:val="411D4D57"/>
    <w:rsid w:val="41262F11"/>
    <w:rsid w:val="414900A4"/>
    <w:rsid w:val="416B0A6E"/>
    <w:rsid w:val="419A2A05"/>
    <w:rsid w:val="41CD2721"/>
    <w:rsid w:val="42666234"/>
    <w:rsid w:val="42696A07"/>
    <w:rsid w:val="42742A4E"/>
    <w:rsid w:val="4290581E"/>
    <w:rsid w:val="42B841B2"/>
    <w:rsid w:val="42DD00E9"/>
    <w:rsid w:val="42E4784F"/>
    <w:rsid w:val="431E7668"/>
    <w:rsid w:val="43267E79"/>
    <w:rsid w:val="437354F6"/>
    <w:rsid w:val="43A65C26"/>
    <w:rsid w:val="43B05917"/>
    <w:rsid w:val="43C667D0"/>
    <w:rsid w:val="43C75651"/>
    <w:rsid w:val="43D35C08"/>
    <w:rsid w:val="43DF6CA5"/>
    <w:rsid w:val="43FF1225"/>
    <w:rsid w:val="442B440F"/>
    <w:rsid w:val="44404632"/>
    <w:rsid w:val="448B0D35"/>
    <w:rsid w:val="449624EF"/>
    <w:rsid w:val="44D9500D"/>
    <w:rsid w:val="44DE4707"/>
    <w:rsid w:val="44F752FD"/>
    <w:rsid w:val="44FB288C"/>
    <w:rsid w:val="45016487"/>
    <w:rsid w:val="45336688"/>
    <w:rsid w:val="45557BC5"/>
    <w:rsid w:val="455E68E6"/>
    <w:rsid w:val="45C06F7C"/>
    <w:rsid w:val="45CA433B"/>
    <w:rsid w:val="45EE4090"/>
    <w:rsid w:val="45F14A62"/>
    <w:rsid w:val="46130FB8"/>
    <w:rsid w:val="4623469C"/>
    <w:rsid w:val="46BE2930"/>
    <w:rsid w:val="46D02669"/>
    <w:rsid w:val="46D21C8C"/>
    <w:rsid w:val="46ED07B6"/>
    <w:rsid w:val="47454EA1"/>
    <w:rsid w:val="475A1FF2"/>
    <w:rsid w:val="478D16B1"/>
    <w:rsid w:val="479B3001"/>
    <w:rsid w:val="47E7735E"/>
    <w:rsid w:val="4805213C"/>
    <w:rsid w:val="480F155C"/>
    <w:rsid w:val="48244460"/>
    <w:rsid w:val="486D4D84"/>
    <w:rsid w:val="48775EED"/>
    <w:rsid w:val="48B95ECE"/>
    <w:rsid w:val="48E11FE9"/>
    <w:rsid w:val="490800BC"/>
    <w:rsid w:val="49260C54"/>
    <w:rsid w:val="492642D9"/>
    <w:rsid w:val="493B0042"/>
    <w:rsid w:val="495857DC"/>
    <w:rsid w:val="495C7449"/>
    <w:rsid w:val="49733DC5"/>
    <w:rsid w:val="4A0428BB"/>
    <w:rsid w:val="4A1964DE"/>
    <w:rsid w:val="4A5B447B"/>
    <w:rsid w:val="4A7F3F5E"/>
    <w:rsid w:val="4AD35C9A"/>
    <w:rsid w:val="4AE5103A"/>
    <w:rsid w:val="4AF105DE"/>
    <w:rsid w:val="4B1535CD"/>
    <w:rsid w:val="4B254BBF"/>
    <w:rsid w:val="4B29666D"/>
    <w:rsid w:val="4B50024D"/>
    <w:rsid w:val="4B6602E2"/>
    <w:rsid w:val="4B8218C7"/>
    <w:rsid w:val="4B937AD8"/>
    <w:rsid w:val="4BE86E26"/>
    <w:rsid w:val="4BEC2A61"/>
    <w:rsid w:val="4C1C66ED"/>
    <w:rsid w:val="4C212812"/>
    <w:rsid w:val="4C2A7C24"/>
    <w:rsid w:val="4C92155A"/>
    <w:rsid w:val="4C9810ED"/>
    <w:rsid w:val="4CC7105B"/>
    <w:rsid w:val="4CEC58BB"/>
    <w:rsid w:val="4D4557B0"/>
    <w:rsid w:val="4D685AA6"/>
    <w:rsid w:val="4D710BC6"/>
    <w:rsid w:val="4D975B9B"/>
    <w:rsid w:val="4D9F466F"/>
    <w:rsid w:val="4DAF303F"/>
    <w:rsid w:val="4DF2318E"/>
    <w:rsid w:val="4E0F04F9"/>
    <w:rsid w:val="4E3C5889"/>
    <w:rsid w:val="4E5724A0"/>
    <w:rsid w:val="4E71636B"/>
    <w:rsid w:val="4E9324C7"/>
    <w:rsid w:val="4EA76741"/>
    <w:rsid w:val="4EC679B3"/>
    <w:rsid w:val="4EE364A3"/>
    <w:rsid w:val="4EFC6035"/>
    <w:rsid w:val="4F470498"/>
    <w:rsid w:val="4F5B2130"/>
    <w:rsid w:val="4F9E7B71"/>
    <w:rsid w:val="501D1B08"/>
    <w:rsid w:val="502F775F"/>
    <w:rsid w:val="506A4DA1"/>
    <w:rsid w:val="50705F1D"/>
    <w:rsid w:val="50CA76B4"/>
    <w:rsid w:val="50CE426C"/>
    <w:rsid w:val="50D14CDF"/>
    <w:rsid w:val="50D9727F"/>
    <w:rsid w:val="50F571AB"/>
    <w:rsid w:val="51027A1D"/>
    <w:rsid w:val="51041C40"/>
    <w:rsid w:val="51280DBA"/>
    <w:rsid w:val="513C706D"/>
    <w:rsid w:val="515274E3"/>
    <w:rsid w:val="5161175C"/>
    <w:rsid w:val="51673B42"/>
    <w:rsid w:val="51770E8C"/>
    <w:rsid w:val="517B1B42"/>
    <w:rsid w:val="519F4DD8"/>
    <w:rsid w:val="51B841B8"/>
    <w:rsid w:val="51BD627C"/>
    <w:rsid w:val="51C010C1"/>
    <w:rsid w:val="51DF2EE8"/>
    <w:rsid w:val="521D0129"/>
    <w:rsid w:val="522C6B5E"/>
    <w:rsid w:val="525706D9"/>
    <w:rsid w:val="52900DC3"/>
    <w:rsid w:val="53317855"/>
    <w:rsid w:val="538F20F8"/>
    <w:rsid w:val="53CB47A8"/>
    <w:rsid w:val="53CF238C"/>
    <w:rsid w:val="53D604E3"/>
    <w:rsid w:val="53E779DA"/>
    <w:rsid w:val="54315013"/>
    <w:rsid w:val="5441077A"/>
    <w:rsid w:val="54781A30"/>
    <w:rsid w:val="5478524F"/>
    <w:rsid w:val="54A0093F"/>
    <w:rsid w:val="54AB750A"/>
    <w:rsid w:val="54C52CA1"/>
    <w:rsid w:val="54D16038"/>
    <w:rsid w:val="54DC2731"/>
    <w:rsid w:val="54E127F4"/>
    <w:rsid w:val="54EF1575"/>
    <w:rsid w:val="55054CF5"/>
    <w:rsid w:val="55283B29"/>
    <w:rsid w:val="552A3D4C"/>
    <w:rsid w:val="55376634"/>
    <w:rsid w:val="558304C7"/>
    <w:rsid w:val="558A419F"/>
    <w:rsid w:val="55C52948"/>
    <w:rsid w:val="55E40305"/>
    <w:rsid w:val="560A2FD8"/>
    <w:rsid w:val="564E08D4"/>
    <w:rsid w:val="565040C0"/>
    <w:rsid w:val="56540C7C"/>
    <w:rsid w:val="56A34464"/>
    <w:rsid w:val="56AF5F4A"/>
    <w:rsid w:val="56CC4756"/>
    <w:rsid w:val="56EC4A2F"/>
    <w:rsid w:val="56F63AE6"/>
    <w:rsid w:val="5709553F"/>
    <w:rsid w:val="572C3407"/>
    <w:rsid w:val="573A5D9A"/>
    <w:rsid w:val="578816A8"/>
    <w:rsid w:val="578D0643"/>
    <w:rsid w:val="57A73B88"/>
    <w:rsid w:val="57BD76BB"/>
    <w:rsid w:val="57C85778"/>
    <w:rsid w:val="58012C72"/>
    <w:rsid w:val="58941062"/>
    <w:rsid w:val="58A74BA0"/>
    <w:rsid w:val="58BB37DC"/>
    <w:rsid w:val="58D13376"/>
    <w:rsid w:val="58E83EA8"/>
    <w:rsid w:val="5917565E"/>
    <w:rsid w:val="592E44F7"/>
    <w:rsid w:val="59525A79"/>
    <w:rsid w:val="597E0D54"/>
    <w:rsid w:val="598F7D32"/>
    <w:rsid w:val="59A179CE"/>
    <w:rsid w:val="59AC65F8"/>
    <w:rsid w:val="59B1237D"/>
    <w:rsid w:val="59CE6D87"/>
    <w:rsid w:val="59DD0BAB"/>
    <w:rsid w:val="5A0E4F64"/>
    <w:rsid w:val="5A2B66C1"/>
    <w:rsid w:val="5A2F5B45"/>
    <w:rsid w:val="5A2F6AF7"/>
    <w:rsid w:val="5A3262EE"/>
    <w:rsid w:val="5A5230EC"/>
    <w:rsid w:val="5A8C6551"/>
    <w:rsid w:val="5A9A1850"/>
    <w:rsid w:val="5A9E2C67"/>
    <w:rsid w:val="5AC96703"/>
    <w:rsid w:val="5AD03D41"/>
    <w:rsid w:val="5AD50B17"/>
    <w:rsid w:val="5AD840C6"/>
    <w:rsid w:val="5B422B12"/>
    <w:rsid w:val="5B452999"/>
    <w:rsid w:val="5B484485"/>
    <w:rsid w:val="5B501F0F"/>
    <w:rsid w:val="5BAC35E9"/>
    <w:rsid w:val="5BBB27F5"/>
    <w:rsid w:val="5BD22CB9"/>
    <w:rsid w:val="5C260CD3"/>
    <w:rsid w:val="5C390C80"/>
    <w:rsid w:val="5C4E241A"/>
    <w:rsid w:val="5C56771B"/>
    <w:rsid w:val="5C624E98"/>
    <w:rsid w:val="5CBC43B9"/>
    <w:rsid w:val="5D181006"/>
    <w:rsid w:val="5D2734D5"/>
    <w:rsid w:val="5D373386"/>
    <w:rsid w:val="5D4249EB"/>
    <w:rsid w:val="5D4F0CFB"/>
    <w:rsid w:val="5D587B6E"/>
    <w:rsid w:val="5D5A6605"/>
    <w:rsid w:val="5D6966DF"/>
    <w:rsid w:val="5D751D21"/>
    <w:rsid w:val="5D982496"/>
    <w:rsid w:val="5D9D2FD9"/>
    <w:rsid w:val="5D9F2C98"/>
    <w:rsid w:val="5DA13857"/>
    <w:rsid w:val="5DAD4776"/>
    <w:rsid w:val="5DCD3DB7"/>
    <w:rsid w:val="5E0D79D6"/>
    <w:rsid w:val="5E104CEC"/>
    <w:rsid w:val="5E23390B"/>
    <w:rsid w:val="5E653099"/>
    <w:rsid w:val="5E966B24"/>
    <w:rsid w:val="5EC77F75"/>
    <w:rsid w:val="5EDB4D02"/>
    <w:rsid w:val="5EEA0A39"/>
    <w:rsid w:val="5F015726"/>
    <w:rsid w:val="5F5D64D2"/>
    <w:rsid w:val="5F684CEC"/>
    <w:rsid w:val="5F6D5AC3"/>
    <w:rsid w:val="5F7D7140"/>
    <w:rsid w:val="5FF84BB7"/>
    <w:rsid w:val="60084CED"/>
    <w:rsid w:val="600B62B8"/>
    <w:rsid w:val="601C3073"/>
    <w:rsid w:val="605327E7"/>
    <w:rsid w:val="609408D3"/>
    <w:rsid w:val="60BB1585"/>
    <w:rsid w:val="60ED35ED"/>
    <w:rsid w:val="60F37CFB"/>
    <w:rsid w:val="610A6620"/>
    <w:rsid w:val="61245173"/>
    <w:rsid w:val="61275E0C"/>
    <w:rsid w:val="61797C79"/>
    <w:rsid w:val="61985B41"/>
    <w:rsid w:val="61C12BAA"/>
    <w:rsid w:val="61ED7FCA"/>
    <w:rsid w:val="61F75127"/>
    <w:rsid w:val="623120B9"/>
    <w:rsid w:val="62955F5C"/>
    <w:rsid w:val="62A64F0C"/>
    <w:rsid w:val="62A9062D"/>
    <w:rsid w:val="62B84AB1"/>
    <w:rsid w:val="62BA12BD"/>
    <w:rsid w:val="62C16BCB"/>
    <w:rsid w:val="62CC0A9C"/>
    <w:rsid w:val="62D70EC7"/>
    <w:rsid w:val="62ED6111"/>
    <w:rsid w:val="62EE6B2C"/>
    <w:rsid w:val="62F74433"/>
    <w:rsid w:val="632F4F3D"/>
    <w:rsid w:val="634D5352"/>
    <w:rsid w:val="63A06FBB"/>
    <w:rsid w:val="63A36E7F"/>
    <w:rsid w:val="63DC56C6"/>
    <w:rsid w:val="64110EB3"/>
    <w:rsid w:val="647A5CAE"/>
    <w:rsid w:val="64844831"/>
    <w:rsid w:val="651261F7"/>
    <w:rsid w:val="6514000A"/>
    <w:rsid w:val="65166549"/>
    <w:rsid w:val="65521C72"/>
    <w:rsid w:val="65581461"/>
    <w:rsid w:val="656D1DA1"/>
    <w:rsid w:val="6587589A"/>
    <w:rsid w:val="65B512EC"/>
    <w:rsid w:val="65E56E3A"/>
    <w:rsid w:val="6600681A"/>
    <w:rsid w:val="661C3D8F"/>
    <w:rsid w:val="66453CFC"/>
    <w:rsid w:val="66925AD1"/>
    <w:rsid w:val="66AA39F1"/>
    <w:rsid w:val="66DB65EE"/>
    <w:rsid w:val="670354A0"/>
    <w:rsid w:val="670A6427"/>
    <w:rsid w:val="672E57FA"/>
    <w:rsid w:val="67306415"/>
    <w:rsid w:val="67731B54"/>
    <w:rsid w:val="679C4576"/>
    <w:rsid w:val="67E6499A"/>
    <w:rsid w:val="67FE6CDF"/>
    <w:rsid w:val="681E5FD4"/>
    <w:rsid w:val="68432DF3"/>
    <w:rsid w:val="68CB40B0"/>
    <w:rsid w:val="68D54E63"/>
    <w:rsid w:val="68E04066"/>
    <w:rsid w:val="69341197"/>
    <w:rsid w:val="698F2EA5"/>
    <w:rsid w:val="69C54CE1"/>
    <w:rsid w:val="69F45908"/>
    <w:rsid w:val="69F67F87"/>
    <w:rsid w:val="69F83E9D"/>
    <w:rsid w:val="69F87575"/>
    <w:rsid w:val="6A1607AC"/>
    <w:rsid w:val="6A4D0AD4"/>
    <w:rsid w:val="6A583053"/>
    <w:rsid w:val="6A7B5ACB"/>
    <w:rsid w:val="6A9B3B22"/>
    <w:rsid w:val="6AA57351"/>
    <w:rsid w:val="6ABE43DD"/>
    <w:rsid w:val="6AC319A2"/>
    <w:rsid w:val="6ACF0123"/>
    <w:rsid w:val="6B0F0193"/>
    <w:rsid w:val="6B1E4C1A"/>
    <w:rsid w:val="6B295151"/>
    <w:rsid w:val="6B380F73"/>
    <w:rsid w:val="6B543360"/>
    <w:rsid w:val="6B6468D9"/>
    <w:rsid w:val="6B9B1A6E"/>
    <w:rsid w:val="6BD85D25"/>
    <w:rsid w:val="6C05483B"/>
    <w:rsid w:val="6C1617AB"/>
    <w:rsid w:val="6C2A451B"/>
    <w:rsid w:val="6C4822C1"/>
    <w:rsid w:val="6C591700"/>
    <w:rsid w:val="6C5D1BA6"/>
    <w:rsid w:val="6C724379"/>
    <w:rsid w:val="6C9A1976"/>
    <w:rsid w:val="6CBE6DD2"/>
    <w:rsid w:val="6CD52720"/>
    <w:rsid w:val="6CDF0F01"/>
    <w:rsid w:val="6CEB6116"/>
    <w:rsid w:val="6D426807"/>
    <w:rsid w:val="6D742987"/>
    <w:rsid w:val="6D883025"/>
    <w:rsid w:val="6DA751E3"/>
    <w:rsid w:val="6DCC7B1B"/>
    <w:rsid w:val="6E406ECA"/>
    <w:rsid w:val="6E454C34"/>
    <w:rsid w:val="6EA1613D"/>
    <w:rsid w:val="6EAB7F8A"/>
    <w:rsid w:val="6EBE23BD"/>
    <w:rsid w:val="6EFF3FE8"/>
    <w:rsid w:val="6F234F4B"/>
    <w:rsid w:val="6F5002D8"/>
    <w:rsid w:val="6F88502F"/>
    <w:rsid w:val="6FA81579"/>
    <w:rsid w:val="6FE03293"/>
    <w:rsid w:val="701B3E61"/>
    <w:rsid w:val="701B5072"/>
    <w:rsid w:val="701B5F36"/>
    <w:rsid w:val="7049639E"/>
    <w:rsid w:val="7055204A"/>
    <w:rsid w:val="709B778B"/>
    <w:rsid w:val="70AD1C6D"/>
    <w:rsid w:val="70AF78C3"/>
    <w:rsid w:val="70CA08BA"/>
    <w:rsid w:val="70F72A2A"/>
    <w:rsid w:val="711426F0"/>
    <w:rsid w:val="71294F39"/>
    <w:rsid w:val="717F78EF"/>
    <w:rsid w:val="718E7020"/>
    <w:rsid w:val="719426FE"/>
    <w:rsid w:val="719C2399"/>
    <w:rsid w:val="71C05FAD"/>
    <w:rsid w:val="71C730ED"/>
    <w:rsid w:val="71DF0765"/>
    <w:rsid w:val="72305DDD"/>
    <w:rsid w:val="725A1FDD"/>
    <w:rsid w:val="72656A31"/>
    <w:rsid w:val="727763F3"/>
    <w:rsid w:val="72894782"/>
    <w:rsid w:val="7297045A"/>
    <w:rsid w:val="729A2BCE"/>
    <w:rsid w:val="72DD137A"/>
    <w:rsid w:val="738706DD"/>
    <w:rsid w:val="739764BB"/>
    <w:rsid w:val="73A168FE"/>
    <w:rsid w:val="73C56603"/>
    <w:rsid w:val="73C830E1"/>
    <w:rsid w:val="73EA3589"/>
    <w:rsid w:val="73F71A18"/>
    <w:rsid w:val="74022CF0"/>
    <w:rsid w:val="740E7F6C"/>
    <w:rsid w:val="741A0233"/>
    <w:rsid w:val="742747AE"/>
    <w:rsid w:val="74377F30"/>
    <w:rsid w:val="746E5675"/>
    <w:rsid w:val="74875761"/>
    <w:rsid w:val="74900AEB"/>
    <w:rsid w:val="74BA09EB"/>
    <w:rsid w:val="74C029FB"/>
    <w:rsid w:val="74F06A95"/>
    <w:rsid w:val="74F16A23"/>
    <w:rsid w:val="75300FA8"/>
    <w:rsid w:val="75494436"/>
    <w:rsid w:val="754A4447"/>
    <w:rsid w:val="755D5C2B"/>
    <w:rsid w:val="75725C76"/>
    <w:rsid w:val="757560F4"/>
    <w:rsid w:val="75B423BF"/>
    <w:rsid w:val="75CE7CD9"/>
    <w:rsid w:val="75D707F9"/>
    <w:rsid w:val="75DE72DB"/>
    <w:rsid w:val="75DF0668"/>
    <w:rsid w:val="75F82DBF"/>
    <w:rsid w:val="760D1BDD"/>
    <w:rsid w:val="76407928"/>
    <w:rsid w:val="7652283B"/>
    <w:rsid w:val="76A95616"/>
    <w:rsid w:val="76C603EB"/>
    <w:rsid w:val="76D741FA"/>
    <w:rsid w:val="76DA18D4"/>
    <w:rsid w:val="76E232D4"/>
    <w:rsid w:val="76E66F6B"/>
    <w:rsid w:val="76F33A93"/>
    <w:rsid w:val="773A486A"/>
    <w:rsid w:val="77431E27"/>
    <w:rsid w:val="77631BBC"/>
    <w:rsid w:val="77651017"/>
    <w:rsid w:val="776614E6"/>
    <w:rsid w:val="7771455F"/>
    <w:rsid w:val="778C0352"/>
    <w:rsid w:val="77C52EE6"/>
    <w:rsid w:val="77DF7DEC"/>
    <w:rsid w:val="77E32D64"/>
    <w:rsid w:val="77E833EE"/>
    <w:rsid w:val="783C0006"/>
    <w:rsid w:val="78584264"/>
    <w:rsid w:val="785E75C1"/>
    <w:rsid w:val="78647342"/>
    <w:rsid w:val="786A77EE"/>
    <w:rsid w:val="789D7AA5"/>
    <w:rsid w:val="78B34275"/>
    <w:rsid w:val="78C064C7"/>
    <w:rsid w:val="78C45322"/>
    <w:rsid w:val="78CB4B22"/>
    <w:rsid w:val="78F040AE"/>
    <w:rsid w:val="79144124"/>
    <w:rsid w:val="79200D1B"/>
    <w:rsid w:val="79207982"/>
    <w:rsid w:val="793C5C36"/>
    <w:rsid w:val="7943529E"/>
    <w:rsid w:val="79670403"/>
    <w:rsid w:val="79687E1E"/>
    <w:rsid w:val="797B425D"/>
    <w:rsid w:val="79AA43B2"/>
    <w:rsid w:val="79C7431A"/>
    <w:rsid w:val="79D43B93"/>
    <w:rsid w:val="79DC7521"/>
    <w:rsid w:val="7A136600"/>
    <w:rsid w:val="7A3A1A0A"/>
    <w:rsid w:val="7A4C31F8"/>
    <w:rsid w:val="7A6C201A"/>
    <w:rsid w:val="7AB85583"/>
    <w:rsid w:val="7AEB4907"/>
    <w:rsid w:val="7B023332"/>
    <w:rsid w:val="7B212125"/>
    <w:rsid w:val="7B3044C9"/>
    <w:rsid w:val="7B580444"/>
    <w:rsid w:val="7B997FD9"/>
    <w:rsid w:val="7BC36BA9"/>
    <w:rsid w:val="7BF0114A"/>
    <w:rsid w:val="7C0E1623"/>
    <w:rsid w:val="7C3E1C6B"/>
    <w:rsid w:val="7C3F6B33"/>
    <w:rsid w:val="7C720770"/>
    <w:rsid w:val="7C750F15"/>
    <w:rsid w:val="7C7C48F2"/>
    <w:rsid w:val="7C86053F"/>
    <w:rsid w:val="7CEF6912"/>
    <w:rsid w:val="7D0470F3"/>
    <w:rsid w:val="7D116BB3"/>
    <w:rsid w:val="7D7971DC"/>
    <w:rsid w:val="7DAA5B1F"/>
    <w:rsid w:val="7DAF7935"/>
    <w:rsid w:val="7DB54DFC"/>
    <w:rsid w:val="7DDB5DA2"/>
    <w:rsid w:val="7DDF668F"/>
    <w:rsid w:val="7DEC3312"/>
    <w:rsid w:val="7E0C6D01"/>
    <w:rsid w:val="7E0E7645"/>
    <w:rsid w:val="7E0F236C"/>
    <w:rsid w:val="7E3A4506"/>
    <w:rsid w:val="7E45593B"/>
    <w:rsid w:val="7E5A2945"/>
    <w:rsid w:val="7E6D55FC"/>
    <w:rsid w:val="7E873EFC"/>
    <w:rsid w:val="7E9428C2"/>
    <w:rsid w:val="7EAA76E7"/>
    <w:rsid w:val="7EB621CF"/>
    <w:rsid w:val="7EC021ED"/>
    <w:rsid w:val="7ECF4EEA"/>
    <w:rsid w:val="7EE4621A"/>
    <w:rsid w:val="7F3D301C"/>
    <w:rsid w:val="7F484AB9"/>
    <w:rsid w:val="7F5014A5"/>
    <w:rsid w:val="7F6011FB"/>
    <w:rsid w:val="7F7A152D"/>
    <w:rsid w:val="7F7A4B2E"/>
    <w:rsid w:val="7F93746A"/>
    <w:rsid w:val="7FA23108"/>
    <w:rsid w:val="7FD5197E"/>
    <w:rsid w:val="7FEA40A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640" w:firstLineChars="200"/>
      <w:jc w:val="both"/>
    </w:pPr>
    <w:rPr>
      <w:rFonts w:ascii="Times New Roman" w:hAnsi="Times New Roman" w:eastAsia="宋体" w:cs="Times New Roman"/>
      <w:kern w:val="2"/>
      <w:sz w:val="27"/>
      <w:szCs w:val="24"/>
      <w:lang w:val="en-US" w:eastAsia="zh-CN" w:bidi="ar-SA"/>
    </w:rPr>
  </w:style>
  <w:style w:type="paragraph" w:styleId="3">
    <w:name w:val="heading 1"/>
    <w:basedOn w:val="4"/>
    <w:next w:val="1"/>
    <w:qFormat/>
    <w:uiPriority w:val="0"/>
    <w:pPr>
      <w:keepNext/>
      <w:keepLines/>
      <w:pageBreakBefore w:val="0"/>
      <w:ind w:firstLine="200"/>
      <w:outlineLvl w:val="0"/>
    </w:pPr>
    <w:rPr>
      <w:rFonts w:eastAsia="黑体"/>
      <w:kern w:val="44"/>
      <w:sz w:val="32"/>
    </w:rPr>
  </w:style>
  <w:style w:type="paragraph" w:styleId="5">
    <w:name w:val="heading 2"/>
    <w:basedOn w:val="1"/>
    <w:next w:val="1"/>
    <w:link w:val="27"/>
    <w:unhideWhenUsed/>
    <w:qFormat/>
    <w:uiPriority w:val="0"/>
    <w:pPr>
      <w:keepNext/>
      <w:keepLines/>
      <w:outlineLvl w:val="1"/>
    </w:pPr>
    <w:rPr>
      <w:rFonts w:ascii="Arial" w:hAnsi="Arial" w:eastAsia="楷体"/>
      <w:b/>
      <w:sz w:val="32"/>
    </w:rPr>
  </w:style>
  <w:style w:type="paragraph" w:styleId="6">
    <w:name w:val="heading 3"/>
    <w:basedOn w:val="1"/>
    <w:next w:val="1"/>
    <w:unhideWhenUsed/>
    <w:qFormat/>
    <w:uiPriority w:val="0"/>
    <w:pPr>
      <w:keepNext/>
      <w:keepLines/>
      <w:ind w:firstLine="200"/>
      <w:outlineLvl w:val="2"/>
    </w:pPr>
    <w:rPr>
      <w:rFonts w:eastAsia="仿宋"/>
      <w:b/>
      <w:sz w:val="32"/>
    </w:rPr>
  </w:style>
  <w:style w:type="paragraph" w:styleId="7">
    <w:name w:val="heading 4"/>
    <w:basedOn w:val="1"/>
    <w:next w:val="1"/>
    <w:unhideWhenUsed/>
    <w:qFormat/>
    <w:uiPriority w:val="0"/>
    <w:pPr>
      <w:keepNext/>
      <w:keepLines/>
      <w:outlineLvl w:val="3"/>
    </w:pPr>
    <w:rPr>
      <w:rFonts w:ascii="Arial" w:hAnsi="Arial" w:eastAsia="楷体"/>
      <w:b/>
      <w:sz w:val="28"/>
    </w:rPr>
  </w:style>
  <w:style w:type="paragraph" w:styleId="8">
    <w:name w:val="heading 5"/>
    <w:basedOn w:val="1"/>
    <w:next w:val="1"/>
    <w:link w:val="28"/>
    <w:unhideWhenUsed/>
    <w:qFormat/>
    <w:uiPriority w:val="0"/>
    <w:pPr>
      <w:keepNext/>
      <w:keepLines/>
      <w:ind w:firstLine="200"/>
      <w:outlineLvl w:val="4"/>
    </w:pPr>
    <w:rPr>
      <w:rFonts w:eastAsia="楷体"/>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style>
  <w:style w:type="paragraph" w:customStyle="1" w:styleId="4">
    <w:name w:val="p0"/>
    <w:basedOn w:val="1"/>
    <w:qFormat/>
    <w:uiPriority w:val="0"/>
    <w:pPr>
      <w:widowControl/>
    </w:pPr>
    <w:rPr>
      <w:kern w:val="0"/>
      <w:szCs w:val="21"/>
    </w:rPr>
  </w:style>
  <w:style w:type="paragraph" w:styleId="9">
    <w:name w:val="Normal Indent"/>
    <w:qFormat/>
    <w:uiPriority w:val="0"/>
    <w:pPr>
      <w:widowControl w:val="0"/>
      <w:spacing w:line="360" w:lineRule="auto"/>
      <w:ind w:firstLine="200" w:firstLineChars="200"/>
      <w:jc w:val="both"/>
    </w:pPr>
    <w:rPr>
      <w:rFonts w:ascii="Calibri" w:hAnsi="Calibri" w:eastAsia="宋体" w:cs="Times New Roman"/>
      <w:kern w:val="2"/>
      <w:sz w:val="24"/>
      <w:szCs w:val="24"/>
      <w:lang w:val="en-US" w:eastAsia="zh-CN" w:bidi="ar-SA"/>
    </w:rPr>
  </w:style>
  <w:style w:type="paragraph" w:styleId="10">
    <w:name w:val="caption"/>
    <w:basedOn w:val="1"/>
    <w:next w:val="1"/>
    <w:unhideWhenUsed/>
    <w:qFormat/>
    <w:uiPriority w:val="0"/>
    <w:pPr>
      <w:keepNext/>
    </w:pPr>
    <w:rPr>
      <w:rFonts w:ascii="Arial" w:hAnsi="Arial" w:eastAsia="黑体"/>
      <w:sz w:val="20"/>
    </w:rPr>
  </w:style>
  <w:style w:type="paragraph" w:styleId="11">
    <w:name w:val="annotation text"/>
    <w:basedOn w:val="1"/>
    <w:link w:val="29"/>
    <w:qFormat/>
    <w:uiPriority w:val="0"/>
    <w:pPr>
      <w:jc w:val="left"/>
    </w:pPr>
  </w:style>
  <w:style w:type="paragraph" w:styleId="12">
    <w:name w:val="Body Text"/>
    <w:basedOn w:val="1"/>
    <w:unhideWhenUsed/>
    <w:qFormat/>
    <w:uiPriority w:val="99"/>
    <w:pPr>
      <w:spacing w:after="120"/>
    </w:pPr>
  </w:style>
  <w:style w:type="paragraph" w:styleId="13">
    <w:name w:val="toc 3"/>
    <w:basedOn w:val="1"/>
    <w:next w:val="1"/>
    <w:qFormat/>
    <w:uiPriority w:val="39"/>
    <w:pPr>
      <w:ind w:left="840" w:leftChars="400"/>
    </w:pPr>
  </w:style>
  <w:style w:type="paragraph" w:styleId="14">
    <w:name w:val="Balloon Text"/>
    <w:basedOn w:val="1"/>
    <w:link w:val="30"/>
    <w:qFormat/>
    <w:uiPriority w:val="0"/>
    <w:rPr>
      <w:sz w:val="18"/>
      <w:szCs w:val="18"/>
    </w:rPr>
  </w:style>
  <w:style w:type="paragraph" w:styleId="15">
    <w:name w:val="footer"/>
    <w:basedOn w:val="1"/>
    <w:link w:val="31"/>
    <w:qFormat/>
    <w:uiPriority w:val="99"/>
    <w:pPr>
      <w:tabs>
        <w:tab w:val="center" w:pos="4153"/>
        <w:tab w:val="right" w:pos="8306"/>
      </w:tabs>
      <w:snapToGrid w:val="0"/>
      <w:jc w:val="left"/>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7">
    <w:name w:val="Subtitle"/>
    <w:basedOn w:val="1"/>
    <w:next w:val="1"/>
    <w:link w:val="32"/>
    <w:qFormat/>
    <w:uiPriority w:val="0"/>
    <w:pPr>
      <w:ind w:firstLine="200"/>
      <w:outlineLvl w:val="1"/>
    </w:pPr>
    <w:rPr>
      <w:rFonts w:eastAsiaTheme="majorEastAsia" w:cstheme="minorBidi"/>
      <w:b/>
      <w:bCs/>
      <w:kern w:val="28"/>
      <w:sz w:val="28"/>
      <w:szCs w:val="32"/>
    </w:rPr>
  </w:style>
  <w:style w:type="paragraph" w:styleId="18">
    <w:name w:val="footnote text"/>
    <w:basedOn w:val="1"/>
    <w:qFormat/>
    <w:uiPriority w:val="0"/>
    <w:pPr>
      <w:snapToGrid w:val="0"/>
      <w:jc w:val="left"/>
    </w:pPr>
    <w:rPr>
      <w:sz w:val="18"/>
    </w:rPr>
  </w:style>
  <w:style w:type="paragraph" w:styleId="19">
    <w:name w:val="toc 2"/>
    <w:basedOn w:val="1"/>
    <w:next w:val="1"/>
    <w:qFormat/>
    <w:uiPriority w:val="39"/>
    <w:pPr>
      <w:ind w:left="420" w:leftChars="200"/>
    </w:pPr>
  </w:style>
  <w:style w:type="paragraph" w:styleId="20">
    <w:name w:val="annotation subject"/>
    <w:basedOn w:val="11"/>
    <w:next w:val="11"/>
    <w:link w:val="33"/>
    <w:qFormat/>
    <w:uiPriority w:val="0"/>
    <w:rPr>
      <w:b/>
      <w:bCs/>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basedOn w:val="23"/>
    <w:unhideWhenUsed/>
    <w:qFormat/>
    <w:uiPriority w:val="99"/>
    <w:rPr>
      <w:color w:val="0563C1" w:themeColor="hyperlink"/>
      <w:u w:val="single"/>
    </w:rPr>
  </w:style>
  <w:style w:type="character" w:styleId="25">
    <w:name w:val="annotation reference"/>
    <w:basedOn w:val="23"/>
    <w:qFormat/>
    <w:uiPriority w:val="0"/>
    <w:rPr>
      <w:sz w:val="21"/>
      <w:szCs w:val="21"/>
    </w:rPr>
  </w:style>
  <w:style w:type="character" w:styleId="26">
    <w:name w:val="footnote reference"/>
    <w:basedOn w:val="23"/>
    <w:qFormat/>
    <w:uiPriority w:val="0"/>
    <w:rPr>
      <w:vertAlign w:val="superscript"/>
    </w:rPr>
  </w:style>
  <w:style w:type="character" w:customStyle="1" w:styleId="27">
    <w:name w:val="标题 2 字符"/>
    <w:link w:val="5"/>
    <w:qFormat/>
    <w:uiPriority w:val="0"/>
    <w:rPr>
      <w:rFonts w:ascii="Arial" w:hAnsi="Arial" w:eastAsia="楷体"/>
      <w:b/>
      <w:sz w:val="32"/>
    </w:rPr>
  </w:style>
  <w:style w:type="character" w:customStyle="1" w:styleId="28">
    <w:name w:val="标题 5 字符"/>
    <w:basedOn w:val="23"/>
    <w:link w:val="8"/>
    <w:qFormat/>
    <w:uiPriority w:val="0"/>
    <w:rPr>
      <w:rFonts w:eastAsia="楷体"/>
      <w:b/>
      <w:bCs/>
      <w:kern w:val="2"/>
      <w:sz w:val="28"/>
      <w:szCs w:val="28"/>
    </w:rPr>
  </w:style>
  <w:style w:type="character" w:customStyle="1" w:styleId="29">
    <w:name w:val="批注文字 字符"/>
    <w:basedOn w:val="23"/>
    <w:link w:val="11"/>
    <w:qFormat/>
    <w:uiPriority w:val="0"/>
    <w:rPr>
      <w:kern w:val="2"/>
      <w:sz w:val="27"/>
      <w:szCs w:val="24"/>
    </w:rPr>
  </w:style>
  <w:style w:type="character" w:customStyle="1" w:styleId="30">
    <w:name w:val="批注框文本 字符"/>
    <w:basedOn w:val="23"/>
    <w:link w:val="14"/>
    <w:qFormat/>
    <w:uiPriority w:val="0"/>
    <w:rPr>
      <w:kern w:val="2"/>
      <w:sz w:val="18"/>
      <w:szCs w:val="18"/>
    </w:rPr>
  </w:style>
  <w:style w:type="character" w:customStyle="1" w:styleId="31">
    <w:name w:val="页脚 字符"/>
    <w:basedOn w:val="23"/>
    <w:link w:val="15"/>
    <w:qFormat/>
    <w:uiPriority w:val="99"/>
    <w:rPr>
      <w:kern w:val="2"/>
      <w:sz w:val="18"/>
      <w:szCs w:val="24"/>
    </w:rPr>
  </w:style>
  <w:style w:type="character" w:customStyle="1" w:styleId="32">
    <w:name w:val="副标题 字符"/>
    <w:basedOn w:val="23"/>
    <w:link w:val="17"/>
    <w:qFormat/>
    <w:uiPriority w:val="0"/>
    <w:rPr>
      <w:rFonts w:eastAsiaTheme="majorEastAsia" w:cstheme="minorBidi"/>
      <w:b/>
      <w:bCs/>
      <w:kern w:val="28"/>
      <w:sz w:val="28"/>
      <w:szCs w:val="32"/>
    </w:rPr>
  </w:style>
  <w:style w:type="character" w:customStyle="1" w:styleId="33">
    <w:name w:val="批注主题 字符"/>
    <w:basedOn w:val="29"/>
    <w:link w:val="20"/>
    <w:qFormat/>
    <w:uiPriority w:val="0"/>
    <w:rPr>
      <w:b/>
      <w:bCs/>
      <w:kern w:val="2"/>
      <w:sz w:val="27"/>
      <w:szCs w:val="24"/>
    </w:rPr>
  </w:style>
  <w:style w:type="paragraph" w:styleId="34">
    <w:name w:val="List Paragraph"/>
    <w:basedOn w:val="1"/>
    <w:qFormat/>
    <w:uiPriority w:val="34"/>
    <w:pPr>
      <w:ind w:firstLine="420"/>
    </w:pPr>
  </w:style>
  <w:style w:type="character" w:customStyle="1" w:styleId="35">
    <w:name w:val="font31"/>
    <w:basedOn w:val="23"/>
    <w:qFormat/>
    <w:uiPriority w:val="0"/>
    <w:rPr>
      <w:rFonts w:hint="default" w:ascii="Times New Roman" w:hAnsi="Times New Roman" w:cs="Times New Roman"/>
      <w:color w:val="000000"/>
      <w:sz w:val="20"/>
      <w:szCs w:val="20"/>
      <w:u w:val="none"/>
    </w:rPr>
  </w:style>
  <w:style w:type="character" w:customStyle="1" w:styleId="36">
    <w:name w:val="font01"/>
    <w:basedOn w:val="23"/>
    <w:qFormat/>
    <w:uiPriority w:val="0"/>
    <w:rPr>
      <w:rFonts w:hint="eastAsia" w:ascii="宋体" w:hAnsi="宋体" w:eastAsia="宋体" w:cs="宋体"/>
      <w:color w:val="000000"/>
      <w:sz w:val="20"/>
      <w:szCs w:val="20"/>
      <w:u w:val="none"/>
    </w:rPr>
  </w:style>
  <w:style w:type="paragraph" w:customStyle="1" w:styleId="37">
    <w:name w:val="WPSOffice手动目录 1"/>
    <w:qFormat/>
    <w:uiPriority w:val="0"/>
    <w:rPr>
      <w:rFonts w:asciiTheme="minorHAnsi" w:hAnsiTheme="minorHAnsi" w:eastAsiaTheme="minorEastAsia" w:cstheme="minorBidi"/>
      <w:lang w:val="en-US" w:eastAsia="zh-CN" w:bidi="ar-SA"/>
    </w:rPr>
  </w:style>
  <w:style w:type="paragraph" w:customStyle="1" w:styleId="38">
    <w:name w:val="WPSOffice手动目录 2"/>
    <w:qFormat/>
    <w:uiPriority w:val="0"/>
    <w:pPr>
      <w:ind w:left="200" w:leftChars="200"/>
    </w:pPr>
    <w:rPr>
      <w:rFonts w:asciiTheme="minorHAnsi" w:hAnsiTheme="minorHAnsi" w:eastAsiaTheme="minorEastAsia" w:cstheme="minorBidi"/>
      <w:lang w:val="en-US" w:eastAsia="zh-CN" w:bidi="ar-SA"/>
    </w:rPr>
  </w:style>
  <w:style w:type="character" w:customStyle="1" w:styleId="39">
    <w:name w:val="font11"/>
    <w:basedOn w:val="23"/>
    <w:qFormat/>
    <w:uiPriority w:val="0"/>
    <w:rPr>
      <w:rFonts w:hint="eastAsia" w:ascii="宋体" w:hAnsi="宋体" w:eastAsia="宋体" w:cs="宋体"/>
      <w:color w:val="000000"/>
      <w:sz w:val="20"/>
      <w:szCs w:val="20"/>
      <w:u w:val="none"/>
    </w:rPr>
  </w:style>
  <w:style w:type="paragraph" w:customStyle="1" w:styleId="40">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41">
    <w:name w:val="font21"/>
    <w:basedOn w:val="23"/>
    <w:qFormat/>
    <w:uiPriority w:val="0"/>
    <w:rPr>
      <w:rFonts w:hint="default" w:ascii="Times New Roman" w:hAnsi="Times New Roman" w:cs="Times New Roman"/>
      <w:color w:val="000000"/>
      <w:sz w:val="20"/>
      <w:szCs w:val="20"/>
      <w:u w:val="none"/>
    </w:rPr>
  </w:style>
  <w:style w:type="paragraph" w:customStyle="1" w:styleId="42">
    <w:name w:val="TOC 标题1"/>
    <w:basedOn w:val="3"/>
    <w:next w:val="1"/>
    <w:unhideWhenUsed/>
    <w:qFormat/>
    <w:uiPriority w:val="39"/>
    <w:pPr>
      <w:pageBreakBefore w:val="0"/>
      <w:spacing w:before="240" w:line="259" w:lineRule="auto"/>
      <w:ind w:firstLine="0" w:firstLineChars="0"/>
      <w:jc w:val="left"/>
      <w:outlineLvl w:val="9"/>
    </w:pPr>
    <w:rPr>
      <w:rFonts w:asciiTheme="majorHAnsi" w:hAnsiTheme="majorHAnsi" w:eastAsiaTheme="majorEastAsia" w:cstheme="majorBidi"/>
      <w:color w:val="2E75B5"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2.png"/><Relationship Id="rId17" Type="http://schemas.openxmlformats.org/officeDocument/2006/relationships/theme" Target="theme/theme1.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3077" textRotate="1"/>
    <customShpInfo spid="_x0000_s3078" textRotate="1"/>
    <customShpInfo spid="_x0000_s3073"/>
    <customShpInfo spid="_x0000_s3079"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61A152-B3F7-4DE3-A816-11019F85B91F}">
  <ds:schemaRefs/>
</ds:datastoreItem>
</file>

<file path=docProps/app.xml><?xml version="1.0" encoding="utf-8"?>
<Properties xmlns="http://schemas.openxmlformats.org/officeDocument/2006/extended-properties" xmlns:vt="http://schemas.openxmlformats.org/officeDocument/2006/docPropsVTypes">
  <Template>Normal.dotm</Template>
  <Pages>53</Pages>
  <Words>23298</Words>
  <Characters>24476</Characters>
  <Lines>164</Lines>
  <Paragraphs>46</Paragraphs>
  <TotalTime>19</TotalTime>
  <ScaleCrop>false</ScaleCrop>
  <LinksUpToDate>false</LinksUpToDate>
  <CharactersWithSpaces>24773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2019-12-15T14:37:00Z</dcterms:created>
  <dc:creator>ljq</dc:creator>
  <cp:lastModifiedBy>Administrator</cp:lastModifiedBy>
  <cp:lastPrinted>2022-12-13T03:42:00Z</cp:lastPrinted>
  <dcterms:modified xsi:type="dcterms:W3CDTF">2022-12-15T08:38:50Z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AEA546BDB000418585C14F783049EC52</vt:lpwstr>
  </property>
</Properties>
</file>