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8A493">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default" w:eastAsia="方正小标宋简体"/>
          <w:b/>
          <w:color w:val="000000"/>
          <w:sz w:val="44"/>
          <w:szCs w:val="44"/>
          <w:lang w:val="en-US" w:eastAsia="zh-CN"/>
        </w:rPr>
      </w:pPr>
      <w:r>
        <w:rPr>
          <w:rFonts w:hint="eastAsia" w:eastAsia="方正小标宋简体"/>
          <w:b/>
          <w:color w:val="000000"/>
          <w:sz w:val="44"/>
          <w:szCs w:val="44"/>
        </w:rPr>
        <w:t>济宁市兖州区</w:t>
      </w:r>
      <w:r>
        <w:rPr>
          <w:rFonts w:hint="eastAsia" w:eastAsia="方正小标宋简体"/>
          <w:b/>
          <w:color w:val="000000"/>
          <w:sz w:val="44"/>
          <w:szCs w:val="44"/>
          <w:highlight w:val="none"/>
          <w:lang w:val="en-US" w:eastAsia="zh-CN"/>
        </w:rPr>
        <w:t>民政局</w:t>
      </w:r>
    </w:p>
    <w:p w14:paraId="1FF355EF">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4</w:t>
      </w:r>
      <w:r>
        <w:rPr>
          <w:rFonts w:eastAsia="方正小标宋简体"/>
          <w:b/>
          <w:color w:val="000000"/>
          <w:sz w:val="44"/>
          <w:szCs w:val="44"/>
        </w:rPr>
        <w:t>年政府信息公开工作年度报告</w:t>
      </w:r>
    </w:p>
    <w:p w14:paraId="2625B11C">
      <w:pPr>
        <w:spacing w:line="590" w:lineRule="exact"/>
        <w:ind w:right="-105" w:rightChars="-50" w:firstLine="643" w:firstLineChars="200"/>
        <w:rPr>
          <w:rFonts w:eastAsia="方正仿宋简体"/>
          <w:b/>
          <w:color w:val="000000"/>
          <w:sz w:val="32"/>
          <w:szCs w:val="32"/>
        </w:rPr>
      </w:pPr>
    </w:p>
    <w:p w14:paraId="36992DE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w:t>
      </w:r>
      <w:r>
        <w:rPr>
          <w:rFonts w:hint="eastAsia" w:eastAsia="方正仿宋简体"/>
          <w:b/>
          <w:color w:val="000000"/>
          <w:sz w:val="32"/>
          <w:szCs w:val="32"/>
          <w:lang w:val="en-US" w:eastAsia="zh-CN"/>
        </w:rPr>
        <w:t>民政局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7B39360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3D5F448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4</w:t>
      </w:r>
      <w:r>
        <w:rPr>
          <w:rFonts w:eastAsia="方正仿宋简体"/>
          <w:b/>
          <w:color w:val="000000"/>
          <w:sz w:val="32"/>
          <w:szCs w:val="32"/>
        </w:rPr>
        <w:t>年1月1日起至202</w:t>
      </w:r>
      <w:r>
        <w:rPr>
          <w:rFonts w:hint="eastAsia" w:eastAsia="方正仿宋简体"/>
          <w:b/>
          <w:color w:val="000000"/>
          <w:sz w:val="32"/>
          <w:szCs w:val="32"/>
          <w:lang w:val="en-US" w:eastAsia="zh-CN"/>
        </w:rPr>
        <w:t>4</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”政府门户网站（www.yanzhou.gov.cn）查阅或下载。如对本报告有疑问，请与济宁市兖州区</w:t>
      </w:r>
      <w:r>
        <w:rPr>
          <w:rFonts w:hint="eastAsia" w:eastAsia="方正仿宋简体"/>
          <w:b/>
          <w:color w:val="000000"/>
          <w:sz w:val="32"/>
          <w:szCs w:val="32"/>
          <w:lang w:val="en-US" w:eastAsia="zh-CN"/>
        </w:rPr>
        <w:t>民政局</w:t>
      </w:r>
      <w:r>
        <w:rPr>
          <w:rFonts w:eastAsia="方正仿宋简体"/>
          <w:b/>
          <w:color w:val="000000"/>
          <w:sz w:val="32"/>
          <w:szCs w:val="32"/>
        </w:rPr>
        <w:t>联系（地址：济宁市兖州区</w:t>
      </w:r>
      <w:r>
        <w:rPr>
          <w:rFonts w:hint="eastAsia" w:eastAsia="方正仿宋简体"/>
          <w:b/>
          <w:color w:val="000000"/>
          <w:sz w:val="32"/>
          <w:szCs w:val="32"/>
          <w:lang w:eastAsia="zh-CN"/>
        </w:rPr>
        <w:t>人防消防办公中心</w:t>
      </w:r>
      <w:r>
        <w:rPr>
          <w:rFonts w:eastAsia="方正仿宋简体"/>
          <w:b/>
          <w:color w:val="000000"/>
          <w:sz w:val="32"/>
          <w:szCs w:val="32"/>
        </w:rPr>
        <w:t>，联系电话：</w:t>
      </w:r>
      <w:r>
        <w:rPr>
          <w:rFonts w:hint="eastAsia" w:eastAsia="方正仿宋简体"/>
          <w:b/>
          <w:color w:val="000000"/>
          <w:sz w:val="32"/>
          <w:szCs w:val="32"/>
          <w:lang w:eastAsia="zh-CN"/>
        </w:rPr>
        <w:t>0537-3499092</w:t>
      </w:r>
      <w:r>
        <w:rPr>
          <w:rFonts w:eastAsia="方正仿宋简体"/>
          <w:b/>
          <w:color w:val="000000"/>
          <w:sz w:val="32"/>
          <w:szCs w:val="32"/>
        </w:rPr>
        <w:t>）。</w:t>
      </w:r>
    </w:p>
    <w:p w14:paraId="55BBB1B8">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color w:val="000000"/>
          <w:sz w:val="32"/>
          <w:szCs w:val="32"/>
        </w:rPr>
      </w:pPr>
      <w:r>
        <w:rPr>
          <w:rFonts w:eastAsia="方正黑体简体"/>
          <w:b/>
          <w:color w:val="000000"/>
          <w:sz w:val="32"/>
          <w:szCs w:val="32"/>
        </w:rPr>
        <w:t>一、总体情况</w:t>
      </w:r>
    </w:p>
    <w:p w14:paraId="4066F12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2024年，兖州区民政局</w:t>
      </w:r>
      <w:r>
        <w:rPr>
          <w:rFonts w:hint="eastAsia" w:ascii="Times New Roman" w:hAnsi="Times New Roman" w:eastAsia="方正仿宋简体" w:cs="Times New Roman"/>
          <w:b/>
          <w:color w:val="000000"/>
          <w:sz w:val="32"/>
          <w:szCs w:val="32"/>
        </w:rPr>
        <w:t>坚持以习近平新时代中国特色社会主义思想为指导，紧扣</w:t>
      </w:r>
      <w:r>
        <w:rPr>
          <w:rFonts w:hint="eastAsia" w:ascii="Times New Roman" w:hAnsi="Times New Roman" w:eastAsia="方正仿宋简体" w:cs="Times New Roman"/>
          <w:b/>
          <w:color w:val="000000"/>
          <w:sz w:val="32"/>
          <w:szCs w:val="32"/>
          <w:lang w:eastAsia="zh-CN"/>
        </w:rPr>
        <w:t>兖州区</w:t>
      </w:r>
      <w:r>
        <w:rPr>
          <w:rFonts w:hint="eastAsia" w:ascii="Times New Roman" w:hAnsi="Times New Roman" w:eastAsia="方正仿宋简体" w:cs="Times New Roman"/>
          <w:b/>
          <w:color w:val="000000"/>
          <w:sz w:val="32"/>
          <w:szCs w:val="32"/>
        </w:rPr>
        <w:t>202</w:t>
      </w:r>
      <w:r>
        <w:rPr>
          <w:rFonts w:hint="eastAsia" w:ascii="Times New Roman" w:hAnsi="Times New Roman" w:eastAsia="方正仿宋简体" w:cs="Times New Roman"/>
          <w:b/>
          <w:color w:val="000000"/>
          <w:sz w:val="32"/>
          <w:szCs w:val="32"/>
          <w:lang w:val="en-US" w:eastAsia="zh-CN"/>
        </w:rPr>
        <w:t>4</w:t>
      </w:r>
      <w:r>
        <w:rPr>
          <w:rFonts w:hint="eastAsia" w:ascii="Times New Roman" w:hAnsi="Times New Roman" w:eastAsia="方正仿宋简体" w:cs="Times New Roman"/>
          <w:b/>
          <w:color w:val="000000"/>
          <w:sz w:val="32"/>
          <w:szCs w:val="32"/>
        </w:rPr>
        <w:t>年政务公开工作要点，结合民政实际，坚持“公开为原则，不公开为例外”总要求，不断提高政务公开质效和管理水平，规范公开内容，扩大公开范围，高标准严要求完成政府信息公开工作。</w:t>
      </w:r>
    </w:p>
    <w:p w14:paraId="56CC6EF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val="0"/>
          <w:bCs/>
          <w:i/>
          <w:iCs/>
          <w:color w:val="000000"/>
          <w:sz w:val="32"/>
          <w:szCs w:val="32"/>
          <w:lang w:eastAsia="zh-CN"/>
        </w:rPr>
      </w:pPr>
      <w:r>
        <w:rPr>
          <w:rFonts w:eastAsia="方正楷体简体"/>
          <w:b/>
          <w:color w:val="000000"/>
          <w:sz w:val="32"/>
          <w:szCs w:val="32"/>
        </w:rPr>
        <w:t>（一）主动公开</w:t>
      </w:r>
      <w:r>
        <w:rPr>
          <w:rFonts w:hint="eastAsia" w:eastAsia="方正楷体简体"/>
          <w:b/>
          <w:color w:val="000000"/>
          <w:sz w:val="32"/>
          <w:szCs w:val="32"/>
          <w:lang w:eastAsia="zh-CN"/>
        </w:rPr>
        <w:t>情况</w:t>
      </w:r>
    </w:p>
    <w:p w14:paraId="6EA6DD0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2024年，兖州区民政局依托兖州区政府门户网站主动公开信息29</w:t>
      </w:r>
      <w:r>
        <w:rPr>
          <w:rFonts w:hint="eastAsia" w:eastAsia="方正仿宋简体" w:cs="Times New Roman"/>
          <w:b/>
          <w:color w:val="000000"/>
          <w:sz w:val="32"/>
          <w:szCs w:val="32"/>
          <w:lang w:val="en-US" w:eastAsia="zh-CN"/>
        </w:rPr>
        <w:t>9</w:t>
      </w:r>
      <w:r>
        <w:rPr>
          <w:rFonts w:hint="eastAsia" w:ascii="Times New Roman" w:hAnsi="Times New Roman" w:eastAsia="方正仿宋简体" w:cs="Times New Roman"/>
          <w:b/>
          <w:color w:val="000000"/>
          <w:sz w:val="32"/>
          <w:szCs w:val="32"/>
          <w:lang w:val="en-US" w:eastAsia="zh-CN"/>
        </w:rPr>
        <w:t>条，通过“今兖州”平台</w:t>
      </w:r>
      <w:r>
        <w:rPr>
          <w:rFonts w:hint="default" w:ascii="Times New Roman" w:hAnsi="Times New Roman" w:eastAsia="方正仿宋简体" w:cs="Times New Roman"/>
          <w:b/>
          <w:color w:val="000000"/>
          <w:sz w:val="32"/>
          <w:szCs w:val="32"/>
          <w:lang w:val="en-US" w:eastAsia="zh-CN"/>
        </w:rPr>
        <w:t>发布信息宣传稿件</w:t>
      </w:r>
      <w:r>
        <w:rPr>
          <w:rFonts w:hint="eastAsia" w:ascii="Times New Roman" w:hAnsi="Times New Roman" w:eastAsia="方正仿宋简体" w:cs="Times New Roman"/>
          <w:b/>
          <w:color w:val="000000"/>
          <w:sz w:val="32"/>
          <w:szCs w:val="32"/>
          <w:lang w:val="en-US" w:eastAsia="zh-CN"/>
        </w:rPr>
        <w:t>72篇。规范发布政府信息法定主动公开内容，共印发3份主动公开文件。提升民政领域政策解读效果，通过“今兖州”平台发布“</w:t>
      </w:r>
      <w:r>
        <w:rPr>
          <w:rFonts w:hint="default" w:ascii="Times New Roman" w:hAnsi="Times New Roman" w:eastAsia="方正仿宋简体" w:cs="Times New Roman"/>
          <w:b/>
          <w:color w:val="000000"/>
          <w:sz w:val="32"/>
          <w:szCs w:val="32"/>
          <w:lang w:val="en-US" w:eastAsia="zh-CN"/>
        </w:rPr>
        <w:t>【端信民政】社会帮扶政策问答</w:t>
      </w:r>
      <w:r>
        <w:rPr>
          <w:rFonts w:hint="eastAsia" w:ascii="Times New Roman" w:hAnsi="Times New Roman" w:eastAsia="方正仿宋简体" w:cs="Times New Roman"/>
          <w:b/>
          <w:color w:val="000000"/>
          <w:sz w:val="32"/>
          <w:szCs w:val="32"/>
          <w:lang w:val="en-US" w:eastAsia="zh-CN"/>
        </w:rPr>
        <w:t>”系列政策解读推文10篇。</w:t>
      </w:r>
    </w:p>
    <w:p w14:paraId="10C20208">
      <w:pPr>
        <w:jc w:val="center"/>
        <w:rPr>
          <w:rFonts w:hint="eastAsia"/>
          <w:lang w:val="en-US" w:eastAsia="zh-CN"/>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drawing>
          <wp:inline distT="0" distB="0" distL="114300" distR="114300">
            <wp:extent cx="3336925" cy="1899285"/>
            <wp:effectExtent l="0" t="0" r="15875" b="5715"/>
            <wp:docPr id="1" name="图片 1" descr="微信图片_2025012114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121143503"/>
                    <pic:cNvPicPr>
                      <a:picLocks noChangeAspect="1"/>
                    </pic:cNvPicPr>
                  </pic:nvPicPr>
                  <pic:blipFill>
                    <a:blip r:embed="rId4"/>
                    <a:stretch>
                      <a:fillRect/>
                    </a:stretch>
                  </pic:blipFill>
                  <pic:spPr>
                    <a:xfrm>
                      <a:off x="0" y="0"/>
                      <a:ext cx="3336925" cy="1899285"/>
                    </a:xfrm>
                    <a:prstGeom prst="rect">
                      <a:avLst/>
                    </a:prstGeom>
                  </pic:spPr>
                </pic:pic>
              </a:graphicData>
            </a:graphic>
          </wp:inline>
        </w:drawing>
      </w:r>
    </w:p>
    <w:p w14:paraId="5C8D2078">
      <w:pPr>
        <w:rPr>
          <w:rFonts w:hint="eastAsia"/>
          <w:lang w:val="en-US" w:eastAsia="zh-CN"/>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1102995</wp:posOffset>
            </wp:positionH>
            <wp:positionV relativeFrom="paragraph">
              <wp:posOffset>66675</wp:posOffset>
            </wp:positionV>
            <wp:extent cx="3450590" cy="1892935"/>
            <wp:effectExtent l="0" t="0" r="0" b="0"/>
            <wp:wrapNone/>
            <wp:docPr id="2" name="图片 2" descr="微信图片_2025010310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0103102731"/>
                    <pic:cNvPicPr>
                      <a:picLocks noChangeAspect="1"/>
                    </pic:cNvPicPr>
                  </pic:nvPicPr>
                  <pic:blipFill>
                    <a:blip r:embed="rId5"/>
                    <a:srcRect b="3151"/>
                    <a:stretch>
                      <a:fillRect/>
                    </a:stretch>
                  </pic:blipFill>
                  <pic:spPr>
                    <a:xfrm>
                      <a:off x="0" y="0"/>
                      <a:ext cx="3450590" cy="1892935"/>
                    </a:xfrm>
                    <a:prstGeom prst="rect">
                      <a:avLst/>
                    </a:prstGeom>
                  </pic:spPr>
                </pic:pic>
              </a:graphicData>
            </a:graphic>
          </wp:anchor>
        </w:drawing>
      </w:r>
    </w:p>
    <w:p w14:paraId="54E3F161">
      <w:pPr>
        <w:rPr>
          <w:rFonts w:hint="eastAsia"/>
          <w:lang w:val="en-US" w:eastAsia="zh-CN"/>
        </w:rPr>
      </w:pPr>
    </w:p>
    <w:p w14:paraId="6C2B6169">
      <w:pPr>
        <w:rPr>
          <w:rFonts w:hint="eastAsia"/>
          <w:lang w:val="en-US" w:eastAsia="zh-CN"/>
        </w:rPr>
      </w:pPr>
    </w:p>
    <w:p w14:paraId="43957357">
      <w:pPr>
        <w:rPr>
          <w:rFonts w:hint="eastAsia"/>
          <w:lang w:val="en-US" w:eastAsia="zh-CN"/>
        </w:rPr>
      </w:pPr>
    </w:p>
    <w:p w14:paraId="7C78E012">
      <w:pPr>
        <w:rPr>
          <w:rFonts w:hint="eastAsia"/>
          <w:lang w:val="en-US" w:eastAsia="zh-CN"/>
        </w:rPr>
      </w:pPr>
    </w:p>
    <w:p w14:paraId="34B98629">
      <w:pPr>
        <w:rPr>
          <w:rFonts w:hint="eastAsia"/>
          <w:lang w:val="en-US" w:eastAsia="zh-CN"/>
        </w:rPr>
      </w:pPr>
    </w:p>
    <w:p w14:paraId="282C0675">
      <w:pPr>
        <w:rPr>
          <w:rFonts w:hint="eastAsia"/>
          <w:lang w:val="en-US" w:eastAsia="zh-CN"/>
        </w:rPr>
      </w:pPr>
    </w:p>
    <w:p w14:paraId="6058EE4D">
      <w:pPr>
        <w:rPr>
          <w:rFonts w:hint="eastAsia"/>
          <w:lang w:val="en-US" w:eastAsia="zh-CN"/>
        </w:rPr>
      </w:pPr>
    </w:p>
    <w:p w14:paraId="3506AF36">
      <w:pPr>
        <w:rPr>
          <w:rFonts w:hint="eastAsia"/>
          <w:lang w:val="en-US" w:eastAsia="zh-CN"/>
        </w:rPr>
      </w:pPr>
    </w:p>
    <w:p w14:paraId="53947005">
      <w:pPr>
        <w:rPr>
          <w:rFonts w:hint="eastAsia"/>
          <w:lang w:val="en-US" w:eastAsia="zh-CN"/>
        </w:rPr>
      </w:pPr>
    </w:p>
    <w:p w14:paraId="6E0BABF4">
      <w:pPr>
        <w:rPr>
          <w:rFonts w:hint="eastAsia"/>
          <w:lang w:val="en-US" w:eastAsia="zh-CN"/>
        </w:rPr>
      </w:pPr>
      <w:r>
        <w:rPr>
          <w:rFonts w:hint="eastAsia"/>
          <w:lang w:val="en-US" w:eastAsia="zh-CN"/>
        </w:rPr>
        <w:drawing>
          <wp:anchor distT="0" distB="0" distL="114300" distR="114300" simplePos="0" relativeHeight="251660288" behindDoc="0" locked="0" layoutInCell="1" allowOverlap="1">
            <wp:simplePos x="0" y="0"/>
            <wp:positionH relativeFrom="column">
              <wp:posOffset>1386840</wp:posOffset>
            </wp:positionH>
            <wp:positionV relativeFrom="paragraph">
              <wp:posOffset>63500</wp:posOffset>
            </wp:positionV>
            <wp:extent cx="2858135" cy="2718435"/>
            <wp:effectExtent l="0" t="0" r="0" b="0"/>
            <wp:wrapNone/>
            <wp:docPr id="4" name="图片 4" descr="微信图片_20250107164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50107164441"/>
                    <pic:cNvPicPr>
                      <a:picLocks noChangeAspect="1"/>
                    </pic:cNvPicPr>
                  </pic:nvPicPr>
                  <pic:blipFill>
                    <a:blip r:embed="rId6"/>
                    <a:srcRect t="5767" b="1760"/>
                    <a:stretch>
                      <a:fillRect/>
                    </a:stretch>
                  </pic:blipFill>
                  <pic:spPr>
                    <a:xfrm>
                      <a:off x="0" y="0"/>
                      <a:ext cx="2858135" cy="2718435"/>
                    </a:xfrm>
                    <a:prstGeom prst="rect">
                      <a:avLst/>
                    </a:prstGeom>
                  </pic:spPr>
                </pic:pic>
              </a:graphicData>
            </a:graphic>
          </wp:anchor>
        </w:drawing>
      </w:r>
    </w:p>
    <w:p w14:paraId="43745391">
      <w:pPr>
        <w:rPr>
          <w:rFonts w:hint="eastAsia"/>
          <w:lang w:val="en-US" w:eastAsia="zh-CN"/>
        </w:rPr>
      </w:pPr>
    </w:p>
    <w:p w14:paraId="762F3A54">
      <w:pPr>
        <w:rPr>
          <w:rFonts w:hint="eastAsia"/>
          <w:lang w:val="en-US" w:eastAsia="zh-CN"/>
        </w:rPr>
      </w:pPr>
    </w:p>
    <w:p w14:paraId="02B9C73E">
      <w:pPr>
        <w:rPr>
          <w:rFonts w:hint="eastAsia"/>
          <w:lang w:val="en-US" w:eastAsia="zh-CN"/>
        </w:rPr>
      </w:pPr>
    </w:p>
    <w:p w14:paraId="18E22CF0">
      <w:pPr>
        <w:rPr>
          <w:rFonts w:hint="eastAsia"/>
          <w:lang w:val="en-US" w:eastAsia="zh-CN"/>
        </w:rPr>
      </w:pPr>
    </w:p>
    <w:p w14:paraId="6D9FF91A">
      <w:pPr>
        <w:rPr>
          <w:rFonts w:hint="eastAsia"/>
          <w:lang w:val="en-US" w:eastAsia="zh-CN"/>
        </w:rPr>
      </w:pPr>
    </w:p>
    <w:p w14:paraId="5FA021FB">
      <w:pPr>
        <w:rPr>
          <w:rFonts w:hint="eastAsia"/>
          <w:lang w:val="en-US" w:eastAsia="zh-CN"/>
        </w:rPr>
      </w:pPr>
    </w:p>
    <w:p w14:paraId="03CED7F1">
      <w:pPr>
        <w:jc w:val="center"/>
        <w:rPr>
          <w:rFonts w:hint="eastAsia"/>
          <w:lang w:val="en-US" w:eastAsia="zh-CN"/>
        </w:rPr>
      </w:pPr>
    </w:p>
    <w:p w14:paraId="21D7E023">
      <w:pPr>
        <w:pStyle w:val="2"/>
        <w:rPr>
          <w:rFonts w:hint="eastAsia"/>
          <w:lang w:val="en-US" w:eastAsia="zh-CN"/>
        </w:rPr>
      </w:pPr>
    </w:p>
    <w:p w14:paraId="6B805331">
      <w:pPr>
        <w:pStyle w:val="2"/>
        <w:rPr>
          <w:rFonts w:hint="eastAsia"/>
          <w:lang w:val="en-US" w:eastAsia="zh-CN"/>
        </w:rPr>
      </w:pPr>
    </w:p>
    <w:p w14:paraId="5AB2AC89">
      <w:pPr>
        <w:pStyle w:val="2"/>
        <w:rPr>
          <w:rFonts w:hint="eastAsia"/>
          <w:lang w:val="en-US" w:eastAsia="zh-CN"/>
        </w:rPr>
      </w:pPr>
    </w:p>
    <w:p w14:paraId="0377AD91">
      <w:pPr>
        <w:pStyle w:val="2"/>
        <w:rPr>
          <w:rFonts w:hint="eastAsia"/>
          <w:lang w:val="en-US" w:eastAsia="zh-CN"/>
        </w:rPr>
      </w:pPr>
    </w:p>
    <w:p w14:paraId="6035950D">
      <w:pPr>
        <w:rPr>
          <w:rFonts w:hint="eastAsia"/>
          <w:lang w:val="en-US" w:eastAsia="zh-CN"/>
        </w:rPr>
      </w:pPr>
    </w:p>
    <w:p w14:paraId="3AB7E1A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r>
        <w:rPr>
          <w:rFonts w:eastAsia="方正楷体简体"/>
          <w:b/>
          <w:color w:val="000000"/>
          <w:sz w:val="32"/>
          <w:szCs w:val="32"/>
        </w:rPr>
        <w:t>依申请公开</w:t>
      </w:r>
      <w:r>
        <w:rPr>
          <w:rFonts w:hint="eastAsia" w:eastAsia="方正楷体简体"/>
          <w:b/>
          <w:color w:val="000000"/>
          <w:sz w:val="32"/>
          <w:szCs w:val="32"/>
          <w:lang w:eastAsia="zh-CN"/>
        </w:rPr>
        <w:t>情况</w:t>
      </w:r>
    </w:p>
    <w:p w14:paraId="72DB3C7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2024年，区民政局认真贯彻落实依申请公开相关规范，严格按照依申请公开程序办理，及时高效回应申请人公开要求，全年无依申请公开收费情况。共收到政府信息公开申请2件，上年度结转0件。政府信息公开申请内容分别为我区2024年上半年办理结婚登记人数、社区养老服务设施相关信息，共作出政府信息公开申请答复1件，结转下年度继续办理1件。</w:t>
      </w:r>
    </w:p>
    <w:p w14:paraId="3F2C552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eastAsia="方正楷体简体"/>
          <w:b/>
          <w:color w:val="000000"/>
          <w:sz w:val="32"/>
          <w:szCs w:val="32"/>
        </w:rPr>
      </w:pPr>
      <w:r>
        <w:rPr>
          <w:rFonts w:hint="eastAsia" w:eastAsia="方正楷体简体"/>
          <w:b/>
          <w:color w:val="000000"/>
          <w:sz w:val="32"/>
          <w:szCs w:val="32"/>
        </w:rPr>
        <w:t>政府信息管理</w:t>
      </w:r>
      <w:r>
        <w:rPr>
          <w:rFonts w:hint="eastAsia" w:eastAsia="方正楷体简体"/>
          <w:b/>
          <w:color w:val="000000"/>
          <w:sz w:val="32"/>
          <w:szCs w:val="32"/>
          <w:lang w:eastAsia="zh-CN"/>
        </w:rPr>
        <w:t>情况</w:t>
      </w:r>
    </w:p>
    <w:p w14:paraId="4A74620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严格落实政府信息公开工作管理制度要求，规范政务公开专区和政务公开窗口管理，对公开的信息不定期进行梳理和更新，使公开的政府信息更加及时和丰富。2024年度我局未发布规范性文件，现行有效的规范性文件0份。</w:t>
      </w:r>
    </w:p>
    <w:p w14:paraId="74E49E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3" w:firstLineChars="200"/>
        <w:textAlignment w:val="auto"/>
        <w:rPr>
          <w:rFonts w:eastAsia="方正楷体简体"/>
          <w:b/>
          <w:color w:val="000000"/>
          <w:sz w:val="32"/>
          <w:szCs w:val="32"/>
        </w:rPr>
      </w:pPr>
      <w:r>
        <w:rPr>
          <w:rFonts w:eastAsia="方正楷体简体"/>
          <w:b/>
          <w:color w:val="000000"/>
          <w:sz w:val="32"/>
          <w:szCs w:val="32"/>
        </w:rPr>
        <w:t>政府信息公开平台建设</w:t>
      </w:r>
      <w:r>
        <w:rPr>
          <w:rFonts w:hint="eastAsia" w:eastAsia="方正楷体简体"/>
          <w:b/>
          <w:color w:val="000000"/>
          <w:sz w:val="32"/>
          <w:szCs w:val="32"/>
          <w:lang w:eastAsia="zh-CN"/>
        </w:rPr>
        <w:t>情况</w:t>
      </w:r>
    </w:p>
    <w:p w14:paraId="7D529A5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加强政府网站和政务新媒体运营及监管机制建设，强化数字政府应用，不断优化栏目设置，打造“社会救助公开专栏</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养老服务公开专栏</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社会福利公开专栏”，做好信息发布和政策解读，提升群众的政策知晓率。优化信息发布流程，完善信息公开手段，提升信息公开质量。做好“今兖州”新媒体平台维护与运营，利用图文、视频等多种媒介手段，通过形式多样的信息公开方式，让社会各界及时有效地了解政务动态，不断提升我局系统政务新媒体的引导力、影响力和公信力。</w:t>
      </w:r>
    </w:p>
    <w:p w14:paraId="70A17C3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eastAsia="方正楷体简体"/>
          <w:b/>
          <w:color w:val="000000"/>
          <w:sz w:val="32"/>
          <w:szCs w:val="32"/>
          <w:lang w:eastAsia="zh-CN"/>
        </w:rPr>
      </w:pPr>
      <w:r>
        <w:rPr>
          <w:rFonts w:hint="eastAsia" w:eastAsia="方正楷体简体"/>
          <w:b/>
          <w:color w:val="000000"/>
          <w:sz w:val="32"/>
          <w:szCs w:val="32"/>
          <w:lang w:eastAsia="zh-CN"/>
        </w:rPr>
        <w:t>监督保障情况</w:t>
      </w:r>
    </w:p>
    <w:p w14:paraId="2647932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根据新形势新要求不断完善政府信息公开工作机制。完善政务公开组织机构，不定期对相关科室负责人进行业务培训，提高各自分管相关栏目内容更新水平，严格落实信息发布主体责任和“三审三校”“先审后发”机制，对信息更新不及时、内容不规范、错敏字等情况要求限期整改，将政务公开工作落到实处。</w:t>
      </w:r>
    </w:p>
    <w:p w14:paraId="6325CA20">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val="0"/>
          <w:bCs/>
          <w:i/>
          <w:iCs/>
          <w:color w:val="000000"/>
          <w:sz w:val="32"/>
          <w:szCs w:val="32"/>
        </w:rPr>
      </w:pPr>
      <w:r>
        <w:rPr>
          <w:rFonts w:eastAsia="方正黑体简体"/>
          <w:b/>
          <w:color w:val="000000"/>
          <w:sz w:val="32"/>
          <w:szCs w:val="32"/>
        </w:rPr>
        <w:t>二、主动公开政府信息情况</w:t>
      </w:r>
    </w:p>
    <w:tbl>
      <w:tblPr>
        <w:tblStyle w:val="7"/>
        <w:tblW w:w="4999" w:type="pct"/>
        <w:tblInd w:w="0" w:type="dxa"/>
        <w:tblLayout w:type="autofit"/>
        <w:tblCellMar>
          <w:top w:w="0" w:type="dxa"/>
          <w:left w:w="108" w:type="dxa"/>
          <w:bottom w:w="0" w:type="dxa"/>
          <w:right w:w="108" w:type="dxa"/>
        </w:tblCellMar>
      </w:tblPr>
      <w:tblGrid>
        <w:gridCol w:w="2261"/>
        <w:gridCol w:w="2263"/>
        <w:gridCol w:w="2263"/>
        <w:gridCol w:w="2272"/>
      </w:tblGrid>
      <w:tr w14:paraId="0084CB20">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BBE773B">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422367C1">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012801F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14:paraId="00BD0F24">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14:paraId="74AB282B">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tcBorders>
              <w:top w:val="nil"/>
              <w:left w:val="nil"/>
              <w:bottom w:val="single" w:color="auto" w:sz="8" w:space="0"/>
              <w:right w:val="single" w:color="auto" w:sz="8" w:space="0"/>
            </w:tcBorders>
            <w:noWrap w:val="0"/>
            <w:vAlign w:val="center"/>
          </w:tcPr>
          <w:p w14:paraId="2E7C91B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29572801">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6B25CCDB">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14:paraId="3BCB851D">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68A5FC8C">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14:paraId="3CC60AEF">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00DF4CF7">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403307B4">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14:paraId="5E8CCCB2">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1C0CB272">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14:paraId="5B34726A">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r w14:paraId="22929ED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4ED0424">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61D1A58D">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080A98A8">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6EA8059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51729196">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0B579E92">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tcBorders>
              <w:top w:val="single" w:color="auto" w:sz="8" w:space="0"/>
              <w:left w:val="nil"/>
              <w:bottom w:val="single" w:color="auto" w:sz="8" w:space="0"/>
              <w:right w:val="single" w:color="000000" w:sz="8" w:space="0"/>
            </w:tcBorders>
            <w:noWrap w:val="0"/>
            <w:vAlign w:val="center"/>
          </w:tcPr>
          <w:p w14:paraId="5CC851B1">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1</w:t>
            </w:r>
          </w:p>
        </w:tc>
      </w:tr>
      <w:tr w14:paraId="6483DF32">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2AAC895">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3919C9E0">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10C01014">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4D3835F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123C9496">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697D6B0F">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tcBorders>
              <w:top w:val="single" w:color="auto" w:sz="8" w:space="0"/>
              <w:left w:val="nil"/>
              <w:bottom w:val="single" w:color="auto" w:sz="8" w:space="0"/>
              <w:right w:val="single" w:color="000000" w:sz="8" w:space="0"/>
            </w:tcBorders>
            <w:noWrap w:val="0"/>
            <w:vAlign w:val="center"/>
          </w:tcPr>
          <w:p w14:paraId="15A8C1BC">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bookmarkStart w:id="1" w:name="_GoBack"/>
            <w:bookmarkEnd w:id="1"/>
          </w:p>
        </w:tc>
      </w:tr>
      <w:tr w14:paraId="758152E9">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4F7A40D8">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tcBorders>
              <w:top w:val="single" w:color="auto" w:sz="8" w:space="0"/>
              <w:left w:val="nil"/>
              <w:bottom w:val="single" w:color="auto" w:sz="8" w:space="0"/>
              <w:right w:val="single" w:color="000000" w:sz="8" w:space="0"/>
            </w:tcBorders>
            <w:noWrap w:val="0"/>
            <w:vAlign w:val="center"/>
          </w:tcPr>
          <w:p w14:paraId="051E2CBB">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r>
      <w:tr w14:paraId="0256A85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78B423C">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343A01FE">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6C547D8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0B301569">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1600205E">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130BE32D">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tcBorders>
              <w:top w:val="single" w:color="auto" w:sz="8" w:space="0"/>
              <w:left w:val="nil"/>
              <w:bottom w:val="single" w:color="auto" w:sz="8" w:space="0"/>
              <w:right w:val="single" w:color="000000" w:sz="8" w:space="0"/>
            </w:tcBorders>
            <w:noWrap w:val="0"/>
            <w:vAlign w:val="center"/>
          </w:tcPr>
          <w:p w14:paraId="41DD6573">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bl>
    <w:p w14:paraId="40A3C72D">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eastAsia="方正黑体简体"/>
          <w:b w:val="0"/>
          <w:bCs/>
          <w:i/>
          <w:iCs/>
          <w:color w:val="000000"/>
          <w:sz w:val="32"/>
          <w:szCs w:val="32"/>
          <w:lang w:eastAsia="zh-CN"/>
        </w:rPr>
      </w:pPr>
      <w:r>
        <w:rPr>
          <w:rFonts w:eastAsia="方正黑体简体"/>
          <w:b/>
          <w:color w:val="000000"/>
          <w:sz w:val="32"/>
          <w:szCs w:val="32"/>
        </w:rPr>
        <w:t>三、收到和处理政府信息公开申请情况</w:t>
      </w:r>
    </w:p>
    <w:tbl>
      <w:tblPr>
        <w:tblStyle w:val="7"/>
        <w:tblpPr w:leftFromText="180" w:rightFromText="180" w:vertAnchor="text" w:horzAnchor="page" w:tblpX="1092" w:tblpY="2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7BA983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0E01A104">
            <w:pPr>
              <w:widowControl/>
              <w:jc w:val="center"/>
              <w:rPr>
                <w:rFonts w:ascii="Times New Roman" w:hAnsi="Times New Roman" w:eastAsia="楷体_GB2312"/>
                <w:color w:val="000000"/>
                <w:kern w:val="0"/>
                <w:szCs w:val="21"/>
              </w:rPr>
            </w:pPr>
            <w:r>
              <w:rPr>
                <w:rFonts w:hint="eastAsia" w:ascii="Times New Roman" w:hAnsi="Times New Roman" w:eastAsia="楷体_GB2312"/>
                <w:color w:val="000000"/>
                <w:kern w:val="0"/>
                <w:szCs w:val="21"/>
              </w:rPr>
              <w:t>（本列数据的勾稽关系为：第一项加第二项之和，</w:t>
            </w:r>
          </w:p>
          <w:p w14:paraId="17196EA4">
            <w:pPr>
              <w:widowControl/>
              <w:jc w:val="center"/>
              <w:rPr>
                <w:rFonts w:ascii="Times New Roman" w:hAnsi="Times New Roman" w:eastAsia="仿宋_GB2312"/>
                <w:color w:val="000000"/>
                <w:szCs w:val="21"/>
              </w:rPr>
            </w:pPr>
            <w:r>
              <w:rPr>
                <w:rFonts w:hint="eastAsia" w:ascii="Times New Roman" w:hAnsi="Times New Roman" w:eastAsia="楷体_GB2312"/>
                <w:color w:val="000000"/>
                <w:kern w:val="0"/>
                <w:szCs w:val="21"/>
              </w:rPr>
              <w:t>等于第三项加第四项之和）</w:t>
            </w:r>
          </w:p>
        </w:tc>
        <w:tc>
          <w:tcPr>
            <w:tcW w:w="4820" w:type="dxa"/>
            <w:gridSpan w:val="7"/>
            <w:noWrap w:val="0"/>
            <w:tcMar>
              <w:left w:w="108" w:type="dxa"/>
              <w:right w:w="108" w:type="dxa"/>
            </w:tcMar>
            <w:vAlign w:val="center"/>
          </w:tcPr>
          <w:p w14:paraId="3A1360AF">
            <w:pPr>
              <w:widowControl/>
              <w:spacing w:line="320" w:lineRule="exact"/>
              <w:jc w:val="center"/>
              <w:rPr>
                <w:rFonts w:ascii="Times New Roman" w:hAnsi="Times New Roman" w:eastAsia="黑体"/>
                <w:color w:val="000000"/>
                <w:szCs w:val="21"/>
              </w:rPr>
            </w:pPr>
            <w:r>
              <w:rPr>
                <w:rFonts w:hint="eastAsia" w:ascii="Times New Roman" w:hAnsi="Times New Roman" w:eastAsia="黑体"/>
                <w:color w:val="000000"/>
                <w:kern w:val="0"/>
                <w:szCs w:val="21"/>
              </w:rPr>
              <w:t>申请人情况</w:t>
            </w:r>
          </w:p>
        </w:tc>
      </w:tr>
      <w:tr w14:paraId="551DD6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2ACE283B">
            <w:pPr>
              <w:jc w:val="center"/>
              <w:rPr>
                <w:rFonts w:ascii="Times New Roman" w:hAnsi="Times New Roman" w:eastAsia="仿宋_GB2312"/>
                <w:color w:val="000000"/>
                <w:szCs w:val="21"/>
              </w:rPr>
            </w:pPr>
          </w:p>
        </w:tc>
        <w:tc>
          <w:tcPr>
            <w:tcW w:w="829" w:type="dxa"/>
            <w:vMerge w:val="restart"/>
            <w:noWrap w:val="0"/>
            <w:tcMar>
              <w:left w:w="108" w:type="dxa"/>
              <w:right w:w="108" w:type="dxa"/>
            </w:tcMar>
            <w:vAlign w:val="center"/>
          </w:tcPr>
          <w:p w14:paraId="465D1157">
            <w:pPr>
              <w:widowControl/>
              <w:jc w:val="center"/>
              <w:rPr>
                <w:rFonts w:ascii="Times New Roman" w:hAnsi="Times New Roman" w:eastAsia="黑体"/>
                <w:color w:val="000000"/>
                <w:szCs w:val="21"/>
              </w:rPr>
            </w:pPr>
            <w:r>
              <w:rPr>
                <w:rFonts w:hint="eastAsia" w:ascii="Times New Roman" w:hAnsi="Times New Roman" w:eastAsia="黑体"/>
                <w:color w:val="000000"/>
                <w:kern w:val="0"/>
                <w:szCs w:val="21"/>
              </w:rPr>
              <w:t>自然人</w:t>
            </w:r>
          </w:p>
        </w:tc>
        <w:tc>
          <w:tcPr>
            <w:tcW w:w="3140" w:type="dxa"/>
            <w:gridSpan w:val="5"/>
            <w:noWrap w:val="0"/>
            <w:tcMar>
              <w:left w:w="108" w:type="dxa"/>
              <w:right w:w="108" w:type="dxa"/>
            </w:tcMar>
            <w:vAlign w:val="center"/>
          </w:tcPr>
          <w:p w14:paraId="060A6F3F">
            <w:pPr>
              <w:widowControl/>
              <w:spacing w:line="320" w:lineRule="exact"/>
              <w:jc w:val="center"/>
              <w:rPr>
                <w:rFonts w:ascii="Times New Roman" w:hAnsi="Times New Roman" w:eastAsia="黑体"/>
                <w:color w:val="000000"/>
                <w:szCs w:val="21"/>
              </w:rPr>
            </w:pPr>
            <w:r>
              <w:rPr>
                <w:rFonts w:hint="eastAsia" w:ascii="Times New Roman" w:hAnsi="Times New Roman" w:eastAsia="黑体"/>
                <w:color w:val="000000"/>
                <w:kern w:val="0"/>
                <w:szCs w:val="21"/>
              </w:rPr>
              <w:t>法人或其他组织</w:t>
            </w:r>
          </w:p>
        </w:tc>
        <w:tc>
          <w:tcPr>
            <w:tcW w:w="851" w:type="dxa"/>
            <w:vMerge w:val="restart"/>
            <w:noWrap w:val="0"/>
            <w:tcMar>
              <w:left w:w="108" w:type="dxa"/>
              <w:right w:w="108" w:type="dxa"/>
            </w:tcMar>
            <w:vAlign w:val="center"/>
          </w:tcPr>
          <w:p w14:paraId="19CBA3A1">
            <w:pPr>
              <w:widowControl/>
              <w:jc w:val="center"/>
              <w:rPr>
                <w:rFonts w:ascii="Times New Roman" w:hAnsi="Times New Roman" w:eastAsia="黑体"/>
                <w:color w:val="000000"/>
                <w:szCs w:val="21"/>
              </w:rPr>
            </w:pPr>
            <w:r>
              <w:rPr>
                <w:rFonts w:hint="eastAsia" w:ascii="Times New Roman" w:hAnsi="Times New Roman" w:eastAsia="黑体"/>
                <w:color w:val="000000"/>
                <w:kern w:val="0"/>
                <w:szCs w:val="21"/>
              </w:rPr>
              <w:t>总计</w:t>
            </w:r>
          </w:p>
        </w:tc>
      </w:tr>
      <w:tr w14:paraId="5BF5F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0D6FAA47">
            <w:pPr>
              <w:jc w:val="center"/>
              <w:rPr>
                <w:rFonts w:ascii="Times New Roman" w:hAnsi="Times New Roman" w:eastAsia="仿宋_GB2312"/>
                <w:color w:val="000000"/>
                <w:szCs w:val="21"/>
              </w:rPr>
            </w:pPr>
          </w:p>
        </w:tc>
        <w:tc>
          <w:tcPr>
            <w:tcW w:w="829" w:type="dxa"/>
            <w:vMerge w:val="continue"/>
            <w:noWrap w:val="0"/>
            <w:tcMar>
              <w:left w:w="108" w:type="dxa"/>
              <w:right w:w="108" w:type="dxa"/>
            </w:tcMar>
            <w:vAlign w:val="center"/>
          </w:tcPr>
          <w:p w14:paraId="42F15B3C">
            <w:pPr>
              <w:jc w:val="center"/>
              <w:rPr>
                <w:rFonts w:ascii="Times New Roman" w:hAnsi="Times New Roman" w:eastAsia="黑体"/>
                <w:color w:val="000000"/>
                <w:szCs w:val="21"/>
              </w:rPr>
            </w:pPr>
          </w:p>
        </w:tc>
        <w:tc>
          <w:tcPr>
            <w:tcW w:w="567" w:type="dxa"/>
            <w:noWrap w:val="0"/>
            <w:tcMar>
              <w:left w:w="108" w:type="dxa"/>
              <w:right w:w="108" w:type="dxa"/>
            </w:tcMar>
            <w:vAlign w:val="center"/>
          </w:tcPr>
          <w:p w14:paraId="7526DF1A">
            <w:pPr>
              <w:widowControl/>
              <w:spacing w:line="320" w:lineRule="exact"/>
              <w:ind w:left="-106" w:leftChars="-51" w:right="-107" w:rightChars="-51" w:hanging="1"/>
              <w:jc w:val="center"/>
              <w:rPr>
                <w:rFonts w:ascii="Times New Roman" w:hAnsi="Times New Roman" w:eastAsia="黑体"/>
                <w:color w:val="000000"/>
                <w:szCs w:val="21"/>
              </w:rPr>
            </w:pPr>
            <w:r>
              <w:rPr>
                <w:rFonts w:hint="eastAsia" w:ascii="Times New Roman" w:hAnsi="Times New Roman" w:eastAsia="黑体"/>
                <w:color w:val="000000"/>
                <w:kern w:val="0"/>
                <w:szCs w:val="21"/>
              </w:rPr>
              <w:t>商业企业</w:t>
            </w:r>
          </w:p>
        </w:tc>
        <w:tc>
          <w:tcPr>
            <w:tcW w:w="567" w:type="dxa"/>
            <w:noWrap w:val="0"/>
            <w:tcMar>
              <w:left w:w="108" w:type="dxa"/>
              <w:right w:w="108" w:type="dxa"/>
            </w:tcMar>
            <w:vAlign w:val="center"/>
          </w:tcPr>
          <w:p w14:paraId="7288B0F3">
            <w:pPr>
              <w:widowControl/>
              <w:spacing w:line="320" w:lineRule="exact"/>
              <w:ind w:left="-107" w:leftChars="-51" w:right="-107" w:rightChars="-51"/>
              <w:jc w:val="center"/>
              <w:rPr>
                <w:rFonts w:ascii="Times New Roman" w:hAnsi="Times New Roman" w:eastAsia="黑体"/>
                <w:color w:val="000000"/>
                <w:szCs w:val="21"/>
              </w:rPr>
            </w:pPr>
            <w:r>
              <w:rPr>
                <w:rFonts w:hint="eastAsia" w:ascii="Times New Roman" w:hAnsi="Times New Roman" w:eastAsia="黑体"/>
                <w:color w:val="000000"/>
                <w:kern w:val="0"/>
                <w:szCs w:val="21"/>
              </w:rPr>
              <w:t>科研机构</w:t>
            </w:r>
          </w:p>
        </w:tc>
        <w:tc>
          <w:tcPr>
            <w:tcW w:w="731" w:type="dxa"/>
            <w:noWrap w:val="0"/>
            <w:tcMar>
              <w:left w:w="108" w:type="dxa"/>
              <w:right w:w="108" w:type="dxa"/>
            </w:tcMar>
            <w:vAlign w:val="center"/>
          </w:tcPr>
          <w:p w14:paraId="3677FDD8">
            <w:pPr>
              <w:widowControl/>
              <w:spacing w:line="320" w:lineRule="exact"/>
              <w:ind w:left="-107" w:leftChars="-51" w:right="-107" w:rightChars="-51"/>
              <w:jc w:val="center"/>
              <w:rPr>
                <w:rFonts w:ascii="Times New Roman" w:hAnsi="Times New Roman" w:eastAsia="黑体"/>
                <w:color w:val="000000"/>
                <w:szCs w:val="21"/>
              </w:rPr>
            </w:pPr>
            <w:r>
              <w:rPr>
                <w:rFonts w:hint="eastAsia" w:ascii="Times New Roman" w:hAnsi="Times New Roman" w:eastAsia="黑体"/>
                <w:color w:val="000000"/>
                <w:kern w:val="0"/>
                <w:szCs w:val="21"/>
              </w:rPr>
              <w:t>社会公益组织</w:t>
            </w:r>
          </w:p>
        </w:tc>
        <w:tc>
          <w:tcPr>
            <w:tcW w:w="708" w:type="dxa"/>
            <w:noWrap w:val="0"/>
            <w:tcMar>
              <w:left w:w="108" w:type="dxa"/>
              <w:right w:w="108" w:type="dxa"/>
            </w:tcMar>
            <w:vAlign w:val="center"/>
          </w:tcPr>
          <w:p w14:paraId="13D062E1">
            <w:pPr>
              <w:widowControl/>
              <w:spacing w:line="320" w:lineRule="exact"/>
              <w:ind w:left="-106" w:leftChars="-51" w:right="-107" w:rightChars="-51" w:hanging="1"/>
              <w:jc w:val="center"/>
              <w:rPr>
                <w:rFonts w:ascii="Times New Roman" w:hAnsi="Times New Roman" w:eastAsia="黑体"/>
                <w:color w:val="000000"/>
                <w:szCs w:val="21"/>
              </w:rPr>
            </w:pPr>
            <w:r>
              <w:rPr>
                <w:rFonts w:hint="eastAsia" w:ascii="Times New Roman" w:hAnsi="Times New Roman" w:eastAsia="黑体"/>
                <w:color w:val="000000"/>
                <w:kern w:val="0"/>
                <w:szCs w:val="21"/>
              </w:rPr>
              <w:t>法律服务机构</w:t>
            </w:r>
          </w:p>
        </w:tc>
        <w:tc>
          <w:tcPr>
            <w:tcW w:w="567" w:type="dxa"/>
            <w:noWrap w:val="0"/>
            <w:tcMar>
              <w:left w:w="108" w:type="dxa"/>
              <w:right w:w="108" w:type="dxa"/>
            </w:tcMar>
            <w:vAlign w:val="center"/>
          </w:tcPr>
          <w:p w14:paraId="2869E630">
            <w:pPr>
              <w:widowControl/>
              <w:spacing w:line="360" w:lineRule="exact"/>
              <w:ind w:left="-63" w:leftChars="-30" w:right="-134" w:rightChars="-64"/>
              <w:jc w:val="center"/>
              <w:rPr>
                <w:rFonts w:ascii="Times New Roman" w:hAnsi="Times New Roman" w:eastAsia="黑体"/>
                <w:color w:val="000000"/>
                <w:szCs w:val="21"/>
              </w:rPr>
            </w:pPr>
            <w:r>
              <w:rPr>
                <w:rFonts w:hint="eastAsia" w:ascii="Times New Roman" w:hAnsi="Times New Roman" w:eastAsia="黑体"/>
                <w:color w:val="000000"/>
                <w:kern w:val="0"/>
                <w:szCs w:val="21"/>
              </w:rPr>
              <w:t>其他</w:t>
            </w:r>
          </w:p>
        </w:tc>
        <w:tc>
          <w:tcPr>
            <w:tcW w:w="851" w:type="dxa"/>
            <w:vMerge w:val="continue"/>
            <w:noWrap w:val="0"/>
            <w:tcMar>
              <w:left w:w="108" w:type="dxa"/>
              <w:right w:w="108" w:type="dxa"/>
            </w:tcMar>
            <w:vAlign w:val="center"/>
          </w:tcPr>
          <w:p w14:paraId="6585DE2F">
            <w:pPr>
              <w:jc w:val="center"/>
              <w:rPr>
                <w:rFonts w:ascii="Times New Roman" w:hAnsi="Times New Roman" w:eastAsia="仿宋_GB2312"/>
                <w:color w:val="000000"/>
                <w:szCs w:val="21"/>
              </w:rPr>
            </w:pPr>
          </w:p>
        </w:tc>
      </w:tr>
      <w:tr w14:paraId="61768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6EC8B01D">
            <w:pPr>
              <w:widowControl/>
              <w:rPr>
                <w:rFonts w:ascii="Times New Roman" w:hAnsi="Times New Roman" w:eastAsia="黑体"/>
                <w:color w:val="000000"/>
                <w:szCs w:val="21"/>
              </w:rPr>
            </w:pPr>
            <w:r>
              <w:rPr>
                <w:rFonts w:hint="eastAsia" w:ascii="Times New Roman" w:hAnsi="Times New Roman" w:eastAsia="黑体"/>
                <w:color w:val="000000"/>
                <w:kern w:val="0"/>
                <w:szCs w:val="21"/>
              </w:rPr>
              <w:t>一、本年新收政府信息公开申请数量</w:t>
            </w:r>
          </w:p>
        </w:tc>
        <w:tc>
          <w:tcPr>
            <w:tcW w:w="829" w:type="dxa"/>
            <w:noWrap w:val="0"/>
            <w:tcMar>
              <w:left w:w="108" w:type="dxa"/>
              <w:right w:w="108" w:type="dxa"/>
            </w:tcMar>
            <w:vAlign w:val="center"/>
          </w:tcPr>
          <w:p w14:paraId="5BC3CA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c>
          <w:tcPr>
            <w:tcW w:w="567" w:type="dxa"/>
            <w:noWrap w:val="0"/>
            <w:tcMar>
              <w:left w:w="108" w:type="dxa"/>
              <w:right w:w="108" w:type="dxa"/>
            </w:tcMar>
            <w:vAlign w:val="center"/>
          </w:tcPr>
          <w:p w14:paraId="2809631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B96ADB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FEC43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444249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1E26A0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58547A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r>
      <w:tr w14:paraId="248264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56F30B28">
            <w:pPr>
              <w:widowControl/>
              <w:rPr>
                <w:rFonts w:ascii="Times New Roman" w:hAnsi="Times New Roman" w:eastAsia="黑体"/>
                <w:color w:val="000000"/>
                <w:szCs w:val="21"/>
              </w:rPr>
            </w:pPr>
            <w:r>
              <w:rPr>
                <w:rFonts w:hint="eastAsia" w:ascii="Times New Roman" w:hAnsi="Times New Roman" w:eastAsia="黑体"/>
                <w:color w:val="000000"/>
                <w:kern w:val="0"/>
                <w:szCs w:val="21"/>
              </w:rPr>
              <w:t>二、上年结转政府信息公开申请数量</w:t>
            </w:r>
          </w:p>
        </w:tc>
        <w:tc>
          <w:tcPr>
            <w:tcW w:w="829" w:type="dxa"/>
            <w:noWrap w:val="0"/>
            <w:tcMar>
              <w:left w:w="108" w:type="dxa"/>
              <w:right w:w="108" w:type="dxa"/>
            </w:tcMar>
            <w:vAlign w:val="center"/>
          </w:tcPr>
          <w:p w14:paraId="673655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09199D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26E649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2D71E11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8511FC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832340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4BC838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1E6A9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300F9020">
            <w:pPr>
              <w:widowControl/>
              <w:spacing w:after="180"/>
              <w:rPr>
                <w:rFonts w:ascii="Times New Roman" w:hAnsi="Times New Roman" w:eastAsia="黑体"/>
                <w:color w:val="000000"/>
                <w:szCs w:val="21"/>
              </w:rPr>
            </w:pPr>
            <w:r>
              <w:rPr>
                <w:rFonts w:hint="eastAsia" w:ascii="Times New Roman" w:hAnsi="Times New Roman" w:eastAsia="黑体"/>
                <w:color w:val="000000"/>
                <w:kern w:val="0"/>
                <w:szCs w:val="21"/>
              </w:rPr>
              <w:t>三、本年度办理结果</w:t>
            </w:r>
          </w:p>
        </w:tc>
        <w:tc>
          <w:tcPr>
            <w:tcW w:w="4677" w:type="dxa"/>
            <w:gridSpan w:val="2"/>
            <w:noWrap w:val="0"/>
            <w:tcMar>
              <w:left w:w="108" w:type="dxa"/>
              <w:right w:w="108" w:type="dxa"/>
            </w:tcMar>
            <w:vAlign w:val="center"/>
          </w:tcPr>
          <w:p w14:paraId="6F30C54D">
            <w:pPr>
              <w:widowControl/>
              <w:rPr>
                <w:rFonts w:ascii="Times New Roman" w:hAnsi="Times New Roman" w:eastAsia="黑体"/>
                <w:color w:val="000000"/>
                <w:szCs w:val="21"/>
              </w:rPr>
            </w:pPr>
            <w:r>
              <w:rPr>
                <w:rFonts w:hint="eastAsia" w:ascii="Times New Roman" w:hAnsi="Times New Roman" w:eastAsia="黑体"/>
                <w:color w:val="000000"/>
                <w:kern w:val="0"/>
                <w:szCs w:val="21"/>
              </w:rPr>
              <w:t>（一）予以公开</w:t>
            </w:r>
          </w:p>
        </w:tc>
        <w:tc>
          <w:tcPr>
            <w:tcW w:w="829" w:type="dxa"/>
            <w:noWrap w:val="0"/>
            <w:tcMar>
              <w:left w:w="108" w:type="dxa"/>
              <w:right w:w="108" w:type="dxa"/>
            </w:tcMar>
            <w:vAlign w:val="center"/>
          </w:tcPr>
          <w:p w14:paraId="71B89FC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1</w:t>
            </w:r>
          </w:p>
        </w:tc>
        <w:tc>
          <w:tcPr>
            <w:tcW w:w="567" w:type="dxa"/>
            <w:noWrap w:val="0"/>
            <w:tcMar>
              <w:left w:w="108" w:type="dxa"/>
              <w:right w:w="108" w:type="dxa"/>
            </w:tcMar>
            <w:vAlign w:val="center"/>
          </w:tcPr>
          <w:p w14:paraId="4B7A851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B4FAB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1AE23C4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7972033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96B1E0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4A02A4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1</w:t>
            </w:r>
          </w:p>
        </w:tc>
      </w:tr>
      <w:tr w14:paraId="61449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0DE10107">
            <w:pPr>
              <w:rPr>
                <w:rFonts w:ascii="Times New Roman" w:hAnsi="Times New Roman" w:eastAsia="黑体"/>
                <w:color w:val="000000"/>
                <w:szCs w:val="21"/>
              </w:rPr>
            </w:pPr>
          </w:p>
        </w:tc>
        <w:tc>
          <w:tcPr>
            <w:tcW w:w="4677" w:type="dxa"/>
            <w:gridSpan w:val="2"/>
            <w:noWrap w:val="0"/>
            <w:tcMar>
              <w:left w:w="108" w:type="dxa"/>
              <w:right w:w="108" w:type="dxa"/>
            </w:tcMar>
            <w:vAlign w:val="center"/>
          </w:tcPr>
          <w:p w14:paraId="10823BA3">
            <w:pPr>
              <w:widowControl/>
              <w:rPr>
                <w:rFonts w:ascii="Times New Roman" w:hAnsi="Times New Roman" w:eastAsia="黑体"/>
                <w:color w:val="000000"/>
                <w:szCs w:val="21"/>
              </w:rPr>
            </w:pPr>
            <w:r>
              <w:rPr>
                <w:rFonts w:hint="eastAsia" w:ascii="Times New Roman" w:hAnsi="Times New Roman" w:eastAsia="黑体"/>
                <w:color w:val="000000"/>
                <w:kern w:val="0"/>
                <w:szCs w:val="21"/>
              </w:rPr>
              <w:t>（二）部分公开（区分处理的，只计这一情形，不计其他情形）</w:t>
            </w:r>
          </w:p>
        </w:tc>
        <w:tc>
          <w:tcPr>
            <w:tcW w:w="829" w:type="dxa"/>
            <w:noWrap w:val="0"/>
            <w:tcMar>
              <w:left w:w="108" w:type="dxa"/>
              <w:right w:w="108" w:type="dxa"/>
            </w:tcMar>
            <w:vAlign w:val="center"/>
          </w:tcPr>
          <w:p w14:paraId="03BDF94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AE852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95608C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628B7DD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AAEC5E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47501E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DDB0B0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542247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F0F594F">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7B72CA31">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（三）不予公开</w:t>
            </w:r>
          </w:p>
        </w:tc>
        <w:tc>
          <w:tcPr>
            <w:tcW w:w="2976" w:type="dxa"/>
            <w:noWrap w:val="0"/>
            <w:tcMar>
              <w:left w:w="108" w:type="dxa"/>
              <w:right w:w="108" w:type="dxa"/>
            </w:tcMar>
            <w:vAlign w:val="center"/>
          </w:tcPr>
          <w:p w14:paraId="574E7F6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1.属于国家秘密</w:t>
            </w:r>
          </w:p>
        </w:tc>
        <w:tc>
          <w:tcPr>
            <w:tcW w:w="829" w:type="dxa"/>
            <w:noWrap w:val="0"/>
            <w:tcMar>
              <w:left w:w="108" w:type="dxa"/>
              <w:right w:w="108" w:type="dxa"/>
            </w:tcMar>
            <w:vAlign w:val="center"/>
          </w:tcPr>
          <w:p w14:paraId="6B8C868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EE27BA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119C6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7A823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E4BFC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DD321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BE5DC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2BF42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1787F93">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1BC59F5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18203E6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2.其他法律行政法规禁止公开</w:t>
            </w:r>
          </w:p>
        </w:tc>
        <w:tc>
          <w:tcPr>
            <w:tcW w:w="829" w:type="dxa"/>
            <w:noWrap w:val="0"/>
            <w:tcMar>
              <w:left w:w="108" w:type="dxa"/>
              <w:right w:w="108" w:type="dxa"/>
            </w:tcMar>
            <w:vAlign w:val="center"/>
          </w:tcPr>
          <w:p w14:paraId="502DFD5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30F086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6C0482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0786390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BC2BA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0CDBBC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9CEBD4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010A7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D414A8B">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4DFAD758">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41B3A7A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3.危及“三安全一稳定”</w:t>
            </w:r>
          </w:p>
        </w:tc>
        <w:tc>
          <w:tcPr>
            <w:tcW w:w="829" w:type="dxa"/>
            <w:noWrap w:val="0"/>
            <w:tcMar>
              <w:left w:w="108" w:type="dxa"/>
              <w:right w:w="108" w:type="dxa"/>
            </w:tcMar>
            <w:vAlign w:val="center"/>
          </w:tcPr>
          <w:p w14:paraId="376B1F1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4962A2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BD2FD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48C553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6CAAC7B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429396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26784B2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6E499B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921159D">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172EBEFA">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7CD297C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4.保护第三方合法权益</w:t>
            </w:r>
          </w:p>
        </w:tc>
        <w:tc>
          <w:tcPr>
            <w:tcW w:w="829" w:type="dxa"/>
            <w:noWrap w:val="0"/>
            <w:tcMar>
              <w:left w:w="108" w:type="dxa"/>
              <w:right w:w="108" w:type="dxa"/>
            </w:tcMar>
            <w:vAlign w:val="center"/>
          </w:tcPr>
          <w:p w14:paraId="7A2C5D9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12F137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F3B77A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24EC2D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79C13B6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8A5A12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EA0D8A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5C767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CF262AF">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7AEBD808">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77EB9F4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5.属于三类内部事务信息</w:t>
            </w:r>
          </w:p>
        </w:tc>
        <w:tc>
          <w:tcPr>
            <w:tcW w:w="829" w:type="dxa"/>
            <w:noWrap w:val="0"/>
            <w:tcMar>
              <w:left w:w="108" w:type="dxa"/>
              <w:right w:w="108" w:type="dxa"/>
            </w:tcMar>
            <w:vAlign w:val="center"/>
          </w:tcPr>
          <w:p w14:paraId="233DF7B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B06709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E68F3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8F9349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0CA617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CEE7C0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3A1BD49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315D9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32BFE6D">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18F9A53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705C637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6.属于四类过程性信息</w:t>
            </w:r>
          </w:p>
        </w:tc>
        <w:tc>
          <w:tcPr>
            <w:tcW w:w="829" w:type="dxa"/>
            <w:noWrap w:val="0"/>
            <w:tcMar>
              <w:left w:w="108" w:type="dxa"/>
              <w:right w:w="108" w:type="dxa"/>
            </w:tcMar>
            <w:vAlign w:val="center"/>
          </w:tcPr>
          <w:p w14:paraId="6D6C656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BFE2E0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2D150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51B9B55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8B75E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3CDF81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0A51E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3E40B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F1E343C">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5A577C1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44D8CCC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7.属于行政执法案卷</w:t>
            </w:r>
          </w:p>
        </w:tc>
        <w:tc>
          <w:tcPr>
            <w:tcW w:w="829" w:type="dxa"/>
            <w:noWrap w:val="0"/>
            <w:tcMar>
              <w:left w:w="108" w:type="dxa"/>
              <w:right w:w="108" w:type="dxa"/>
            </w:tcMar>
            <w:vAlign w:val="center"/>
          </w:tcPr>
          <w:p w14:paraId="55584C3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F4DE2B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E2EB56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31E0787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0F30E7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97324E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679A94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2FC1D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9624135">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3826D00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24A349A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8.属于行政查询事项</w:t>
            </w:r>
          </w:p>
        </w:tc>
        <w:tc>
          <w:tcPr>
            <w:tcW w:w="829" w:type="dxa"/>
            <w:noWrap w:val="0"/>
            <w:tcMar>
              <w:left w:w="108" w:type="dxa"/>
              <w:right w:w="108" w:type="dxa"/>
            </w:tcMar>
            <w:vAlign w:val="center"/>
          </w:tcPr>
          <w:p w14:paraId="276F99A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92C201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862747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593EE2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CE9713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557707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7C159B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6965DB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C5D3185">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2E674C98">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（四）无法提供</w:t>
            </w:r>
          </w:p>
        </w:tc>
        <w:tc>
          <w:tcPr>
            <w:tcW w:w="2976" w:type="dxa"/>
            <w:noWrap w:val="0"/>
            <w:tcMar>
              <w:left w:w="108" w:type="dxa"/>
              <w:right w:w="108" w:type="dxa"/>
            </w:tcMar>
            <w:vAlign w:val="center"/>
          </w:tcPr>
          <w:p w14:paraId="5F5CB75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1.本机关不掌握相关政府信息</w:t>
            </w:r>
          </w:p>
        </w:tc>
        <w:tc>
          <w:tcPr>
            <w:tcW w:w="829" w:type="dxa"/>
            <w:noWrap w:val="0"/>
            <w:tcMar>
              <w:left w:w="108" w:type="dxa"/>
              <w:right w:w="108" w:type="dxa"/>
            </w:tcMar>
            <w:vAlign w:val="center"/>
          </w:tcPr>
          <w:p w14:paraId="3BDF43D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4B326A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0330EA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1A60D7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3D29307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D18C65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7C82C16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17EA9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75B5448">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565467D2">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2F49DBB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2.没有现成信息需要另行制作</w:t>
            </w:r>
          </w:p>
        </w:tc>
        <w:tc>
          <w:tcPr>
            <w:tcW w:w="829" w:type="dxa"/>
            <w:noWrap w:val="0"/>
            <w:tcMar>
              <w:left w:w="108" w:type="dxa"/>
              <w:right w:w="108" w:type="dxa"/>
            </w:tcMar>
            <w:vAlign w:val="center"/>
          </w:tcPr>
          <w:p w14:paraId="37369C1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BE543B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058E29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650B04B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C61A51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F05F06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693F75A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636068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39BC057">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0DA31F67">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38212D0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3.补正后申请内容仍不明确</w:t>
            </w:r>
          </w:p>
        </w:tc>
        <w:tc>
          <w:tcPr>
            <w:tcW w:w="829" w:type="dxa"/>
            <w:noWrap w:val="0"/>
            <w:tcMar>
              <w:left w:w="108" w:type="dxa"/>
              <w:right w:w="108" w:type="dxa"/>
            </w:tcMar>
            <w:vAlign w:val="center"/>
          </w:tcPr>
          <w:p w14:paraId="07C3D8D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0A1339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D380F6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17D3CFB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D03419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9949E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812AD3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3EFAEB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329B277">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37C11154">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（五）不予处理</w:t>
            </w:r>
          </w:p>
        </w:tc>
        <w:tc>
          <w:tcPr>
            <w:tcW w:w="2976" w:type="dxa"/>
            <w:noWrap w:val="0"/>
            <w:tcMar>
              <w:left w:w="108" w:type="dxa"/>
              <w:right w:w="108" w:type="dxa"/>
            </w:tcMar>
            <w:vAlign w:val="center"/>
          </w:tcPr>
          <w:p w14:paraId="1114FFB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1.信访举报投诉类申请</w:t>
            </w:r>
          </w:p>
        </w:tc>
        <w:tc>
          <w:tcPr>
            <w:tcW w:w="829" w:type="dxa"/>
            <w:noWrap w:val="0"/>
            <w:tcMar>
              <w:left w:w="108" w:type="dxa"/>
              <w:right w:w="108" w:type="dxa"/>
            </w:tcMar>
            <w:vAlign w:val="center"/>
          </w:tcPr>
          <w:p w14:paraId="516AACD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B25D24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A3999B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69A6F4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77C15C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B96EA0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97E157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6A4CE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9AA5EF8">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09903A9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025BB6CD">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2.重复申请</w:t>
            </w:r>
          </w:p>
        </w:tc>
        <w:tc>
          <w:tcPr>
            <w:tcW w:w="829" w:type="dxa"/>
            <w:noWrap w:val="0"/>
            <w:tcMar>
              <w:left w:w="108" w:type="dxa"/>
              <w:right w:w="108" w:type="dxa"/>
            </w:tcMar>
            <w:vAlign w:val="center"/>
          </w:tcPr>
          <w:p w14:paraId="076EAEC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FC20B2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7A0B79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F1176D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69E88C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A58CE6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A17BC5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06EFA1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DE7F955">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4AC45B38">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712301A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3.要求提供公开出版物</w:t>
            </w:r>
          </w:p>
        </w:tc>
        <w:tc>
          <w:tcPr>
            <w:tcW w:w="829" w:type="dxa"/>
            <w:noWrap w:val="0"/>
            <w:tcMar>
              <w:left w:w="108" w:type="dxa"/>
              <w:right w:w="108" w:type="dxa"/>
            </w:tcMar>
            <w:vAlign w:val="center"/>
          </w:tcPr>
          <w:p w14:paraId="574827F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57FDF5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94E497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F52F20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D0A2C0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F503CC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129F87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39AC7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3639AC22">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60188B5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0864804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4.无正当理由大量反复申请</w:t>
            </w:r>
          </w:p>
        </w:tc>
        <w:tc>
          <w:tcPr>
            <w:tcW w:w="829" w:type="dxa"/>
            <w:noWrap w:val="0"/>
            <w:tcMar>
              <w:left w:w="108" w:type="dxa"/>
              <w:right w:w="108" w:type="dxa"/>
            </w:tcMar>
            <w:vAlign w:val="center"/>
          </w:tcPr>
          <w:p w14:paraId="088E6C1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A2FBF6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611B0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95574B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1A1A19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02698A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3B348BC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6A9824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2F5D3AD8">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78E0A665">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1847559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5.要求行政机关确认或重新出具已获取信息</w:t>
            </w:r>
          </w:p>
        </w:tc>
        <w:tc>
          <w:tcPr>
            <w:tcW w:w="829" w:type="dxa"/>
            <w:noWrap w:val="0"/>
            <w:tcMar>
              <w:left w:w="108" w:type="dxa"/>
              <w:right w:w="108" w:type="dxa"/>
            </w:tcMar>
            <w:vAlign w:val="center"/>
          </w:tcPr>
          <w:p w14:paraId="29F3734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DB86F1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A6542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F94FA5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2A10776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129C16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314B64B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0D3EC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CCB0C8D">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3CCA3AB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color w:val="000000"/>
                <w:kern w:val="0"/>
                <w:szCs w:val="21"/>
              </w:rPr>
            </w:pPr>
            <w:r>
              <w:rPr>
                <w:rFonts w:hint="eastAsia" w:ascii="Times New Roman" w:hAnsi="Times New Roman" w:eastAsia="黑体"/>
                <w:color w:val="000000"/>
                <w:kern w:val="0"/>
                <w:szCs w:val="21"/>
              </w:rPr>
              <w:t>（六）其他处理</w:t>
            </w:r>
          </w:p>
        </w:tc>
        <w:tc>
          <w:tcPr>
            <w:tcW w:w="2976" w:type="dxa"/>
            <w:noWrap w:val="0"/>
            <w:vAlign w:val="center"/>
          </w:tcPr>
          <w:p w14:paraId="10C05AB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rPr>
            </w:pPr>
            <w:r>
              <w:rPr>
                <w:rFonts w:hint="eastAsia" w:ascii="Times New Roman" w:hAnsi="Times New Roman" w:eastAsia="仿宋_GB2312"/>
                <w:color w:val="000000"/>
              </w:rPr>
              <w:t>1.申请人无正当理由逾期不补正、行政机关不再处理其政府信息公开申请</w:t>
            </w:r>
          </w:p>
        </w:tc>
        <w:tc>
          <w:tcPr>
            <w:tcW w:w="829" w:type="dxa"/>
            <w:noWrap w:val="0"/>
            <w:tcMar>
              <w:left w:w="108" w:type="dxa"/>
              <w:right w:w="108" w:type="dxa"/>
            </w:tcMar>
            <w:vAlign w:val="center"/>
          </w:tcPr>
          <w:p w14:paraId="173C035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FB5623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50F992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90BE6C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3A3F0E2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078A2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A955E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313AF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3092D6F">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5B2563C9">
            <w:pPr>
              <w:widowControl/>
              <w:spacing w:line="300" w:lineRule="exact"/>
              <w:rPr>
                <w:rFonts w:ascii="Times New Roman" w:hAnsi="Times New Roman" w:eastAsia="黑体"/>
                <w:color w:val="000000"/>
                <w:kern w:val="0"/>
                <w:szCs w:val="21"/>
              </w:rPr>
            </w:pPr>
          </w:p>
        </w:tc>
        <w:tc>
          <w:tcPr>
            <w:tcW w:w="2976" w:type="dxa"/>
            <w:noWrap w:val="0"/>
            <w:vAlign w:val="center"/>
          </w:tcPr>
          <w:p w14:paraId="3B0B62D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rPr>
              <w:t>2.申请人逾期未按收费通知要求缴纳费用、行政机关不再处理其政府信息公开申请</w:t>
            </w:r>
          </w:p>
        </w:tc>
        <w:tc>
          <w:tcPr>
            <w:tcW w:w="829" w:type="dxa"/>
            <w:noWrap w:val="0"/>
            <w:tcMar>
              <w:left w:w="108" w:type="dxa"/>
              <w:right w:w="108" w:type="dxa"/>
            </w:tcMar>
            <w:vAlign w:val="center"/>
          </w:tcPr>
          <w:p w14:paraId="4DBE19C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F813F3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DEA2B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33C1CF7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791C831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477876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13085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75C6C2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479717D">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7AAEF200">
            <w:pPr>
              <w:widowControl/>
              <w:spacing w:line="300" w:lineRule="exact"/>
              <w:rPr>
                <w:rFonts w:ascii="Times New Roman" w:hAnsi="Times New Roman" w:eastAsia="黑体"/>
                <w:color w:val="000000"/>
                <w:kern w:val="0"/>
                <w:szCs w:val="21"/>
              </w:rPr>
            </w:pPr>
          </w:p>
        </w:tc>
        <w:tc>
          <w:tcPr>
            <w:tcW w:w="2976" w:type="dxa"/>
            <w:noWrap w:val="0"/>
            <w:vAlign w:val="center"/>
          </w:tcPr>
          <w:p w14:paraId="18590D3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rPr>
              <w:t>3.其他</w:t>
            </w:r>
          </w:p>
        </w:tc>
        <w:tc>
          <w:tcPr>
            <w:tcW w:w="829" w:type="dxa"/>
            <w:noWrap w:val="0"/>
            <w:tcMar>
              <w:left w:w="108" w:type="dxa"/>
              <w:right w:w="108" w:type="dxa"/>
            </w:tcMar>
            <w:vAlign w:val="center"/>
          </w:tcPr>
          <w:p w14:paraId="11B4D75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E1B666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F2683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0F8ED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478793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23481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A2A9FB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43A1C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A334E7B">
            <w:pPr>
              <w:rPr>
                <w:rFonts w:ascii="Times New Roman" w:hAnsi="Times New Roman" w:eastAsia="黑体"/>
                <w:color w:val="000000"/>
                <w:szCs w:val="21"/>
              </w:rPr>
            </w:pPr>
          </w:p>
        </w:tc>
        <w:tc>
          <w:tcPr>
            <w:tcW w:w="4677" w:type="dxa"/>
            <w:gridSpan w:val="2"/>
            <w:noWrap w:val="0"/>
            <w:tcMar>
              <w:left w:w="108" w:type="dxa"/>
              <w:right w:w="108" w:type="dxa"/>
            </w:tcMar>
            <w:vAlign w:val="center"/>
          </w:tcPr>
          <w:p w14:paraId="4E9F9CE9">
            <w:pPr>
              <w:widowControl/>
              <w:spacing w:line="300" w:lineRule="exact"/>
              <w:rPr>
                <w:rFonts w:ascii="Times New Roman" w:hAnsi="Times New Roman" w:eastAsia="黑体"/>
                <w:color w:val="000000"/>
                <w:kern w:val="0"/>
                <w:szCs w:val="21"/>
              </w:rPr>
            </w:pPr>
            <w:r>
              <w:rPr>
                <w:rFonts w:hint="eastAsia" w:ascii="Times New Roman" w:hAnsi="Times New Roman" w:eastAsia="黑体"/>
                <w:color w:val="000000"/>
                <w:kern w:val="0"/>
                <w:szCs w:val="21"/>
              </w:rPr>
              <w:t>（七）总计</w:t>
            </w:r>
          </w:p>
        </w:tc>
        <w:tc>
          <w:tcPr>
            <w:tcW w:w="829" w:type="dxa"/>
            <w:noWrap w:val="0"/>
            <w:tcMar>
              <w:left w:w="108" w:type="dxa"/>
              <w:right w:w="108" w:type="dxa"/>
            </w:tcMar>
            <w:vAlign w:val="center"/>
          </w:tcPr>
          <w:p w14:paraId="7603CE7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1</w:t>
            </w:r>
          </w:p>
        </w:tc>
        <w:tc>
          <w:tcPr>
            <w:tcW w:w="567" w:type="dxa"/>
            <w:noWrap w:val="0"/>
            <w:tcMar>
              <w:left w:w="108" w:type="dxa"/>
              <w:right w:w="108" w:type="dxa"/>
            </w:tcMar>
            <w:vAlign w:val="center"/>
          </w:tcPr>
          <w:p w14:paraId="578BF42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FA23C0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588155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4B80C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8933D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331F92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1</w:t>
            </w:r>
          </w:p>
        </w:tc>
      </w:tr>
      <w:tr w14:paraId="14DC3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6F635133">
            <w:pPr>
              <w:widowControl/>
              <w:spacing w:line="300" w:lineRule="exact"/>
              <w:rPr>
                <w:rFonts w:ascii="Times New Roman" w:hAnsi="Times New Roman" w:eastAsia="黑体"/>
                <w:color w:val="000000"/>
                <w:kern w:val="0"/>
                <w:szCs w:val="21"/>
              </w:rPr>
            </w:pPr>
            <w:r>
              <w:rPr>
                <w:rFonts w:hint="eastAsia" w:ascii="Times New Roman" w:hAnsi="Times New Roman" w:eastAsia="黑体"/>
                <w:color w:val="000000"/>
                <w:kern w:val="0"/>
                <w:szCs w:val="21"/>
              </w:rPr>
              <w:t>四、结转下年度继续办理</w:t>
            </w:r>
          </w:p>
        </w:tc>
        <w:tc>
          <w:tcPr>
            <w:tcW w:w="829" w:type="dxa"/>
            <w:noWrap w:val="0"/>
            <w:tcMar>
              <w:left w:w="108" w:type="dxa"/>
              <w:right w:w="108" w:type="dxa"/>
            </w:tcMar>
            <w:vAlign w:val="center"/>
          </w:tcPr>
          <w:p w14:paraId="18A5FBA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eastAsia="仿宋_GB2312"/>
                <w:color w:val="000000"/>
                <w:szCs w:val="21"/>
                <w:lang w:val="en-US" w:eastAsia="zh-CN"/>
              </w:rPr>
              <w:t>1</w:t>
            </w:r>
          </w:p>
        </w:tc>
        <w:tc>
          <w:tcPr>
            <w:tcW w:w="567" w:type="dxa"/>
            <w:noWrap w:val="0"/>
            <w:tcMar>
              <w:left w:w="108" w:type="dxa"/>
              <w:right w:w="108" w:type="dxa"/>
            </w:tcMar>
            <w:vAlign w:val="center"/>
          </w:tcPr>
          <w:p w14:paraId="4276749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FB2E8F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5821877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2854C4B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21B636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6D3AF4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eastAsia="仿宋_GB2312"/>
                <w:color w:val="000000"/>
                <w:szCs w:val="21"/>
                <w:lang w:val="en-US" w:eastAsia="zh-CN"/>
              </w:rPr>
              <w:t>1</w:t>
            </w:r>
          </w:p>
        </w:tc>
      </w:tr>
    </w:tbl>
    <w:p w14:paraId="6BCBC939">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eastAsia="方正黑体简体" w:cs="Times New Roman"/>
          <w:b w:val="0"/>
          <w:bCs/>
          <w:i/>
          <w:iCs/>
          <w:color w:val="000000"/>
          <w:sz w:val="32"/>
          <w:szCs w:val="32"/>
          <w:lang w:eastAsia="zh-CN"/>
        </w:rPr>
      </w:pPr>
      <w:r>
        <w:rPr>
          <w:rFonts w:eastAsia="方正黑体简体"/>
          <w:b/>
          <w:color w:val="000000"/>
          <w:sz w:val="32"/>
          <w:szCs w:val="32"/>
        </w:rPr>
        <w:t>四、政府信息公开行政复议、行政诉讼情况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5E592A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F8D8785">
            <w:pPr>
              <w:widowControl/>
              <w:jc w:val="center"/>
              <w:rPr>
                <w:rFonts w:ascii="黑体" w:hAnsi="黑体" w:eastAsia="黑体"/>
                <w:color w:val="000000"/>
              </w:rPr>
            </w:pPr>
            <w:r>
              <w:rPr>
                <w:rFonts w:ascii="黑体" w:hAnsi="黑体" w:eastAsia="黑体"/>
                <w:color w:val="00000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4D5D4144">
            <w:pPr>
              <w:widowControl/>
              <w:jc w:val="center"/>
              <w:rPr>
                <w:rFonts w:ascii="黑体" w:hAnsi="黑体" w:eastAsia="黑体"/>
                <w:color w:val="000000"/>
              </w:rPr>
            </w:pPr>
            <w:r>
              <w:rPr>
                <w:rFonts w:ascii="黑体" w:hAnsi="黑体" w:eastAsia="黑体"/>
                <w:color w:val="000000"/>
                <w:kern w:val="0"/>
                <w:sz w:val="20"/>
                <w:szCs w:val="20"/>
              </w:rPr>
              <w:t>行政诉讼</w:t>
            </w:r>
          </w:p>
        </w:tc>
      </w:tr>
      <w:tr w14:paraId="0F1FC1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tcBorders>
              <w:top w:val="nil"/>
              <w:left w:val="single" w:color="auto" w:sz="8" w:space="0"/>
              <w:bottom w:val="single" w:color="auto" w:sz="4" w:space="0"/>
              <w:right w:val="single" w:color="auto" w:sz="8" w:space="0"/>
            </w:tcBorders>
            <w:noWrap w:val="0"/>
            <w:tcMar>
              <w:left w:w="108" w:type="dxa"/>
              <w:right w:w="108" w:type="dxa"/>
            </w:tcMar>
            <w:vAlign w:val="center"/>
          </w:tcPr>
          <w:p w14:paraId="0F286764">
            <w:pPr>
              <w:widowControl/>
              <w:ind w:left="-149" w:leftChars="-71" w:right="-170" w:rightChars="-81"/>
              <w:jc w:val="center"/>
              <w:rPr>
                <w:rFonts w:ascii="黑体" w:hAnsi="黑体" w:eastAsia="黑体"/>
                <w:color w:val="000000"/>
                <w:kern w:val="0"/>
                <w:sz w:val="20"/>
                <w:szCs w:val="20"/>
              </w:rPr>
            </w:pPr>
            <w:r>
              <w:rPr>
                <w:rFonts w:ascii="黑体" w:hAnsi="黑体" w:eastAsia="黑体"/>
                <w:color w:val="000000"/>
                <w:kern w:val="0"/>
                <w:sz w:val="20"/>
                <w:szCs w:val="20"/>
              </w:rPr>
              <w:t>结果</w:t>
            </w:r>
          </w:p>
          <w:p w14:paraId="58149957">
            <w:pPr>
              <w:widowControl/>
              <w:ind w:left="-149" w:leftChars="-71" w:right="-170" w:rightChars="-81"/>
              <w:jc w:val="center"/>
              <w:rPr>
                <w:rFonts w:ascii="黑体" w:hAnsi="黑体" w:eastAsia="黑体"/>
                <w:color w:val="000000"/>
              </w:rPr>
            </w:pPr>
            <w:r>
              <w:rPr>
                <w:rFonts w:ascii="黑体" w:hAnsi="黑体" w:eastAsia="黑体"/>
                <w:color w:val="000000"/>
                <w:kern w:val="0"/>
                <w:sz w:val="20"/>
                <w:szCs w:val="20"/>
              </w:rPr>
              <w:t>维持</w:t>
            </w:r>
          </w:p>
        </w:tc>
        <w:tc>
          <w:tcPr>
            <w:tcW w:w="604" w:type="dxa"/>
            <w:tcBorders>
              <w:top w:val="nil"/>
              <w:left w:val="nil"/>
              <w:bottom w:val="single" w:color="auto" w:sz="4" w:space="0"/>
              <w:right w:val="single" w:color="auto" w:sz="8" w:space="0"/>
            </w:tcBorders>
            <w:noWrap w:val="0"/>
            <w:tcMar>
              <w:left w:w="108" w:type="dxa"/>
              <w:right w:w="108" w:type="dxa"/>
            </w:tcMar>
            <w:vAlign w:val="center"/>
          </w:tcPr>
          <w:p w14:paraId="6F12B1F0">
            <w:pPr>
              <w:widowControl/>
              <w:ind w:left="-43" w:leftChars="-21" w:right="-132" w:rightChars="-63" w:hanging="1"/>
              <w:jc w:val="center"/>
              <w:rPr>
                <w:rFonts w:ascii="黑体" w:hAnsi="黑体" w:eastAsia="黑体"/>
                <w:color w:val="000000"/>
              </w:rPr>
            </w:pPr>
            <w:r>
              <w:rPr>
                <w:rFonts w:ascii="黑体" w:hAnsi="黑体" w:eastAsia="黑体"/>
                <w:color w:val="000000"/>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63A8CEC">
            <w:pPr>
              <w:widowControl/>
              <w:ind w:left="-82" w:leftChars="-39" w:right="-97" w:rightChars="-46"/>
              <w:jc w:val="center"/>
              <w:rPr>
                <w:rFonts w:ascii="黑体" w:hAnsi="黑体" w:eastAsia="黑体"/>
                <w:color w:val="000000"/>
              </w:rPr>
            </w:pPr>
            <w:r>
              <w:rPr>
                <w:rFonts w:ascii="黑体" w:hAnsi="黑体" w:eastAsia="黑体"/>
                <w:color w:val="000000"/>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5909FD5">
            <w:pPr>
              <w:widowControl/>
              <w:ind w:left="-118" w:leftChars="-56" w:right="-118" w:rightChars="-56"/>
              <w:jc w:val="center"/>
              <w:rPr>
                <w:rFonts w:ascii="黑体" w:hAnsi="黑体" w:eastAsia="黑体"/>
                <w:color w:val="000000"/>
                <w:kern w:val="0"/>
                <w:sz w:val="20"/>
                <w:szCs w:val="20"/>
              </w:rPr>
            </w:pPr>
            <w:r>
              <w:rPr>
                <w:rFonts w:ascii="黑体" w:hAnsi="黑体" w:eastAsia="黑体"/>
                <w:color w:val="000000"/>
                <w:kern w:val="0"/>
                <w:sz w:val="20"/>
                <w:szCs w:val="20"/>
              </w:rPr>
              <w:t>尚未</w:t>
            </w:r>
          </w:p>
          <w:p w14:paraId="1FB05157">
            <w:pPr>
              <w:widowControl/>
              <w:ind w:left="-118" w:leftChars="-56" w:right="-118" w:rightChars="-56"/>
              <w:jc w:val="center"/>
              <w:rPr>
                <w:rFonts w:ascii="黑体" w:hAnsi="黑体" w:eastAsia="黑体"/>
                <w:color w:val="000000"/>
              </w:rPr>
            </w:pPr>
            <w:r>
              <w:rPr>
                <w:rFonts w:ascii="黑体" w:hAnsi="黑体" w:eastAsia="黑体"/>
                <w:color w:val="000000"/>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2BA984A">
            <w:pPr>
              <w:widowControl/>
              <w:spacing w:line="320" w:lineRule="exact"/>
              <w:jc w:val="center"/>
              <w:rPr>
                <w:rFonts w:ascii="黑体" w:hAnsi="黑体" w:eastAsia="黑体"/>
                <w:color w:val="000000"/>
                <w:kern w:val="0"/>
                <w:sz w:val="20"/>
                <w:szCs w:val="20"/>
              </w:rPr>
            </w:pPr>
            <w:r>
              <w:rPr>
                <w:rFonts w:ascii="黑体" w:hAnsi="黑体" w:eastAsia="黑体"/>
                <w:color w:val="000000"/>
                <w:kern w:val="0"/>
                <w:sz w:val="20"/>
                <w:szCs w:val="20"/>
              </w:rPr>
              <w:t>总</w:t>
            </w:r>
          </w:p>
          <w:p w14:paraId="21E07552">
            <w:pPr>
              <w:widowControl/>
              <w:spacing w:line="320" w:lineRule="exact"/>
              <w:jc w:val="center"/>
              <w:rPr>
                <w:rFonts w:ascii="黑体" w:hAnsi="黑体" w:eastAsia="黑体"/>
                <w:color w:val="000000"/>
              </w:rPr>
            </w:pPr>
            <w:r>
              <w:rPr>
                <w:rFonts w:ascii="黑体" w:hAnsi="黑体" w:eastAsia="黑体"/>
                <w:color w:val="000000"/>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45C16F36">
            <w:pPr>
              <w:widowControl/>
              <w:jc w:val="center"/>
              <w:rPr>
                <w:rFonts w:ascii="黑体" w:hAnsi="黑体" w:eastAsia="黑体"/>
                <w:color w:val="000000"/>
              </w:rPr>
            </w:pPr>
            <w:r>
              <w:rPr>
                <w:rFonts w:ascii="黑体" w:hAnsi="黑体" w:eastAsia="黑体"/>
                <w:color w:val="00000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3D543490">
            <w:pPr>
              <w:widowControl/>
              <w:jc w:val="center"/>
              <w:rPr>
                <w:rFonts w:ascii="黑体" w:hAnsi="黑体" w:eastAsia="黑体"/>
                <w:color w:val="000000"/>
              </w:rPr>
            </w:pPr>
            <w:bookmarkStart w:id="0" w:name="_Hlk67039688"/>
            <w:r>
              <w:rPr>
                <w:rFonts w:ascii="黑体" w:hAnsi="黑体" w:eastAsia="黑体"/>
                <w:color w:val="000000"/>
                <w:kern w:val="0"/>
                <w:sz w:val="20"/>
                <w:szCs w:val="20"/>
              </w:rPr>
              <w:t>复议后起诉</w:t>
            </w:r>
            <w:bookmarkEnd w:id="0"/>
          </w:p>
        </w:tc>
      </w:tr>
      <w:tr w14:paraId="664B8A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14:paraId="4E15BBB6">
            <w:pPr>
              <w:rPr>
                <w:rFonts w:ascii="黑体" w:hAnsi="黑体" w:eastAsia="黑体"/>
                <w:color w:val="000000"/>
                <w:sz w:val="24"/>
              </w:rPr>
            </w:pPr>
          </w:p>
        </w:tc>
        <w:tc>
          <w:tcPr>
            <w:tcW w:w="604" w:type="dxa"/>
            <w:tcBorders>
              <w:top w:val="single" w:color="auto" w:sz="4" w:space="0"/>
              <w:left w:val="nil"/>
              <w:bottom w:val="single" w:color="auto" w:sz="8" w:space="0"/>
              <w:right w:val="single" w:color="auto" w:sz="8" w:space="0"/>
            </w:tcBorders>
            <w:noWrap w:val="0"/>
            <w:tcMar>
              <w:left w:w="108" w:type="dxa"/>
              <w:right w:w="108" w:type="dxa"/>
            </w:tcMar>
            <w:vAlign w:val="center"/>
          </w:tcPr>
          <w:p w14:paraId="56D58875">
            <w:pPr>
              <w:rPr>
                <w:rFonts w:ascii="黑体" w:hAnsi="黑体" w:eastAsia="黑体"/>
                <w:color w:val="00000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D140CC3">
            <w:pPr>
              <w:rPr>
                <w:rFonts w:ascii="黑体" w:hAnsi="黑体" w:eastAsia="黑体"/>
                <w:color w:val="00000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9B05822">
            <w:pPr>
              <w:rPr>
                <w:rFonts w:ascii="黑体" w:hAnsi="黑体" w:eastAsia="黑体"/>
                <w:color w:val="000000"/>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BCA0AF0">
            <w:pPr>
              <w:rPr>
                <w:rFonts w:ascii="黑体" w:hAnsi="黑体" w:eastAsia="黑体"/>
                <w:color w:val="000000"/>
                <w:sz w:val="24"/>
              </w:rPr>
            </w:pPr>
          </w:p>
        </w:tc>
        <w:tc>
          <w:tcPr>
            <w:tcW w:w="550" w:type="dxa"/>
            <w:tcBorders>
              <w:top w:val="single" w:color="auto" w:sz="4" w:space="0"/>
              <w:left w:val="nil"/>
              <w:bottom w:val="single" w:color="auto" w:sz="8" w:space="0"/>
              <w:right w:val="single" w:color="auto" w:sz="8" w:space="0"/>
            </w:tcBorders>
            <w:noWrap w:val="0"/>
            <w:tcMar>
              <w:left w:w="108" w:type="dxa"/>
              <w:right w:w="108" w:type="dxa"/>
            </w:tcMar>
            <w:vAlign w:val="center"/>
          </w:tcPr>
          <w:p w14:paraId="5A80F99F">
            <w:pPr>
              <w:widowControl/>
              <w:ind w:left="-105" w:leftChars="-50" w:right="-126" w:rightChars="-60"/>
              <w:jc w:val="center"/>
              <w:rPr>
                <w:rFonts w:ascii="黑体" w:hAnsi="黑体" w:eastAsia="黑体"/>
                <w:color w:val="000000"/>
              </w:rPr>
            </w:pPr>
            <w:r>
              <w:rPr>
                <w:rFonts w:ascii="黑体" w:hAnsi="黑体" w:eastAsia="黑体"/>
                <w:color w:val="000000"/>
                <w:kern w:val="0"/>
                <w:sz w:val="20"/>
                <w:szCs w:val="20"/>
              </w:rPr>
              <w:t>结果维持</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4525620A">
            <w:pPr>
              <w:widowControl/>
              <w:ind w:left="-86" w:leftChars="-41" w:right="-88" w:rightChars="-42"/>
              <w:jc w:val="center"/>
              <w:rPr>
                <w:rFonts w:ascii="黑体" w:hAnsi="黑体" w:eastAsia="黑体"/>
                <w:color w:val="000000"/>
              </w:rPr>
            </w:pPr>
            <w:r>
              <w:rPr>
                <w:rFonts w:ascii="黑体" w:hAnsi="黑体" w:eastAsia="黑体"/>
                <w:color w:val="000000"/>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4C5D641">
            <w:pPr>
              <w:widowControl/>
              <w:ind w:left="-126" w:leftChars="-60" w:right="-136" w:rightChars="-65"/>
              <w:jc w:val="center"/>
              <w:rPr>
                <w:rFonts w:ascii="黑体" w:hAnsi="黑体" w:eastAsia="黑体"/>
                <w:color w:val="000000"/>
                <w:kern w:val="0"/>
                <w:sz w:val="20"/>
                <w:szCs w:val="20"/>
              </w:rPr>
            </w:pPr>
            <w:r>
              <w:rPr>
                <w:rFonts w:ascii="黑体" w:hAnsi="黑体" w:eastAsia="黑体"/>
                <w:color w:val="000000"/>
                <w:kern w:val="0"/>
                <w:sz w:val="20"/>
                <w:szCs w:val="20"/>
              </w:rPr>
              <w:t>其他</w:t>
            </w:r>
          </w:p>
          <w:p w14:paraId="51AB615C">
            <w:pPr>
              <w:widowControl/>
              <w:ind w:left="-126" w:leftChars="-60" w:right="-136" w:rightChars="-65"/>
              <w:jc w:val="center"/>
              <w:rPr>
                <w:rFonts w:ascii="黑体" w:hAnsi="黑体" w:eastAsia="黑体"/>
                <w:color w:val="000000"/>
              </w:rPr>
            </w:pPr>
            <w:r>
              <w:rPr>
                <w:rFonts w:ascii="黑体" w:hAnsi="黑体" w:eastAsia="黑体"/>
                <w:color w:val="000000"/>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A6AF46B">
            <w:pPr>
              <w:widowControl/>
              <w:ind w:left="-164" w:leftChars="-78" w:right="-153" w:rightChars="-73"/>
              <w:jc w:val="center"/>
              <w:rPr>
                <w:rFonts w:ascii="黑体" w:hAnsi="黑体" w:eastAsia="黑体"/>
                <w:color w:val="000000"/>
                <w:kern w:val="0"/>
                <w:sz w:val="20"/>
                <w:szCs w:val="20"/>
              </w:rPr>
            </w:pPr>
            <w:r>
              <w:rPr>
                <w:rFonts w:ascii="黑体" w:hAnsi="黑体" w:eastAsia="黑体"/>
                <w:color w:val="000000"/>
                <w:kern w:val="0"/>
                <w:sz w:val="20"/>
                <w:szCs w:val="20"/>
              </w:rPr>
              <w:t>尚未</w:t>
            </w:r>
          </w:p>
          <w:p w14:paraId="1082085D">
            <w:pPr>
              <w:widowControl/>
              <w:ind w:left="-164" w:leftChars="-78" w:right="-153" w:rightChars="-73"/>
              <w:jc w:val="center"/>
              <w:rPr>
                <w:rFonts w:ascii="黑体" w:hAnsi="黑体" w:eastAsia="黑体"/>
                <w:color w:val="000000"/>
              </w:rPr>
            </w:pPr>
            <w:r>
              <w:rPr>
                <w:rFonts w:ascii="黑体" w:hAnsi="黑体" w:eastAsia="黑体"/>
                <w:color w:val="000000"/>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EBA232F">
            <w:pPr>
              <w:widowControl/>
              <w:jc w:val="center"/>
              <w:rPr>
                <w:rFonts w:ascii="黑体" w:hAnsi="黑体" w:eastAsia="黑体"/>
                <w:color w:val="000000"/>
              </w:rPr>
            </w:pPr>
            <w:r>
              <w:rPr>
                <w:rFonts w:ascii="黑体" w:hAnsi="黑体" w:eastAsia="黑体"/>
                <w:color w:val="000000"/>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FB25944">
            <w:pPr>
              <w:widowControl/>
              <w:ind w:left="-99" w:leftChars="-47" w:right="-78" w:rightChars="-37"/>
              <w:jc w:val="center"/>
              <w:rPr>
                <w:rFonts w:ascii="黑体" w:hAnsi="黑体" w:eastAsia="黑体"/>
                <w:color w:val="000000"/>
              </w:rPr>
            </w:pPr>
            <w:r>
              <w:rPr>
                <w:rFonts w:ascii="黑体" w:hAnsi="黑体" w:eastAsia="黑体"/>
                <w:color w:val="000000"/>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2F6A0FB">
            <w:pPr>
              <w:widowControl/>
              <w:ind w:left="-136" w:leftChars="-65" w:right="-124" w:rightChars="-59"/>
              <w:jc w:val="center"/>
              <w:rPr>
                <w:rFonts w:ascii="黑体" w:hAnsi="黑体" w:eastAsia="黑体"/>
                <w:color w:val="000000"/>
                <w:kern w:val="0"/>
                <w:sz w:val="20"/>
                <w:szCs w:val="20"/>
              </w:rPr>
            </w:pPr>
            <w:r>
              <w:rPr>
                <w:rFonts w:ascii="黑体" w:hAnsi="黑体" w:eastAsia="黑体"/>
                <w:color w:val="000000"/>
                <w:kern w:val="0"/>
                <w:sz w:val="20"/>
                <w:szCs w:val="20"/>
              </w:rPr>
              <w:t>结果</w:t>
            </w:r>
          </w:p>
          <w:p w14:paraId="5319704C">
            <w:pPr>
              <w:widowControl/>
              <w:ind w:left="-136" w:leftChars="-65" w:right="-124" w:rightChars="-59"/>
              <w:jc w:val="center"/>
              <w:rPr>
                <w:rFonts w:ascii="黑体" w:hAnsi="黑体" w:eastAsia="黑体"/>
                <w:color w:val="000000"/>
              </w:rPr>
            </w:pPr>
            <w:r>
              <w:rPr>
                <w:rFonts w:ascii="黑体" w:hAnsi="黑体" w:eastAsia="黑体"/>
                <w:color w:val="000000"/>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2D72060">
            <w:pPr>
              <w:widowControl/>
              <w:ind w:left="-173" w:leftChars="-83" w:right="-134" w:rightChars="-64" w:hanging="1"/>
              <w:jc w:val="center"/>
              <w:rPr>
                <w:rFonts w:ascii="黑体" w:hAnsi="黑体" w:eastAsia="黑体"/>
                <w:color w:val="000000"/>
                <w:kern w:val="0"/>
                <w:sz w:val="20"/>
                <w:szCs w:val="20"/>
              </w:rPr>
            </w:pPr>
            <w:r>
              <w:rPr>
                <w:rFonts w:ascii="黑体" w:hAnsi="黑体" w:eastAsia="黑体"/>
                <w:color w:val="000000"/>
                <w:kern w:val="0"/>
                <w:sz w:val="20"/>
                <w:szCs w:val="20"/>
              </w:rPr>
              <w:t>其他</w:t>
            </w:r>
          </w:p>
          <w:p w14:paraId="6115897D">
            <w:pPr>
              <w:widowControl/>
              <w:ind w:left="-173" w:leftChars="-83" w:right="-134" w:rightChars="-64" w:hanging="1"/>
              <w:jc w:val="center"/>
              <w:rPr>
                <w:rFonts w:ascii="黑体" w:hAnsi="黑体" w:eastAsia="黑体"/>
                <w:color w:val="000000"/>
              </w:rPr>
            </w:pPr>
            <w:r>
              <w:rPr>
                <w:rFonts w:ascii="黑体" w:hAnsi="黑体" w:eastAsia="黑体"/>
                <w:color w:val="000000"/>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6A858F">
            <w:pPr>
              <w:widowControl/>
              <w:ind w:left="-67" w:leftChars="-33" w:right="-105" w:rightChars="-50" w:hanging="2" w:hangingChars="1"/>
              <w:jc w:val="center"/>
              <w:rPr>
                <w:rFonts w:ascii="黑体" w:hAnsi="黑体" w:eastAsia="黑体"/>
                <w:color w:val="000000"/>
              </w:rPr>
            </w:pPr>
            <w:r>
              <w:rPr>
                <w:rFonts w:ascii="黑体" w:hAnsi="黑体" w:eastAsia="黑体"/>
                <w:color w:val="000000"/>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785F5A1">
            <w:pPr>
              <w:widowControl/>
              <w:jc w:val="center"/>
              <w:rPr>
                <w:rFonts w:ascii="黑体" w:hAnsi="黑体" w:eastAsia="黑体"/>
                <w:color w:val="000000"/>
              </w:rPr>
            </w:pPr>
            <w:r>
              <w:rPr>
                <w:rFonts w:ascii="黑体" w:hAnsi="黑体" w:eastAsia="黑体"/>
                <w:color w:val="000000"/>
                <w:kern w:val="0"/>
                <w:sz w:val="20"/>
                <w:szCs w:val="20"/>
              </w:rPr>
              <w:t>总计</w:t>
            </w:r>
          </w:p>
        </w:tc>
      </w:tr>
      <w:tr w14:paraId="76C306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AC137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CB6F83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4333F3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1D523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0D63A8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4AFEE6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35219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3CA8B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827CDB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C1B61D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C33A45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D6E08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DF0939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76089FB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0D87464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r>
    </w:tbl>
    <w:p w14:paraId="00B178B8">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color w:val="000000"/>
          <w:sz w:val="32"/>
          <w:szCs w:val="32"/>
        </w:rPr>
      </w:pPr>
      <w:r>
        <w:rPr>
          <w:rFonts w:eastAsia="方正黑体简体"/>
          <w:b/>
          <w:color w:val="000000"/>
          <w:sz w:val="32"/>
          <w:szCs w:val="32"/>
        </w:rPr>
        <w:t>五、存在的主要问题及改进情况</w:t>
      </w:r>
    </w:p>
    <w:p w14:paraId="0578662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存在问题：</w:t>
      </w:r>
    </w:p>
    <w:p w14:paraId="4672BD8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i w:val="0"/>
          <w:iCs w:val="0"/>
          <w:caps w:val="0"/>
          <w:color w:val="000000"/>
          <w:spacing w:val="0"/>
          <w:sz w:val="32"/>
          <w:szCs w:val="32"/>
          <w:shd w:val="clear" w:fill="FFFFFF"/>
          <w:lang w:val="en-US" w:eastAsia="zh-CN"/>
        </w:rPr>
      </w:pPr>
      <w:r>
        <w:rPr>
          <w:rFonts w:hint="default" w:ascii="Times New Roman" w:hAnsi="Times New Roman" w:eastAsia="方正仿宋简体" w:cs="Times New Roman"/>
          <w:b/>
          <w:bCs w:val="0"/>
          <w:color w:val="000000"/>
          <w:sz w:val="32"/>
          <w:szCs w:val="32"/>
          <w:lang w:val="en-US" w:eastAsia="zh-CN"/>
        </w:rPr>
        <w:t>2024</w:t>
      </w:r>
      <w:r>
        <w:rPr>
          <w:rFonts w:hint="default" w:ascii="Times New Roman" w:hAnsi="Times New Roman" w:eastAsia="方正仿宋简体" w:cs="Times New Roman"/>
          <w:b/>
          <w:bCs w:val="0"/>
          <w:i w:val="0"/>
          <w:iCs w:val="0"/>
          <w:caps w:val="0"/>
          <w:color w:val="000000"/>
          <w:spacing w:val="0"/>
          <w:sz w:val="32"/>
          <w:szCs w:val="32"/>
          <w:shd w:val="clear" w:fill="FFFFFF"/>
        </w:rPr>
        <w:t>年，</w:t>
      </w:r>
      <w:r>
        <w:rPr>
          <w:rFonts w:hint="default" w:ascii="Times New Roman" w:hAnsi="Times New Roman" w:eastAsia="方正仿宋简体" w:cs="Times New Roman"/>
          <w:b/>
          <w:bCs w:val="0"/>
          <w:i w:val="0"/>
          <w:iCs w:val="0"/>
          <w:caps w:val="0"/>
          <w:color w:val="000000"/>
          <w:spacing w:val="0"/>
          <w:sz w:val="32"/>
          <w:szCs w:val="32"/>
          <w:shd w:val="clear" w:fill="FFFFFF"/>
          <w:lang w:eastAsia="zh-CN"/>
        </w:rPr>
        <w:t>区民政局</w:t>
      </w:r>
      <w:r>
        <w:rPr>
          <w:rFonts w:hint="default" w:ascii="Times New Roman" w:hAnsi="Times New Roman" w:eastAsia="方正仿宋简体" w:cs="Times New Roman"/>
          <w:b/>
          <w:bCs w:val="0"/>
          <w:i w:val="0"/>
          <w:iCs w:val="0"/>
          <w:caps w:val="0"/>
          <w:color w:val="000000"/>
          <w:spacing w:val="0"/>
          <w:sz w:val="32"/>
          <w:szCs w:val="32"/>
          <w:shd w:val="clear" w:fill="FFFFFF"/>
        </w:rPr>
        <w:t>严格贯彻落实《中华人民共和国政府信息公开条例》，认真完成取得了一定成效，但</w:t>
      </w:r>
      <w:r>
        <w:rPr>
          <w:rFonts w:hint="eastAsia" w:eastAsia="方正仿宋简体" w:cs="Times New Roman"/>
          <w:b/>
          <w:bCs w:val="0"/>
          <w:i w:val="0"/>
          <w:iCs w:val="0"/>
          <w:caps w:val="0"/>
          <w:color w:val="000000"/>
          <w:spacing w:val="0"/>
          <w:sz w:val="32"/>
          <w:szCs w:val="32"/>
          <w:shd w:val="clear" w:fill="FFFFFF"/>
          <w:lang w:eastAsia="zh-CN"/>
        </w:rPr>
        <w:t>也存在一些问题</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，主要表现为：</w:t>
      </w:r>
      <w:r>
        <w:rPr>
          <w:rFonts w:hint="eastAsia" w:ascii="Times New Roman" w:hAnsi="Times New Roman" w:eastAsia="方正仿宋简体" w:cs="Times New Roman"/>
          <w:b/>
          <w:bCs w:val="0"/>
          <w:i w:val="0"/>
          <w:iCs w:val="0"/>
          <w:caps w:val="0"/>
          <w:color w:val="000000"/>
          <w:spacing w:val="0"/>
          <w:sz w:val="32"/>
          <w:szCs w:val="32"/>
          <w:shd w:val="clear" w:fill="FFFFFF"/>
        </w:rPr>
        <w:t>一是部分信息发布还不够及时，失去了信息的时效性；</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二</w:t>
      </w:r>
      <w:r>
        <w:rPr>
          <w:rFonts w:hint="eastAsia" w:ascii="Times New Roman" w:hAnsi="Times New Roman" w:eastAsia="方正仿宋简体" w:cs="Times New Roman"/>
          <w:b/>
          <w:bCs w:val="0"/>
          <w:i w:val="0"/>
          <w:iCs w:val="0"/>
          <w:caps w:val="0"/>
          <w:color w:val="000000"/>
          <w:spacing w:val="0"/>
          <w:sz w:val="32"/>
          <w:szCs w:val="32"/>
          <w:shd w:val="clear" w:fill="FFFFFF"/>
        </w:rPr>
        <w:t>是公开内容需进一步深化，公开形式需进一步优化，信息公开的有效性、便民性需进一步提高</w:t>
      </w:r>
      <w:r>
        <w:rPr>
          <w:rFonts w:hint="default" w:ascii="Times New Roman" w:hAnsi="Times New Roman" w:eastAsia="方正仿宋简体" w:cs="Times New Roman"/>
          <w:b/>
          <w:bCs w:val="0"/>
          <w:i w:val="0"/>
          <w:iCs w:val="0"/>
          <w:caps w:val="0"/>
          <w:color w:val="000000"/>
          <w:spacing w:val="0"/>
          <w:sz w:val="32"/>
          <w:szCs w:val="32"/>
          <w:shd w:val="clear" w:fill="FFFFFF"/>
          <w:lang w:val="en-US" w:eastAsia="zh-CN"/>
        </w:rPr>
        <w:t>。</w:t>
      </w:r>
    </w:p>
    <w:p w14:paraId="7D253D5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2025年，将从以下几个方面重点改进：</w:t>
      </w:r>
    </w:p>
    <w:p w14:paraId="6B87342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val="0"/>
          <w:i w:val="0"/>
          <w:iCs w:val="0"/>
          <w:caps w:val="0"/>
          <w:color w:val="000000"/>
          <w:spacing w:val="0"/>
          <w:sz w:val="32"/>
          <w:szCs w:val="32"/>
          <w:shd w:val="clear" w:fill="FFFFFF"/>
        </w:rPr>
      </w:pP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区</w:t>
      </w:r>
      <w:r>
        <w:rPr>
          <w:rFonts w:hint="eastAsia" w:ascii="Times New Roman" w:hAnsi="Times New Roman" w:eastAsia="方正仿宋简体" w:cs="Times New Roman"/>
          <w:b/>
          <w:bCs w:val="0"/>
          <w:i w:val="0"/>
          <w:iCs w:val="0"/>
          <w:caps w:val="0"/>
          <w:color w:val="000000"/>
          <w:spacing w:val="0"/>
          <w:sz w:val="32"/>
          <w:szCs w:val="32"/>
          <w:shd w:val="clear" w:fill="FFFFFF"/>
        </w:rPr>
        <w:t>民政局将严格按照信息公开相关要求，持续深入推进政府信息公开工作</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w:t>
      </w:r>
      <w:r>
        <w:rPr>
          <w:rFonts w:hint="eastAsia" w:ascii="Times New Roman" w:hAnsi="Times New Roman" w:eastAsia="方正仿宋简体" w:cs="Times New Roman"/>
          <w:b/>
          <w:bCs w:val="0"/>
          <w:i w:val="0"/>
          <w:iCs w:val="0"/>
          <w:caps w:val="0"/>
          <w:color w:val="000000"/>
          <w:spacing w:val="0"/>
          <w:sz w:val="32"/>
          <w:szCs w:val="32"/>
          <w:shd w:val="clear" w:fill="FFFFFF"/>
        </w:rPr>
        <w:t>一是加强领导，健全</w:t>
      </w:r>
      <w:r>
        <w:rPr>
          <w:rFonts w:hint="eastAsia" w:eastAsia="方正仿宋简体" w:cs="Times New Roman"/>
          <w:b/>
          <w:bCs w:val="0"/>
          <w:i w:val="0"/>
          <w:iCs w:val="0"/>
          <w:caps w:val="0"/>
          <w:color w:val="000000"/>
          <w:spacing w:val="0"/>
          <w:sz w:val="32"/>
          <w:szCs w:val="32"/>
          <w:shd w:val="clear" w:fill="FFFFFF"/>
          <w:lang w:val="en-US" w:eastAsia="zh-CN"/>
        </w:rPr>
        <w:t>政府</w:t>
      </w:r>
      <w:r>
        <w:rPr>
          <w:rFonts w:hint="eastAsia" w:ascii="Times New Roman" w:hAnsi="Times New Roman" w:eastAsia="方正仿宋简体" w:cs="Times New Roman"/>
          <w:b/>
          <w:bCs w:val="0"/>
          <w:i w:val="0"/>
          <w:iCs w:val="0"/>
          <w:caps w:val="0"/>
          <w:color w:val="000000"/>
          <w:spacing w:val="0"/>
          <w:sz w:val="32"/>
          <w:szCs w:val="32"/>
          <w:shd w:val="clear" w:fill="FFFFFF"/>
        </w:rPr>
        <w:t>信息更新机制，加大</w:t>
      </w:r>
      <w:r>
        <w:rPr>
          <w:rFonts w:hint="eastAsia" w:eastAsia="方正仿宋简体" w:cs="Times New Roman"/>
          <w:b/>
          <w:bCs w:val="0"/>
          <w:i w:val="0"/>
          <w:iCs w:val="0"/>
          <w:caps w:val="0"/>
          <w:color w:val="000000"/>
          <w:spacing w:val="0"/>
          <w:sz w:val="32"/>
          <w:szCs w:val="32"/>
          <w:shd w:val="clear" w:fill="FFFFFF"/>
          <w:lang w:val="en-US" w:eastAsia="zh-CN"/>
        </w:rPr>
        <w:t>政府</w:t>
      </w:r>
      <w:r>
        <w:rPr>
          <w:rFonts w:hint="eastAsia" w:ascii="Times New Roman" w:hAnsi="Times New Roman" w:eastAsia="方正仿宋简体" w:cs="Times New Roman"/>
          <w:b/>
          <w:bCs w:val="0"/>
          <w:i w:val="0"/>
          <w:iCs w:val="0"/>
          <w:caps w:val="0"/>
          <w:color w:val="000000"/>
          <w:spacing w:val="0"/>
          <w:sz w:val="32"/>
          <w:szCs w:val="32"/>
          <w:shd w:val="clear" w:fill="FFFFFF"/>
        </w:rPr>
        <w:t>信息更新力度，增强信息的时效性，信息公开做到及时、准确、全面</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w:t>
      </w:r>
      <w:r>
        <w:rPr>
          <w:rFonts w:hint="eastAsia" w:ascii="Times New Roman" w:hAnsi="Times New Roman" w:eastAsia="方正仿宋简体" w:cs="Times New Roman"/>
          <w:b/>
          <w:bCs w:val="0"/>
          <w:i w:val="0"/>
          <w:iCs w:val="0"/>
          <w:caps w:val="0"/>
          <w:color w:val="000000"/>
          <w:spacing w:val="0"/>
          <w:sz w:val="32"/>
          <w:szCs w:val="32"/>
          <w:shd w:val="clear" w:fill="FFFFFF"/>
        </w:rPr>
        <w:t>确保</w:t>
      </w:r>
      <w:r>
        <w:rPr>
          <w:rFonts w:hint="eastAsia" w:eastAsia="方正仿宋简体" w:cs="Times New Roman"/>
          <w:b/>
          <w:bCs w:val="0"/>
          <w:i w:val="0"/>
          <w:iCs w:val="0"/>
          <w:caps w:val="0"/>
          <w:color w:val="000000"/>
          <w:spacing w:val="0"/>
          <w:sz w:val="32"/>
          <w:szCs w:val="32"/>
          <w:shd w:val="clear" w:fill="FFFFFF"/>
          <w:lang w:val="en-US" w:eastAsia="zh-CN"/>
        </w:rPr>
        <w:t>政府</w:t>
      </w:r>
      <w:r>
        <w:rPr>
          <w:rFonts w:hint="eastAsia" w:ascii="Times New Roman" w:hAnsi="Times New Roman" w:eastAsia="方正仿宋简体" w:cs="Times New Roman"/>
          <w:b/>
          <w:bCs w:val="0"/>
          <w:i w:val="0"/>
          <w:iCs w:val="0"/>
          <w:caps w:val="0"/>
          <w:color w:val="000000"/>
          <w:spacing w:val="0"/>
          <w:sz w:val="32"/>
          <w:szCs w:val="32"/>
          <w:shd w:val="clear" w:fill="FFFFFF"/>
        </w:rPr>
        <w:t>信息生成与发布保持同步。</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二</w:t>
      </w:r>
      <w:r>
        <w:rPr>
          <w:rFonts w:hint="eastAsia" w:ascii="Times New Roman" w:hAnsi="Times New Roman" w:eastAsia="方正仿宋简体" w:cs="Times New Roman"/>
          <w:b/>
          <w:bCs w:val="0"/>
          <w:i w:val="0"/>
          <w:iCs w:val="0"/>
          <w:caps w:val="0"/>
          <w:color w:val="000000"/>
          <w:spacing w:val="0"/>
          <w:sz w:val="32"/>
          <w:szCs w:val="32"/>
          <w:shd w:val="clear" w:fill="FFFFFF"/>
        </w:rPr>
        <w:t>是提高信息质量</w:t>
      </w:r>
      <w:r>
        <w:rPr>
          <w:rFonts w:hint="eastAsia" w:eastAsia="方正仿宋简体" w:cs="Times New Roman"/>
          <w:b/>
          <w:bCs w:val="0"/>
          <w:i w:val="0"/>
          <w:iCs w:val="0"/>
          <w:caps w:val="0"/>
          <w:color w:val="000000"/>
          <w:spacing w:val="0"/>
          <w:sz w:val="32"/>
          <w:szCs w:val="32"/>
          <w:shd w:val="clear" w:fill="FFFFFF"/>
          <w:lang w:eastAsia="zh-CN"/>
        </w:rPr>
        <w:t>，</w:t>
      </w:r>
      <w:r>
        <w:rPr>
          <w:rFonts w:hint="eastAsia" w:ascii="Times New Roman" w:hAnsi="Times New Roman" w:eastAsia="方正仿宋简体" w:cs="Times New Roman"/>
          <w:b/>
          <w:bCs w:val="0"/>
          <w:i w:val="0"/>
          <w:iCs w:val="0"/>
          <w:caps w:val="0"/>
          <w:color w:val="000000"/>
          <w:spacing w:val="0"/>
          <w:sz w:val="32"/>
          <w:szCs w:val="32"/>
          <w:shd w:val="clear" w:fill="FFFFFF"/>
        </w:rPr>
        <w:t>增强信息的针对性，围绕工作重点、创新，重点反映难点、痛点问题。加强信息内容的提炼和升华，使政府信息公开内容在精度、广度方面进一步提高。</w:t>
      </w:r>
    </w:p>
    <w:p w14:paraId="63A339D0">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eastAsia="方正黑体简体"/>
          <w:b/>
          <w:color w:val="000000"/>
          <w:sz w:val="32"/>
          <w:szCs w:val="32"/>
        </w:rPr>
      </w:pPr>
      <w:r>
        <w:rPr>
          <w:rFonts w:eastAsia="方正黑体简体"/>
          <w:b/>
          <w:color w:val="000000"/>
          <w:sz w:val="32"/>
          <w:szCs w:val="32"/>
        </w:rPr>
        <w:t>六、其他需要报告的事项</w:t>
      </w:r>
    </w:p>
    <w:p w14:paraId="5920A87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0D67E58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val="0"/>
          <w:i w:val="0"/>
          <w:iCs w:val="0"/>
          <w:caps w:val="0"/>
          <w:color w:val="000000"/>
          <w:spacing w:val="0"/>
          <w:sz w:val="32"/>
          <w:szCs w:val="32"/>
          <w:shd w:val="clear" w:fill="FFFFFF"/>
        </w:rPr>
      </w:pPr>
      <w:r>
        <w:rPr>
          <w:rFonts w:hint="eastAsia" w:ascii="Times New Roman" w:hAnsi="Times New Roman" w:eastAsia="方正仿宋简体" w:cs="Times New Roman"/>
          <w:b/>
          <w:bCs w:val="0"/>
          <w:i w:val="0"/>
          <w:iCs w:val="0"/>
          <w:caps w:val="0"/>
          <w:color w:val="000000"/>
          <w:spacing w:val="0"/>
          <w:sz w:val="32"/>
          <w:szCs w:val="32"/>
          <w:shd w:val="clear" w:fill="FFFFFF"/>
        </w:rPr>
        <w:t>202</w:t>
      </w:r>
      <w:r>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t>4</w:t>
      </w:r>
      <w:r>
        <w:rPr>
          <w:rFonts w:hint="eastAsia" w:ascii="Times New Roman" w:hAnsi="Times New Roman" w:eastAsia="方正仿宋简体" w:cs="Times New Roman"/>
          <w:b/>
          <w:bCs w:val="0"/>
          <w:i w:val="0"/>
          <w:iCs w:val="0"/>
          <w:caps w:val="0"/>
          <w:color w:val="000000"/>
          <w:spacing w:val="0"/>
          <w:sz w:val="32"/>
          <w:szCs w:val="32"/>
          <w:shd w:val="clear" w:fill="FFFFFF"/>
        </w:rPr>
        <w:t>年我局在政务公开工作中未收取信息公开信息处理费。</w:t>
      </w:r>
    </w:p>
    <w:p w14:paraId="4673FA2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46719FA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pPr>
      <w:r>
        <w:rPr>
          <w:rFonts w:hint="eastAsia" w:ascii="Times New Roman" w:hAnsi="Times New Roman" w:eastAsia="方正仿宋简体" w:cs="Times New Roman"/>
          <w:b/>
          <w:bCs w:val="0"/>
          <w:i w:val="0"/>
          <w:iCs w:val="0"/>
          <w:caps w:val="0"/>
          <w:color w:val="000000"/>
          <w:spacing w:val="0"/>
          <w:sz w:val="32"/>
          <w:szCs w:val="32"/>
          <w:shd w:val="clear" w:fill="FFFFFF"/>
        </w:rPr>
        <w:t>坚持把政务公开标准化、规范化建设作为年度政务公开重点工作，把政务公开的总体任务分解、细化、量化，明确落实到具体科室，制定《兖州区民政局2024年政务公开工作实施方案》</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w:t>
      </w:r>
      <w:r>
        <w:rPr>
          <w:rFonts w:hint="eastAsia" w:ascii="Times New Roman" w:hAnsi="Times New Roman" w:eastAsia="方正仿宋简体" w:cs="Times New Roman"/>
          <w:b/>
          <w:bCs w:val="0"/>
          <w:i w:val="0"/>
          <w:iCs w:val="0"/>
          <w:caps w:val="0"/>
          <w:color w:val="000000"/>
          <w:spacing w:val="0"/>
          <w:sz w:val="32"/>
          <w:szCs w:val="32"/>
          <w:shd w:val="clear" w:fill="FFFFFF"/>
        </w:rPr>
        <w:t>明确专人负责政府信息公开的日常运营与管理</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w:t>
      </w:r>
      <w:r>
        <w:rPr>
          <w:rFonts w:hint="eastAsia" w:ascii="Times New Roman" w:hAnsi="Times New Roman" w:eastAsia="方正仿宋简体" w:cs="Times New Roman"/>
          <w:b/>
          <w:bCs w:val="0"/>
          <w:i w:val="0"/>
          <w:iCs w:val="0"/>
          <w:caps w:val="0"/>
          <w:color w:val="000000"/>
          <w:spacing w:val="0"/>
          <w:sz w:val="32"/>
          <w:szCs w:val="32"/>
          <w:shd w:val="clear" w:fill="FFFFFF"/>
        </w:rPr>
        <w:t>围绕政务公开基础工作、政策解读、回应关切和公众参与、重点领域信息公开等重点内容，拓展公开深度和广度，全面推进基层政务公开</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工作</w:t>
      </w:r>
      <w:r>
        <w:rPr>
          <w:rFonts w:hint="eastAsia" w:ascii="Times New Roman" w:hAnsi="Times New Roman" w:eastAsia="方正仿宋简体" w:cs="Times New Roman"/>
          <w:b/>
          <w:bCs w:val="0"/>
          <w:i w:val="0"/>
          <w:iCs w:val="0"/>
          <w:caps w:val="0"/>
          <w:color w:val="000000"/>
          <w:spacing w:val="0"/>
          <w:sz w:val="32"/>
          <w:szCs w:val="32"/>
          <w:shd w:val="clear" w:fill="FFFFFF"/>
        </w:rPr>
        <w:t>常态化、标准化、规范化</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开展</w:t>
      </w:r>
      <w:r>
        <w:rPr>
          <w:rFonts w:hint="eastAsia" w:ascii="Times New Roman" w:hAnsi="Times New Roman" w:eastAsia="方正仿宋简体" w:cs="Times New Roman"/>
          <w:b/>
          <w:bCs w:val="0"/>
          <w:i w:val="0"/>
          <w:iCs w:val="0"/>
          <w:caps w:val="0"/>
          <w:color w:val="000000"/>
          <w:spacing w:val="0"/>
          <w:sz w:val="32"/>
          <w:szCs w:val="32"/>
          <w:shd w:val="clear" w:fill="FFFFFF"/>
        </w:rPr>
        <w:t>，不断提升政府信息公开工作质效，切实打通公开工作“最后一公里”。</w:t>
      </w:r>
    </w:p>
    <w:p w14:paraId="42DFAB3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70CFE11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eastAsia="方正仿宋简体"/>
          <w:b/>
          <w:sz w:val="32"/>
          <w:szCs w:val="32"/>
        </w:rPr>
        <w:t>202</w:t>
      </w:r>
      <w:r>
        <w:rPr>
          <w:rFonts w:hint="eastAsia" w:eastAsia="方正仿宋简体"/>
          <w:b/>
          <w:sz w:val="32"/>
          <w:szCs w:val="32"/>
          <w:lang w:val="en-US" w:eastAsia="zh-CN"/>
        </w:rPr>
        <w:t>4</w:t>
      </w:r>
      <w:r>
        <w:rPr>
          <w:rFonts w:hint="eastAsia" w:eastAsia="方正仿宋简体"/>
          <w:b/>
          <w:sz w:val="32"/>
          <w:szCs w:val="32"/>
        </w:rPr>
        <w:t>年，</w:t>
      </w:r>
      <w:r>
        <w:rPr>
          <w:rFonts w:hint="eastAsia" w:eastAsia="方正仿宋简体"/>
          <w:b/>
          <w:sz w:val="32"/>
          <w:szCs w:val="32"/>
          <w:lang w:eastAsia="zh-CN"/>
        </w:rPr>
        <w:t>区民政局</w:t>
      </w:r>
      <w:r>
        <w:rPr>
          <w:rFonts w:hint="eastAsia" w:eastAsia="方正仿宋简体"/>
          <w:b/>
          <w:sz w:val="32"/>
          <w:szCs w:val="32"/>
        </w:rPr>
        <w:t>共</w:t>
      </w:r>
      <w:r>
        <w:rPr>
          <w:rFonts w:hint="eastAsia" w:eastAsia="方正仿宋简体"/>
          <w:b/>
          <w:sz w:val="32"/>
          <w:szCs w:val="32"/>
          <w:lang w:val="en-US" w:eastAsia="zh-CN"/>
        </w:rPr>
        <w:t>收</w:t>
      </w:r>
      <w:r>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t>到</w:t>
      </w:r>
      <w:r>
        <w:rPr>
          <w:rFonts w:hint="eastAsia" w:ascii="Times New Roman" w:hAnsi="Times New Roman" w:eastAsia="方正仿宋简体" w:cs="Times New Roman"/>
          <w:b/>
          <w:bCs w:val="0"/>
          <w:i w:val="0"/>
          <w:iCs w:val="0"/>
          <w:caps w:val="0"/>
          <w:color w:val="000000"/>
          <w:spacing w:val="0"/>
          <w:sz w:val="32"/>
          <w:szCs w:val="32"/>
          <w:shd w:val="clear" w:fill="FFFFFF"/>
        </w:rPr>
        <w:t>人大议案</w:t>
      </w:r>
      <w:r>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t>3</w:t>
      </w:r>
      <w:r>
        <w:rPr>
          <w:rFonts w:hint="eastAsia" w:ascii="Times New Roman" w:hAnsi="Times New Roman" w:eastAsia="方正仿宋简体" w:cs="Times New Roman"/>
          <w:b/>
          <w:bCs w:val="0"/>
          <w:i w:val="0"/>
          <w:iCs w:val="0"/>
          <w:caps w:val="0"/>
          <w:color w:val="000000"/>
          <w:spacing w:val="0"/>
          <w:sz w:val="32"/>
          <w:szCs w:val="32"/>
          <w:shd w:val="clear" w:fill="FFFFFF"/>
        </w:rPr>
        <w:t>件、政协提案</w:t>
      </w:r>
      <w:r>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t>4</w:t>
      </w:r>
      <w:r>
        <w:rPr>
          <w:rFonts w:hint="eastAsia" w:ascii="Times New Roman" w:hAnsi="Times New Roman" w:eastAsia="方正仿宋简体" w:cs="Times New Roman"/>
          <w:b/>
          <w:bCs w:val="0"/>
          <w:i w:val="0"/>
          <w:iCs w:val="0"/>
          <w:caps w:val="0"/>
          <w:color w:val="000000"/>
          <w:spacing w:val="0"/>
          <w:sz w:val="32"/>
          <w:szCs w:val="32"/>
          <w:shd w:val="clear" w:fill="FFFFFF"/>
        </w:rPr>
        <w:t>件</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w:t>
      </w:r>
      <w:r>
        <w:rPr>
          <w:rFonts w:hint="eastAsia" w:ascii="Times New Roman" w:hAnsi="Times New Roman" w:eastAsia="方正仿宋简体" w:cs="Times New Roman"/>
          <w:b/>
          <w:bCs w:val="0"/>
          <w:i w:val="0"/>
          <w:iCs w:val="0"/>
          <w:caps w:val="0"/>
          <w:color w:val="000000"/>
          <w:spacing w:val="0"/>
          <w:sz w:val="32"/>
          <w:szCs w:val="32"/>
          <w:shd w:val="clear" w:fill="FFFFFF"/>
        </w:rPr>
        <w:t>办复率均为100%。严格按照《山东省人民政府办公厅关于做好人大代表建议和政协提案办理结果公开工作的通知》（鲁政办字〔2016〕63号）要求，除涉及国家秘密、工作秘密的，所有建议提案办理复文或摘要以及办理总体情况均在</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政府门户网站建议提案办理栏目</w:t>
      </w:r>
      <w:r>
        <w:rPr>
          <w:rFonts w:hint="eastAsia" w:ascii="Times New Roman" w:hAnsi="Times New Roman" w:eastAsia="方正仿宋简体" w:cs="Times New Roman"/>
          <w:b/>
          <w:bCs w:val="0"/>
          <w:i w:val="0"/>
          <w:iCs w:val="0"/>
          <w:caps w:val="0"/>
          <w:color w:val="000000"/>
          <w:spacing w:val="0"/>
          <w:sz w:val="32"/>
          <w:szCs w:val="32"/>
          <w:shd w:val="clear" w:fill="FFFFFF"/>
        </w:rPr>
        <w:t>专栏进行了集中公开</w:t>
      </w:r>
      <w:r>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t>。</w:t>
      </w:r>
    </w:p>
    <w:p w14:paraId="37FCDA6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（四）本行政机关年度政务公开工作创新情况</w:t>
      </w:r>
      <w:r>
        <w:rPr>
          <w:rFonts w:hint="eastAsia" w:eastAsia="方正楷体简体"/>
          <w:b/>
          <w:color w:val="000000"/>
          <w:sz w:val="32"/>
          <w:szCs w:val="32"/>
        </w:rPr>
        <w:t>：</w:t>
      </w:r>
    </w:p>
    <w:p w14:paraId="0099853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pPr>
      <w:r>
        <w:rPr>
          <w:rFonts w:hint="eastAsia" w:ascii="Times New Roman" w:hAnsi="Times New Roman" w:eastAsia="方正仿宋简体" w:cs="Times New Roman"/>
          <w:b/>
          <w:bCs w:val="0"/>
          <w:i w:val="0"/>
          <w:iCs w:val="0"/>
          <w:caps w:val="0"/>
          <w:color w:val="000000"/>
          <w:spacing w:val="0"/>
          <w:sz w:val="32"/>
          <w:szCs w:val="32"/>
          <w:shd w:val="clear" w:fill="FFFFFF"/>
        </w:rPr>
        <w:t>按照便利、实用、有效的原则</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区民政局积极创新政务公开新载体，以群众需求为着力点，坚持问题导向，依托区政府网站、信息公开专栏、“今兖州”平台等多维立体式新媒体平台，形成多媒体参与的媒体矩阵，及时发布民政政策、工作动态，</w:t>
      </w:r>
      <w:r>
        <w:rPr>
          <w:rFonts w:hint="default" w:ascii="Times New Roman" w:hAnsi="Times New Roman" w:eastAsia="方正仿宋简体" w:cs="Times New Roman"/>
          <w:b/>
          <w:bCs w:val="0"/>
          <w:i w:val="0"/>
          <w:iCs w:val="0"/>
          <w:caps w:val="0"/>
          <w:color w:val="000000"/>
          <w:spacing w:val="0"/>
          <w:sz w:val="32"/>
          <w:szCs w:val="32"/>
          <w:shd w:val="clear" w:fill="FFFFFF"/>
          <w:lang w:val="en-US" w:eastAsia="zh-CN"/>
        </w:rPr>
        <w:t>组织参加了3场新闻发布会和3场政风行风热线</w:t>
      </w:r>
      <w:r>
        <w:rPr>
          <w:rFonts w:hint="eastAsia" w:ascii="Times New Roman" w:hAnsi="Times New Roman" w:eastAsia="方正仿宋简体" w:cs="Times New Roman"/>
          <w:b/>
          <w:bCs w:val="0"/>
          <w:i w:val="0"/>
          <w:iCs w:val="0"/>
          <w:caps w:val="0"/>
          <w:color w:val="000000"/>
          <w:spacing w:val="0"/>
          <w:sz w:val="32"/>
          <w:szCs w:val="32"/>
          <w:shd w:val="clear" w:fill="FFFFFF"/>
          <w:lang w:val="en-US" w:eastAsia="zh-CN"/>
        </w:rPr>
        <w:t>，切实</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提</w:t>
      </w:r>
      <w:r>
        <w:rPr>
          <w:rFonts w:hint="default" w:ascii="Times New Roman" w:hAnsi="Times New Roman" w:eastAsia="方正仿宋简体" w:cs="Times New Roman"/>
          <w:b/>
          <w:bCs w:val="0"/>
          <w:i w:val="0"/>
          <w:iCs w:val="0"/>
          <w:caps w:val="0"/>
          <w:color w:val="000000"/>
          <w:spacing w:val="0"/>
          <w:sz w:val="32"/>
          <w:szCs w:val="32"/>
          <w:shd w:val="clear" w:fill="FFFFFF"/>
          <w:lang w:eastAsia="zh-CN"/>
        </w:rPr>
        <w:t>升政务公开的透明度和</w:t>
      </w:r>
      <w:r>
        <w:rPr>
          <w:rFonts w:hint="eastAsia" w:ascii="Times New Roman" w:hAnsi="Times New Roman" w:eastAsia="方正仿宋简体" w:cs="Times New Roman"/>
          <w:b/>
          <w:bCs w:val="0"/>
          <w:i w:val="0"/>
          <w:iCs w:val="0"/>
          <w:caps w:val="0"/>
          <w:color w:val="000000"/>
          <w:spacing w:val="0"/>
          <w:sz w:val="32"/>
          <w:szCs w:val="32"/>
          <w:shd w:val="clear" w:fill="FFFFFF"/>
          <w:lang w:eastAsia="zh-CN"/>
        </w:rPr>
        <w:t>民政政策的知晓率。</w:t>
      </w:r>
    </w:p>
    <w:p w14:paraId="4272897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sz w:val="32"/>
          <w:szCs w:val="32"/>
          <w:lang w:val="en-US" w:eastAsia="zh-CN"/>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r>
        <w:rPr>
          <w:rFonts w:hint="eastAsia" w:eastAsia="方正仿宋简体" w:cs="Times New Roman"/>
          <w:b/>
          <w:color w:val="000000"/>
          <w:sz w:val="32"/>
          <w:szCs w:val="32"/>
          <w:lang w:val="en-US" w:eastAsia="zh-CN"/>
        </w:rPr>
        <w:t>无</w:t>
      </w:r>
      <w:r>
        <w:rPr>
          <w:rFonts w:hint="eastAsia" w:ascii="Times New Roman" w:hAnsi="Times New Roman" w:eastAsia="方正仿宋简体" w:cs="Times New Roman"/>
          <w:b/>
          <w:color w:val="000000"/>
          <w:sz w:val="32"/>
          <w:szCs w:val="32"/>
          <w:lang w:val="en-US" w:eastAsia="zh-CN"/>
        </w:rPr>
        <w:t>。</w:t>
      </w:r>
    </w:p>
    <w:p w14:paraId="07D97FF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rPr>
      </w:pPr>
      <w:r>
        <w:rPr>
          <w:rFonts w:eastAsia="方正楷体简体"/>
          <w:b/>
          <w:color w:val="000000"/>
          <w:sz w:val="32"/>
          <w:szCs w:val="32"/>
        </w:rPr>
        <w:t>（六）本行政机关认为需要报告的其他事项</w:t>
      </w:r>
      <w:r>
        <w:rPr>
          <w:rFonts w:hint="eastAsia" w:eastAsia="方正楷体简体"/>
          <w:b/>
          <w:color w:val="000000"/>
          <w:sz w:val="32"/>
          <w:szCs w:val="32"/>
        </w:rPr>
        <w:t>：</w:t>
      </w:r>
      <w:r>
        <w:rPr>
          <w:rFonts w:hint="eastAsia" w:eastAsia="方正仿宋简体"/>
          <w:b/>
          <w:color w:val="000000"/>
          <w:sz w:val="32"/>
          <w:szCs w:val="32"/>
        </w:rPr>
        <w:t>无</w:t>
      </w:r>
    </w:p>
    <w:p w14:paraId="1CB0A57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rPr>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eastAsia="方正仿宋简体"/>
          <w:b/>
          <w:color w:val="000000"/>
          <w:sz w:val="32"/>
          <w:szCs w:val="32"/>
        </w:rPr>
        <w:t>无</w:t>
      </w:r>
    </w:p>
    <w:p w14:paraId="233E0925"/>
    <w:sectPr>
      <w:pgSz w:w="11906" w:h="16838"/>
      <w:pgMar w:top="1701" w:right="1474"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37E418"/>
    <w:multiLevelType w:val="singleLevel"/>
    <w:tmpl w:val="B837E41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9298d9a9-a1be-4ba2-a4ce-b448254bdd7e"/>
  </w:docVars>
  <w:rsids>
    <w:rsidRoot w:val="74611814"/>
    <w:rsid w:val="03782EB8"/>
    <w:rsid w:val="03A8220E"/>
    <w:rsid w:val="03FD3799"/>
    <w:rsid w:val="06EA5DC0"/>
    <w:rsid w:val="0F972040"/>
    <w:rsid w:val="0FE342A1"/>
    <w:rsid w:val="13CE5E47"/>
    <w:rsid w:val="16FF206E"/>
    <w:rsid w:val="295419DA"/>
    <w:rsid w:val="345E424E"/>
    <w:rsid w:val="3CC365B2"/>
    <w:rsid w:val="404448BC"/>
    <w:rsid w:val="40FF0713"/>
    <w:rsid w:val="45DC1861"/>
    <w:rsid w:val="46EB7FAD"/>
    <w:rsid w:val="4E282AF1"/>
    <w:rsid w:val="52DB6B7E"/>
    <w:rsid w:val="5AE23FEA"/>
    <w:rsid w:val="5F3362D9"/>
    <w:rsid w:val="71C376AB"/>
    <w:rsid w:val="74611814"/>
    <w:rsid w:val="79E206CE"/>
    <w:rsid w:val="7B267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rFonts w:ascii="Calibri" w:hAnsi="Calibri" w:eastAsia="宋体" w:cs="Calibri"/>
    </w:rPr>
  </w:style>
  <w:style w:type="paragraph" w:styleId="4">
    <w:name w:val="Body Text Indent"/>
    <w:basedOn w:val="1"/>
    <w:next w:val="5"/>
    <w:qFormat/>
    <w:uiPriority w:val="99"/>
    <w:pPr>
      <w:spacing w:after="120"/>
      <w:ind w:left="420" w:leftChars="200"/>
    </w:pPr>
  </w:style>
  <w:style w:type="paragraph" w:customStyle="1" w:styleId="5">
    <w:name w:val="样式 正文文本缩进 + 行距: 1.5 倍行距"/>
    <w:basedOn w:val="4"/>
    <w:qFormat/>
    <w:uiPriority w:val="0"/>
    <w:pPr>
      <w:ind w:left="90" w:leftChars="32" w:firstLine="560" w:firstLineChars="200"/>
    </w:pPr>
    <w:rPr>
      <w:rFonts w:cs="宋体"/>
    </w:rPr>
  </w:style>
  <w:style w:type="paragraph" w:styleId="6">
    <w:name w:val="Body Text First Indent 2"/>
    <w:basedOn w:val="4"/>
    <w:next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567</Words>
  <Characters>623</Characters>
  <Lines>0</Lines>
  <Paragraphs>0</Paragraphs>
  <TotalTime>106</TotalTime>
  <ScaleCrop>false</ScaleCrop>
  <LinksUpToDate>false</LinksUpToDate>
  <CharactersWithSpaces>623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2025-01-02T03:44:00Z</dcterms:created>
  <dc:creator>高昂</dc:creator>
  <cp:lastModifiedBy>高昂</cp:lastModifiedBy>
  <dcterms:modified xsi:type="dcterms:W3CDTF">2025-01-21T06:37:02Z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C256ACA03B704CF0B3D225648FB19134_13</vt:lpwstr>
  </property>
  <property fmtid="{D5CDD505-2E9C-101B-9397-08002B2CF9AE}" pid="4" name="KSOTemplateDocerSaveRecord">
    <vt:lpwstr>eyJoZGlkIjoiMGQ4NTBmYTExOWI2Y2Q1ZDZhNTBhZGI2NGNhN2UxYWQiLCJ1c2VySWQiOiI3MjAyNDM1NDQifQ==</vt:lpwstr>
  </property>
</Properties>
</file>