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beforeLines="200" w:after="240" w:afterLines="100" w:line="360" w:lineRule="auto"/>
        <w:jc w:val="center"/>
        <w:rPr>
          <w:rFonts w:ascii="微软雅黑" w:hAnsi="微软雅黑" w:eastAsia="微软雅黑"/>
          <w:b/>
          <w:bCs/>
          <w:sz w:val="40"/>
          <w:szCs w:val="40"/>
        </w:rPr>
      </w:pPr>
      <w:r>
        <w:rPr>
          <w:rFonts w:hint="eastAsia" w:ascii="微软雅黑" w:hAnsi="微软雅黑" w:eastAsia="微软雅黑"/>
          <w:b/>
          <w:bCs/>
          <w:sz w:val="40"/>
          <w:szCs w:val="40"/>
        </w:rPr>
        <w:t>考生操作指南</w:t>
      </w:r>
    </w:p>
    <w:p>
      <w:pPr>
        <w:keepNext/>
        <w:spacing w:before="240" w:beforeLines="100" w:after="120" w:afterLines="50" w:line="360" w:lineRule="auto"/>
        <w:outlineLvl w:val="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一、准备工作</w:t>
      </w:r>
    </w:p>
    <w:p>
      <w:pPr>
        <w:snapToGrid w:val="0"/>
        <w:spacing w:line="360" w:lineRule="auto"/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本次考试为在线</w:t>
      </w:r>
      <w:r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形式，考生需自行准备符合要求的</w:t>
      </w:r>
      <w:r>
        <w:rPr>
          <w:rFonts w:hint="eastAsia" w:ascii="微软雅黑" w:hAnsi="微软雅黑" w:eastAsia="微软雅黑" w:cs="等线"/>
          <w:b/>
          <w:bCs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>考试场所、考试设备及监控设备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napToGrid w:val="0"/>
        <w:spacing w:line="360" w:lineRule="auto"/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请考生根据考试管理要求，考试全程需同时开启</w:t>
      </w:r>
      <w:r>
        <w:rPr>
          <w:rFonts w:hint="eastAsia" w:ascii="微软雅黑" w:hAnsi="微软雅黑" w:eastAsia="微软雅黑" w:cs="等线"/>
          <w:b/>
          <w:bCs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>正面及侧面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两路在线视频监控，以满足远程线上监考条件。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考生需要在面试前准备好面试当天需要使用的设备，并提前完成调试工作。</w:t>
      </w:r>
    </w:p>
    <w:p>
      <w:pPr>
        <w:keepNext/>
        <w:spacing w:before="120" w:beforeLines="50" w:after="0" w:line="360" w:lineRule="auto"/>
        <w:outlineLvl w:val="1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1</w:t>
      </w:r>
      <w:r>
        <w:rPr>
          <w:rFonts w:ascii="微软雅黑" w:hAnsi="微软雅黑" w:eastAsia="微软雅黑"/>
          <w:b/>
          <w:bCs/>
          <w:sz w:val="24"/>
          <w:szCs w:val="24"/>
        </w:rPr>
        <w:t xml:space="preserve">.1 </w:t>
      </w:r>
      <w:r>
        <w:rPr>
          <w:rFonts w:hint="eastAsia" w:ascii="微软雅黑" w:hAnsi="微软雅黑" w:eastAsia="微软雅黑"/>
          <w:b/>
          <w:bCs/>
          <w:sz w:val="24"/>
          <w:szCs w:val="24"/>
        </w:rPr>
        <w:t>考试场所准备</w:t>
      </w:r>
    </w:p>
    <w:p>
      <w:pPr>
        <w:spacing w:after="0" w:line="360" w:lineRule="auto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考试环境要求</w:t>
      </w:r>
    </w:p>
    <w:p>
      <w:pPr>
        <w:numPr>
          <w:ilvl w:val="0"/>
          <w:numId w:val="1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考生应选择安静、光线充足、独立的空间独自参加考试，不允许在公共场所（如公共教室、图书馆、咖啡馆、办公室、网吧等）进行考试。</w:t>
      </w:r>
    </w:p>
    <w:p>
      <w:pPr>
        <w:numPr>
          <w:ilvl w:val="0"/>
          <w:numId w:val="1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考试全过程严格禁止其他任何人员出入考试场所。</w:t>
      </w:r>
    </w:p>
    <w:p>
      <w:pPr>
        <w:numPr>
          <w:ilvl w:val="0"/>
          <w:numId w:val="1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考试座位应背靠墙体，座位左侧或右侧也应有墙体包围，且墙体需保持洁净。</w:t>
      </w:r>
    </w:p>
    <w:p>
      <w:pPr>
        <w:spacing w:line="360" w:lineRule="auto"/>
        <w:jc w:val="center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Calibri"/>
        </w:rPr>
        <w:drawing>
          <wp:inline distT="0" distB="0" distL="114300" distR="114300">
            <wp:extent cx="2715260" cy="3180080"/>
            <wp:effectExtent l="0" t="3810" r="5080" b="5080"/>
            <wp:docPr id="13" name="图片 9" descr="2ac7b22b92bdc57ceb78dbbad5c6a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 descr="2ac7b22b92bdc57ceb78dbbad5c6a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28372" cy="319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网络条件要求</w:t>
      </w:r>
    </w:p>
    <w:p>
      <w:pPr>
        <w:numPr>
          <w:ilvl w:val="0"/>
          <w:numId w:val="2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考试场所应有稳定的网络条件，支持考试设备和监控设备同时联网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numPr>
          <w:ilvl w:val="0"/>
          <w:numId w:val="2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网络带宽：无特殊情况下，网络下行带宽≥10Mbsp 且上行带宽≥2Mbps；</w:t>
      </w:r>
    </w:p>
    <w:p>
      <w:pPr>
        <w:numPr>
          <w:ilvl w:val="0"/>
          <w:numId w:val="2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建议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考生</w:t>
      </w:r>
      <w:r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准备4G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/5G</w:t>
      </w:r>
      <w:r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等手机移动网络作为备用网络，并事先做好调试，以便出现网络故障时能迅速切换备用网络继续考试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；</w:t>
      </w:r>
    </w:p>
    <w:p>
      <w:pPr>
        <w:numPr>
          <w:ilvl w:val="0"/>
          <w:numId w:val="2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建议使用有线网络。如果使用无线网络，则务必确保无线信号良好；</w:t>
      </w:r>
    </w:p>
    <w:p>
      <w:pPr>
        <w:numPr>
          <w:ilvl w:val="0"/>
          <w:numId w:val="2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尽可能不要使用单位网络；</w:t>
      </w:r>
    </w:p>
    <w:p>
      <w:pPr>
        <w:numPr>
          <w:ilvl w:val="0"/>
          <w:numId w:val="2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不要使用的公共无线网络，如机场、火车站等地提供的免费 Wi-Fi；</w:t>
      </w:r>
    </w:p>
    <w:p>
      <w:pPr>
        <w:numPr>
          <w:ilvl w:val="0"/>
          <w:numId w:val="2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可打开常用视频网站（如优酷、腾讯视频、爱奇艺等）进行网络测试，如能正常播放视频且不卡顿，网络条件可符合要求。</w:t>
      </w:r>
    </w:p>
    <w:p>
      <w:pPr>
        <w:spacing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特别提醒：</w:t>
      </w:r>
      <w:r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考试期间如发生</w:t>
      </w:r>
      <w:r>
        <w:rPr>
          <w:rFonts w:ascii="微软雅黑" w:hAnsi="微软雅黑" w:eastAsia="微软雅黑"/>
          <w:sz w:val="21"/>
          <w:szCs w:val="21"/>
        </w:rPr>
        <w:t>考试</w:t>
      </w:r>
      <w:r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网络故障，考试系统会即时提醒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考生</w:t>
      </w:r>
      <w:r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，请看到异常提示迅速修复网络故障。故障解决后，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考生</w:t>
      </w:r>
      <w:r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可重新进入考试继续作答，网络故障发生之前的作答结果会保存；但是，由于考试设备或网络故障导致考试时间损失、或无法完成考试的，将不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会</w:t>
      </w:r>
      <w:r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获得补时或补考机会。</w:t>
      </w:r>
    </w:p>
    <w:p>
      <w:pPr>
        <w:keepNext/>
        <w:spacing w:before="120" w:beforeLines="50" w:after="0" w:line="360" w:lineRule="auto"/>
        <w:outlineLvl w:val="1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1</w:t>
      </w:r>
      <w:r>
        <w:rPr>
          <w:rFonts w:ascii="微软雅黑" w:hAnsi="微软雅黑" w:eastAsia="微软雅黑"/>
          <w:b/>
          <w:bCs/>
          <w:sz w:val="24"/>
          <w:szCs w:val="24"/>
        </w:rPr>
        <w:t xml:space="preserve">.2 </w:t>
      </w:r>
      <w:r>
        <w:rPr>
          <w:rFonts w:hint="eastAsia" w:ascii="微软雅黑" w:hAnsi="微软雅黑" w:eastAsia="微软雅黑"/>
          <w:b/>
          <w:bCs/>
          <w:sz w:val="24"/>
          <w:szCs w:val="24"/>
        </w:rPr>
        <w:t>证件准备</w:t>
      </w:r>
    </w:p>
    <w:p>
      <w:pPr>
        <w:pStyle w:val="16"/>
        <w:numPr>
          <w:ilvl w:val="0"/>
          <w:numId w:val="3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请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微软雅黑" w:hAnsi="微软雅黑" w:eastAsia="微软雅黑"/>
        </w:rPr>
        <w:t>提前准备本人的中国居民身份证原件。</w:t>
      </w:r>
    </w:p>
    <w:p>
      <w:pPr>
        <w:keepNext/>
        <w:spacing w:before="120" w:beforeLines="50" w:after="0" w:line="360" w:lineRule="auto"/>
        <w:outlineLvl w:val="1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1.</w:t>
      </w:r>
      <w:r>
        <w:rPr>
          <w:rFonts w:ascii="微软雅黑" w:hAnsi="微软雅黑" w:eastAsia="微软雅黑"/>
          <w:b/>
          <w:bCs/>
          <w:sz w:val="24"/>
          <w:szCs w:val="24"/>
        </w:rPr>
        <w:t xml:space="preserve">3 </w:t>
      </w:r>
      <w:r>
        <w:rPr>
          <w:rFonts w:hint="eastAsia" w:ascii="微软雅黑" w:hAnsi="微软雅黑" w:eastAsia="微软雅黑"/>
          <w:b/>
          <w:bCs/>
          <w:sz w:val="24"/>
          <w:szCs w:val="24"/>
        </w:rPr>
        <w:t>设备准备</w:t>
      </w:r>
    </w:p>
    <w:p>
      <w:pPr>
        <w:spacing w:after="0" w:line="360" w:lineRule="auto"/>
        <w:rPr>
          <w:rFonts w:ascii="微软雅黑" w:hAnsi="微软雅黑" w:eastAsia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电脑设备要求</w:t>
      </w:r>
    </w:p>
    <w:p>
      <w:pPr>
        <w:numPr>
          <w:ilvl w:val="0"/>
          <w:numId w:val="4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sz w:val="21"/>
          <w:szCs w:val="21"/>
        </w:rPr>
        <w:t>具备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正常上网功能的电脑，电脑操作系统要求如下：</w:t>
      </w:r>
    </w:p>
    <w:p>
      <w:pPr>
        <w:pStyle w:val="16"/>
        <w:numPr>
          <w:ilvl w:val="0"/>
          <w:numId w:val="5"/>
        </w:numPr>
        <w:spacing w:after="0" w:line="360" w:lineRule="auto"/>
        <w:ind w:left="993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（推荐）Microsoft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Windows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7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SP1</w:t>
      </w:r>
    </w:p>
    <w:p>
      <w:pPr>
        <w:pStyle w:val="16"/>
        <w:numPr>
          <w:ilvl w:val="0"/>
          <w:numId w:val="5"/>
        </w:numPr>
        <w:spacing w:after="0" w:line="360" w:lineRule="auto"/>
        <w:ind w:left="993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（推荐）Microsoft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Windows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10</w:t>
      </w:r>
    </w:p>
    <w:p>
      <w:pPr>
        <w:pStyle w:val="16"/>
        <w:numPr>
          <w:ilvl w:val="0"/>
          <w:numId w:val="5"/>
        </w:numPr>
        <w:spacing w:after="0" w:line="360" w:lineRule="auto"/>
        <w:ind w:left="993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Microsoft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Windows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Vista SP1</w:t>
      </w:r>
    </w:p>
    <w:p>
      <w:pPr>
        <w:pStyle w:val="16"/>
        <w:numPr>
          <w:ilvl w:val="0"/>
          <w:numId w:val="5"/>
        </w:numPr>
        <w:spacing w:after="0" w:line="360" w:lineRule="auto"/>
        <w:ind w:left="993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Microsoft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Windows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8/8.1</w:t>
      </w:r>
    </w:p>
    <w:p>
      <w:pPr>
        <w:pStyle w:val="16"/>
        <w:numPr>
          <w:ilvl w:val="0"/>
          <w:numId w:val="5"/>
        </w:numPr>
        <w:spacing w:after="0" w:line="360" w:lineRule="auto"/>
        <w:ind w:left="993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mac</w:t>
      </w:r>
      <w:r>
        <w:rPr>
          <w:rFonts w:ascii="微软雅黑" w:hAnsi="微软雅黑" w:eastAsia="微软雅黑"/>
        </w:rPr>
        <w:t xml:space="preserve">OS 10.15 </w:t>
      </w:r>
      <w:r>
        <w:rPr>
          <w:rFonts w:hint="eastAsia" w:ascii="微软雅黑" w:hAnsi="微软雅黑" w:eastAsia="微软雅黑"/>
        </w:rPr>
        <w:t>及其以上</w:t>
      </w:r>
    </w:p>
    <w:p>
      <w:pPr>
        <w:numPr>
          <w:ilvl w:val="0"/>
          <w:numId w:val="4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电脑安装谷歌浏览器（版本75及其以上），可以访问以下链接下载最新版谷歌浏览器：</w:t>
      </w:r>
      <w:r>
        <w:fldChar w:fldCharType="begin"/>
      </w:r>
      <w:r>
        <w:instrText xml:space="preserve"> HYPERLINK "https://www.google.cn/chrome" </w:instrText>
      </w:r>
      <w:r>
        <w:fldChar w:fldCharType="separate"/>
      </w:r>
      <w:r>
        <w:rPr>
          <w:rStyle w:val="14"/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https://www.google.cn/chrome</w:t>
      </w:r>
      <w:r>
        <w:rPr>
          <w:rStyle w:val="14"/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。</w:t>
      </w:r>
    </w:p>
    <w:p>
      <w:pPr>
        <w:numPr>
          <w:ilvl w:val="0"/>
          <w:numId w:val="4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电脑具备可正常工作的摄像设备（内置或外置摄像头均可），考试期间需确保电脑摄像头</w:t>
      </w:r>
      <w:r>
        <w:rPr>
          <w:rFonts w:hint="eastAsia" w:ascii="微软雅黑" w:hAnsi="微软雅黑" w:eastAsia="微软雅黑"/>
          <w:sz w:val="21"/>
          <w:szCs w:val="21"/>
        </w:rPr>
        <w:t>全程开启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，能够拍摄到考生本人正脸且无遮挡。</w:t>
      </w:r>
    </w:p>
    <w:p>
      <w:pPr>
        <w:numPr>
          <w:ilvl w:val="0"/>
          <w:numId w:val="4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sz w:val="21"/>
          <w:szCs w:val="21"/>
        </w:rPr>
        <w:t>麦克风及扬声器，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请不要使用外置扬声器（如外接喇叭），使用外置扬声器可能产生回声，影响面试。</w:t>
      </w:r>
    </w:p>
    <w:p>
      <w:pPr>
        <w:numPr>
          <w:ilvl w:val="0"/>
          <w:numId w:val="4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电脑显示器屏幕可用分辨率至少为1200×600，如在屏幕分辨率达标的情况下，仍无法正常显示网站内容，请检查显示内容缩放设置是否超过100%。</w:t>
      </w:r>
    </w:p>
    <w:p>
      <w:pPr>
        <w:numPr>
          <w:ilvl w:val="0"/>
          <w:numId w:val="4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如使用笔记本电脑，请保持电量充足，建议全程使用外接电源。</w:t>
      </w:r>
    </w:p>
    <w:p>
      <w:pPr>
        <w:numPr>
          <w:ilvl w:val="0"/>
          <w:numId w:val="4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如果在苹果笔记本上安装 Windows系统的，扬声器、麦克风和摄像头等设备可能会出现不兼容的情况，请务必确保摄像头、麦克风和扬声器可用，并在面试前完成设备调试。</w:t>
      </w:r>
    </w:p>
    <w:p>
      <w:pPr>
        <w:numPr>
          <w:ilvl w:val="0"/>
          <w:numId w:val="4"/>
        </w:num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进入考试系统前应关闭电脑上与考试无关的</w:t>
      </w:r>
      <w:r>
        <w:rPr>
          <w:rFonts w:hint="eastAsia" w:ascii="微软雅黑" w:hAnsi="微软雅黑" w:eastAsia="微软雅黑"/>
          <w:b/>
          <w:bCs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>所有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网页和软件，包括安全卫士、电脑管家及</w:t>
      </w:r>
      <w:r>
        <w:rPr>
          <w:rFonts w:hint="eastAsia" w:ascii="微软雅黑" w:hAnsi="微软雅黑" w:eastAsia="微软雅黑"/>
          <w:b/>
          <w:bCs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>各类通讯软件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，以免由于软件弹窗</w:t>
      </w:r>
      <w:r>
        <w:rPr>
          <w:rFonts w:hint="eastAsia" w:ascii="微软雅黑" w:hAnsi="微软雅黑" w:eastAsia="微软雅黑"/>
          <w:sz w:val="21"/>
          <w:szCs w:val="21"/>
        </w:rPr>
        <w:t>导致系统判定考生作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弊。</w:t>
      </w:r>
    </w:p>
    <w:p>
      <w:pPr>
        <w:spacing w:after="0" w:line="360" w:lineRule="auto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rPr>
          <w:rFonts w:ascii="微软雅黑" w:hAnsi="微软雅黑" w:eastAsia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手机设备要求</w:t>
      </w:r>
    </w:p>
    <w:p>
      <w:pPr>
        <w:spacing w:line="360" w:lineRule="auto"/>
        <w:jc w:val="center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42560" cy="267652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6239" cy="267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4"/>
        <w:numPr>
          <w:ilvl w:val="0"/>
          <w:numId w:val="6"/>
        </w:numPr>
        <w:snapToGrid w:val="0"/>
        <w:spacing w:after="0" w:line="360" w:lineRule="auto"/>
        <w:ind w:left="0"/>
        <w:contextualSpacing w:val="0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智能</w:t>
      </w:r>
      <w:r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手机</w:t>
      </w:r>
      <w:r>
        <w:rPr>
          <w:rFonts w:hint="eastAsia" w:ascii="微软雅黑" w:hAnsi="微软雅黑" w:eastAsia="微软雅黑" w:cs="等线"/>
          <w:sz w:val="21"/>
          <w:szCs w:val="21"/>
        </w:rPr>
        <w:t>开启“</w:t>
      </w:r>
      <w:r>
        <w:rPr>
          <w:rFonts w:hint="eastAsia" w:ascii="微软雅黑" w:hAnsi="微软雅黑" w:eastAsia="微软雅黑" w:cs="等线"/>
          <w:b/>
          <w:bCs/>
          <w:sz w:val="21"/>
          <w:szCs w:val="21"/>
        </w:rPr>
        <w:t>飞行模式</w:t>
      </w:r>
      <w:r>
        <w:rPr>
          <w:rFonts w:hint="eastAsia" w:ascii="微软雅黑" w:hAnsi="微软雅黑" w:eastAsia="微软雅黑" w:cs="等线"/>
          <w:sz w:val="21"/>
          <w:szCs w:val="21"/>
        </w:rPr>
        <w:t>”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且打开“</w:t>
      </w:r>
      <w:r>
        <w:rPr>
          <w:rFonts w:hint="eastAsia" w:ascii="微软雅黑" w:hAnsi="微软雅黑" w:eastAsia="微软雅黑" w:cs="等线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无线网络模式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”。</w:t>
      </w:r>
    </w:p>
    <w:p>
      <w:pPr>
        <w:pStyle w:val="24"/>
        <w:numPr>
          <w:ilvl w:val="0"/>
          <w:numId w:val="6"/>
        </w:numPr>
        <w:snapToGrid w:val="0"/>
        <w:spacing w:after="0" w:line="360" w:lineRule="auto"/>
        <w:ind w:left="0"/>
        <w:contextualSpacing w:val="0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必须带有可正常工作的摄像头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pStyle w:val="24"/>
        <w:numPr>
          <w:ilvl w:val="0"/>
          <w:numId w:val="6"/>
        </w:numPr>
        <w:snapToGrid w:val="0"/>
        <w:spacing w:after="0" w:line="360" w:lineRule="auto"/>
        <w:ind w:left="0"/>
        <w:contextualSpacing w:val="0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确保手机电量充足，建议全程使用外接电源。</w:t>
      </w:r>
    </w:p>
    <w:p>
      <w:pPr>
        <w:pStyle w:val="24"/>
        <w:numPr>
          <w:ilvl w:val="0"/>
          <w:numId w:val="6"/>
        </w:numPr>
        <w:snapToGrid w:val="0"/>
        <w:spacing w:after="0" w:line="360" w:lineRule="auto"/>
        <w:ind w:left="0"/>
        <w:contextualSpacing w:val="0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手机推荐使用的操作系统及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要求如下：</w:t>
      </w:r>
    </w:p>
    <w:tbl>
      <w:tblPr>
        <w:tblStyle w:val="12"/>
        <w:tblW w:w="7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536"/>
        <w:gridCol w:w="3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537" w:type="dxa"/>
            <w:shd w:val="clear" w:color="000000" w:fill="DDEBF7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等线" w:hAnsi="等线" w:eastAsia="等线"/>
                <w:b/>
                <w:bCs/>
                <w:color w:val="000000"/>
              </w:rPr>
            </w:pPr>
            <w:r>
              <w:rPr>
                <w:rFonts w:hint="eastAsia" w:ascii="等线" w:hAnsi="等线" w:eastAsia="等线"/>
                <w:b/>
                <w:bCs/>
                <w:color w:val="000000"/>
              </w:rPr>
              <w:t>设备</w:t>
            </w:r>
          </w:p>
        </w:tc>
        <w:tc>
          <w:tcPr>
            <w:tcW w:w="5664" w:type="dxa"/>
            <w:gridSpan w:val="2"/>
            <w:shd w:val="clear" w:color="000000" w:fill="DDEBF7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等线" w:hAnsi="等线" w:eastAsia="等线"/>
                <w:b/>
                <w:bCs/>
                <w:color w:val="000000"/>
              </w:rPr>
            </w:pPr>
            <w:r>
              <w:rPr>
                <w:rFonts w:hint="eastAsia" w:ascii="等线" w:hAnsi="等线" w:eastAsia="等线"/>
                <w:b/>
                <w:bCs/>
                <w:color w:val="000000"/>
              </w:rPr>
              <w:t>智能手机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537" w:type="dxa"/>
            <w:shd w:val="clear" w:color="auto" w:fill="auto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等线" w:hAnsi="等线" w:eastAsia="等线"/>
                <w:color w:val="000000"/>
              </w:rPr>
            </w:pPr>
            <w:r>
              <w:rPr>
                <w:rFonts w:hint="eastAsia" w:ascii="等线" w:hAnsi="等线" w:eastAsia="等线"/>
                <w:color w:val="000000"/>
              </w:rPr>
              <w:t>操作系统</w:t>
            </w:r>
          </w:p>
        </w:tc>
        <w:tc>
          <w:tcPr>
            <w:tcW w:w="2536" w:type="dxa"/>
            <w:shd w:val="clear" w:color="auto" w:fill="auto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等线" w:hAnsi="等线" w:eastAsia="等线"/>
                <w:color w:val="000000"/>
              </w:rPr>
            </w:pPr>
            <w:r>
              <w:rPr>
                <w:rFonts w:hint="eastAsia" w:ascii="等线" w:hAnsi="等线" w:eastAsia="等线"/>
                <w:color w:val="000000"/>
              </w:rPr>
              <w:t>IOS</w:t>
            </w:r>
          </w:p>
        </w:tc>
        <w:tc>
          <w:tcPr>
            <w:tcW w:w="3128" w:type="dxa"/>
            <w:shd w:val="clear" w:color="auto" w:fill="auto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等线" w:hAnsi="等线" w:eastAsia="等线"/>
                <w:color w:val="000000"/>
              </w:rPr>
            </w:pPr>
            <w:r>
              <w:rPr>
                <w:rFonts w:hint="eastAsia" w:ascii="等线" w:hAnsi="等线" w:eastAsia="等线"/>
                <w:color w:val="000000"/>
              </w:rPr>
              <w:t>Android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53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等线" w:hAnsi="等线" w:eastAsia="等线"/>
                <w:color w:val="000000"/>
              </w:rPr>
            </w:pPr>
            <w:r>
              <w:rPr>
                <w:rFonts w:hint="eastAsia" w:ascii="等线" w:hAnsi="等线" w:eastAsia="等线"/>
                <w:color w:val="000000"/>
              </w:rPr>
              <w:t>系统版本</w:t>
            </w:r>
          </w:p>
        </w:tc>
        <w:tc>
          <w:tcPr>
            <w:tcW w:w="253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微软雅黑" w:hAns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IOS 12+</w:t>
            </w:r>
          </w:p>
        </w:tc>
        <w:tc>
          <w:tcPr>
            <w:tcW w:w="312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微软雅黑" w:hAns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Android 10+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537" w:type="dxa"/>
            <w:shd w:val="clear" w:color="auto" w:fill="auto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等线" w:hAnsi="等线" w:eastAsia="等线"/>
                <w:color w:val="000000"/>
              </w:rPr>
            </w:pPr>
            <w:r>
              <w:rPr>
                <w:rFonts w:hint="eastAsia" w:ascii="等线" w:hAnsi="等线" w:eastAsia="等线"/>
                <w:color w:val="000000"/>
              </w:rPr>
              <w:t>要求</w:t>
            </w:r>
          </w:p>
        </w:tc>
        <w:tc>
          <w:tcPr>
            <w:tcW w:w="2536" w:type="dxa"/>
            <w:shd w:val="clear" w:color="auto" w:fill="auto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微软雅黑" w:hAns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浏览器Safari 1</w:t>
            </w:r>
            <w:r>
              <w:rPr>
                <w:rFonts w:ascii="微软雅黑" w:hAnsi="微软雅黑" w:eastAsia="微软雅黑"/>
                <w:color w:val="000000"/>
                <w:sz w:val="20"/>
                <w:szCs w:val="20"/>
              </w:rPr>
              <w:t>3</w:t>
            </w: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+</w:t>
            </w:r>
          </w:p>
          <w:p>
            <w:pPr>
              <w:spacing w:before="240" w:beforeLines="100" w:after="0" w:line="360" w:lineRule="auto"/>
              <w:jc w:val="center"/>
              <w:rPr>
                <w:rFonts w:ascii="微软雅黑" w:hAns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安装微信7.0及以上版本</w:t>
            </w:r>
          </w:p>
        </w:tc>
        <w:tc>
          <w:tcPr>
            <w:tcW w:w="3128" w:type="dxa"/>
            <w:shd w:val="clear" w:color="auto" w:fill="auto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等线" w:hAnsi="等线" w:eastAsia="等线"/>
                <w:color w:val="00000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安装微信7.0及以上版本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537" w:type="dxa"/>
            <w:shd w:val="clear" w:color="auto" w:fill="auto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等线" w:hAnsi="等线" w:eastAsia="等线"/>
                <w:color w:val="000000"/>
              </w:rPr>
            </w:pPr>
            <w:r>
              <w:rPr>
                <w:rFonts w:hint="eastAsia" w:ascii="等线" w:hAnsi="等线" w:eastAsia="等线"/>
                <w:color w:val="000000"/>
              </w:rPr>
              <w:t>摄像头</w:t>
            </w:r>
          </w:p>
        </w:tc>
        <w:tc>
          <w:tcPr>
            <w:tcW w:w="2536" w:type="dxa"/>
            <w:shd w:val="clear" w:color="auto" w:fill="auto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等线" w:hAnsi="等线" w:eastAsia="等线"/>
                <w:color w:val="000000"/>
              </w:rPr>
            </w:pPr>
            <w:r>
              <w:rPr>
                <w:rFonts w:hint="eastAsia" w:ascii="等线" w:hAnsi="等线" w:eastAsia="等线"/>
                <w:color w:val="000000"/>
              </w:rPr>
              <w:t>有</w:t>
            </w:r>
          </w:p>
        </w:tc>
        <w:tc>
          <w:tcPr>
            <w:tcW w:w="3128" w:type="dxa"/>
            <w:shd w:val="clear" w:color="auto" w:fill="auto"/>
            <w:noWrap/>
            <w:vAlign w:val="center"/>
          </w:tcPr>
          <w:p>
            <w:pPr>
              <w:spacing w:before="240" w:beforeLines="100" w:after="0" w:line="360" w:lineRule="auto"/>
              <w:jc w:val="center"/>
              <w:rPr>
                <w:rFonts w:ascii="等线" w:hAnsi="等线" w:eastAsia="等线"/>
                <w:color w:val="000000"/>
              </w:rPr>
            </w:pPr>
            <w:r>
              <w:rPr>
                <w:rFonts w:hint="eastAsia" w:ascii="等线" w:hAnsi="等线" w:eastAsia="等线"/>
                <w:color w:val="000000"/>
              </w:rPr>
              <w:t>有</w:t>
            </w:r>
          </w:p>
        </w:tc>
      </w:tr>
    </w:tbl>
    <w:p>
      <w:pPr>
        <w:pStyle w:val="24"/>
        <w:widowControl w:val="0"/>
        <w:snapToGrid w:val="0"/>
        <w:spacing w:after="0" w:line="360" w:lineRule="auto"/>
        <w:ind w:left="0"/>
        <w:contextualSpacing w:val="0"/>
        <w:jc w:val="both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pStyle w:val="24"/>
        <w:widowControl w:val="0"/>
        <w:numPr>
          <w:ilvl w:val="0"/>
          <w:numId w:val="6"/>
        </w:numPr>
        <w:snapToGrid w:val="0"/>
        <w:spacing w:after="0" w:line="360" w:lineRule="auto"/>
        <w:ind w:left="0"/>
        <w:contextualSpacing w:val="0"/>
        <w:jc w:val="both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手机</w:t>
      </w:r>
      <w:r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应关掉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与考试</w:t>
      </w:r>
      <w:r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无关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的所有</w:t>
      </w:r>
      <w:r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应用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的</w:t>
      </w:r>
      <w:r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提醒功能，避免来电、微信、或其他应用打断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监控</w:t>
      </w:r>
      <w:r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过</w:t>
      </w:r>
      <w:r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程。</w:t>
      </w:r>
    </w:p>
    <w:p>
      <w:pPr>
        <w:pStyle w:val="24"/>
        <w:widowControl w:val="0"/>
        <w:numPr>
          <w:ilvl w:val="0"/>
          <w:numId w:val="6"/>
        </w:numPr>
        <w:snapToGrid w:val="0"/>
        <w:spacing w:after="0" w:line="360" w:lineRule="auto"/>
        <w:ind w:left="0"/>
        <w:contextualSpacing w:val="0"/>
        <w:jc w:val="both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手机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设置为</w:t>
      </w:r>
      <w:r>
        <w:rPr>
          <w:rFonts w:hint="eastAsia" w:ascii="微软雅黑" w:hAnsi="微软雅黑" w:eastAsia="微软雅黑" w:cs="等线"/>
          <w:sz w:val="21"/>
          <w:szCs w:val="21"/>
        </w:rPr>
        <w:t>在充电时“永不息屏”状态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。手机设置方式如下：</w:t>
      </w:r>
    </w:p>
    <w:p>
      <w:pPr>
        <w:pStyle w:val="24"/>
        <w:widowControl w:val="0"/>
        <w:numPr>
          <w:ilvl w:val="0"/>
          <w:numId w:val="7"/>
        </w:numPr>
        <w:snapToGrid w:val="0"/>
        <w:spacing w:after="0" w:line="360" w:lineRule="auto"/>
        <w:ind w:left="429" w:leftChars="195"/>
        <w:contextualSpacing w:val="0"/>
        <w:jc w:val="both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I</w:t>
      </w:r>
      <w:r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OS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设备：在设置-显示与亮度-自动锁定内，设置为“永不”；</w:t>
      </w:r>
    </w:p>
    <w:p>
      <w:pPr>
        <w:pStyle w:val="24"/>
        <w:widowControl w:val="0"/>
        <w:numPr>
          <w:ilvl w:val="0"/>
          <w:numId w:val="7"/>
        </w:numPr>
        <w:snapToGrid w:val="0"/>
        <w:spacing w:after="0" w:line="360" w:lineRule="auto"/>
        <w:ind w:left="429" w:leftChars="195"/>
        <w:contextualSpacing w:val="0"/>
        <w:jc w:val="both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安卓设备：安卓手机需先开启“开发人员选项/开发者选项”，由于每个品牌机型的开发者选项操作步骤不同，请自行百度搜索本人手机品牌的开发者选项如何开启。开启开发者选项后，在开发者选项内，开启“不锁定屏幕（充电时屏幕不会休眠）”。</w:t>
      </w:r>
    </w:p>
    <w:p>
      <w:pPr>
        <w:pStyle w:val="24"/>
        <w:widowControl w:val="0"/>
        <w:snapToGrid w:val="0"/>
        <w:spacing w:line="360" w:lineRule="auto"/>
        <w:ind w:left="0"/>
        <w:jc w:val="center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Helvetica" w:hAnsi="Helvetica" w:cs="Helvetica"/>
          <w:color w:val="307AE8"/>
          <w:szCs w:val="21"/>
        </w:rPr>
        <w:drawing>
          <wp:inline distT="0" distB="0" distL="0" distR="0">
            <wp:extent cx="2447925" cy="3028950"/>
            <wp:effectExtent l="0" t="0" r="5715" b="3810"/>
            <wp:docPr id="20" name="图片 2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4"/>
        <w:numPr>
          <w:ilvl w:val="0"/>
          <w:numId w:val="6"/>
        </w:numPr>
        <w:snapToGrid w:val="0"/>
        <w:spacing w:after="0" w:line="360" w:lineRule="auto"/>
        <w:ind w:left="0"/>
        <w:contextualSpacing w:val="0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可伸缩的手机支架：</w:t>
      </w:r>
      <w:r>
        <w:rPr>
          <w:rFonts w:hint="eastAsia" w:ascii="微软雅黑" w:hAnsi="微软雅黑" w:eastAsia="微软雅黑"/>
          <w:sz w:val="21"/>
          <w:szCs w:val="21"/>
        </w:rPr>
        <w:t>其作用是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将智能手机固定摆放，便于按监控视角要求调整到合适的位置和高度。</w:t>
      </w:r>
    </w:p>
    <w:p>
      <w:pPr>
        <w:pStyle w:val="24"/>
        <w:widowControl w:val="0"/>
        <w:numPr>
          <w:ilvl w:val="0"/>
          <w:numId w:val="6"/>
        </w:numPr>
        <w:snapToGrid w:val="0"/>
        <w:spacing w:after="0" w:line="360" w:lineRule="auto"/>
        <w:ind w:left="0"/>
        <w:contextualSpacing w:val="0"/>
        <w:jc w:val="both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搭建位置要求</w:t>
      </w:r>
    </w:p>
    <w:p>
      <w:pPr>
        <w:widowControl w:val="0"/>
        <w:numPr>
          <w:ilvl w:val="0"/>
          <w:numId w:val="8"/>
        </w:numPr>
        <w:snapToGrid w:val="0"/>
        <w:spacing w:after="0" w:line="360" w:lineRule="auto"/>
        <w:ind w:left="677" w:leftChars="200" w:hanging="237" w:hangingChars="113"/>
        <w:jc w:val="both"/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等线"/>
          <w:sz w:val="21"/>
          <w:szCs w:val="21"/>
        </w:rPr>
        <w:t>利用支架</w:t>
      </w:r>
      <w:r>
        <w:rPr>
          <w:rFonts w:ascii="微软雅黑" w:hAnsi="微软雅黑" w:eastAsia="微软雅黑" w:cs="等线"/>
          <w:sz w:val="21"/>
          <w:szCs w:val="21"/>
        </w:rPr>
        <w:t>，将</w:t>
      </w:r>
      <w:r>
        <w:rPr>
          <w:rFonts w:hint="eastAsia" w:ascii="微软雅黑" w:hAnsi="微软雅黑" w:eastAsia="微软雅黑" w:cs="等线"/>
          <w:sz w:val="21"/>
          <w:szCs w:val="21"/>
        </w:rPr>
        <w:t>手机</w:t>
      </w:r>
      <w:r>
        <w:rPr>
          <w:rFonts w:ascii="微软雅黑" w:hAnsi="微软雅黑" w:eastAsia="微软雅黑" w:cs="等线"/>
          <w:sz w:val="21"/>
          <w:szCs w:val="21"/>
        </w:rPr>
        <w:t>架设</w:t>
      </w:r>
      <w:r>
        <w:rPr>
          <w:rFonts w:ascii="微软雅黑" w:hAnsi="微软雅黑" w:eastAsia="微软雅黑" w:cs="等线"/>
          <w:b/>
          <w:bCs/>
          <w:sz w:val="21"/>
          <w:szCs w:val="21"/>
          <w:u w:val="single"/>
        </w:rPr>
        <w:t>在考试</w:t>
      </w:r>
      <w:r>
        <w:rPr>
          <w:rFonts w:hint="eastAsia" w:ascii="微软雅黑" w:hAnsi="微软雅黑" w:eastAsia="微软雅黑" w:cs="等线"/>
          <w:b/>
          <w:bCs/>
          <w:sz w:val="21"/>
          <w:szCs w:val="21"/>
          <w:u w:val="single"/>
        </w:rPr>
        <w:t>电脑</w:t>
      </w:r>
      <w:r>
        <w:rPr>
          <w:rFonts w:ascii="微软雅黑" w:hAnsi="微软雅黑" w:eastAsia="微软雅黑" w:cs="等线"/>
          <w:b/>
          <w:bCs/>
          <w:sz w:val="21"/>
          <w:szCs w:val="21"/>
          <w:u w:val="single"/>
        </w:rPr>
        <w:t>的</w:t>
      </w:r>
      <w:r>
        <w:rPr>
          <w:rFonts w:hint="eastAsia" w:ascii="微软雅黑" w:hAnsi="微软雅黑" w:eastAsia="微软雅黑" w:cs="等线"/>
          <w:b/>
          <w:bCs/>
          <w:sz w:val="21"/>
          <w:szCs w:val="21"/>
          <w:u w:val="single"/>
        </w:rPr>
        <w:t>侧</w:t>
      </w:r>
      <w:r>
        <w:rPr>
          <w:rFonts w:ascii="微软雅黑" w:hAnsi="微软雅黑" w:eastAsia="微软雅黑" w:cs="等线"/>
          <w:b/>
          <w:bCs/>
          <w:sz w:val="21"/>
          <w:szCs w:val="21"/>
          <w:u w:val="single"/>
        </w:rPr>
        <w:t>后方</w:t>
      </w:r>
      <w:r>
        <w:rPr>
          <w:rFonts w:ascii="微软雅黑" w:hAnsi="微软雅黑" w:eastAsia="微软雅黑" w:cs="等线"/>
          <w:sz w:val="21"/>
          <w:szCs w:val="21"/>
        </w:rPr>
        <w:t>1.5-2米处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与考试位置成45度角</w:t>
      </w: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widowControl w:val="0"/>
        <w:snapToGrid w:val="0"/>
        <w:spacing w:line="360" w:lineRule="auto"/>
        <w:ind w:left="191" w:leftChars="87"/>
        <w:jc w:val="center"/>
        <w:rPr>
          <w:rFonts w:ascii="微软雅黑" w:hAnsi="微软雅黑" w:eastAsia="仿宋_GB2312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_GB2312" w:hAnsi="Times New Roman" w:eastAsia="仿宋_GB2312"/>
          <w:sz w:val="32"/>
          <w:szCs w:val="32"/>
        </w:rPr>
        <w:drawing>
          <wp:inline distT="0" distB="0" distL="0" distR="0">
            <wp:extent cx="2130425" cy="1880870"/>
            <wp:effectExtent l="0" t="0" r="3175" b="5080"/>
            <wp:docPr id="22" name="IM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3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6868" cy="188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8"/>
        </w:numPr>
        <w:snapToGrid w:val="0"/>
        <w:spacing w:after="0" w:line="360" w:lineRule="auto"/>
        <w:ind w:left="677" w:leftChars="200" w:hanging="237" w:hangingChars="113"/>
        <w:jc w:val="both"/>
        <w:rPr>
          <w:rFonts w:ascii="微软雅黑" w:hAnsi="微软雅黑" w:eastAsia="微软雅黑" w:cs="等线"/>
          <w:sz w:val="21"/>
          <w:szCs w:val="21"/>
        </w:rPr>
      </w:pP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考生在正式考试开始后，</w:t>
      </w:r>
      <w:r>
        <w:rPr>
          <w:rFonts w:hint="eastAsia" w:ascii="微软雅黑" w:hAnsi="微软雅黑" w:eastAsia="微软雅黑" w:cs="等线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微软雅黑" w:hAnsi="微软雅黑" w:eastAsia="微软雅黑" w:cs="等线"/>
          <w:b/>
          <w:bCs/>
          <w:sz w:val="21"/>
          <w:szCs w:val="21"/>
        </w:rPr>
        <w:t>需在</w:t>
      </w:r>
      <w:r>
        <w:rPr>
          <w:rFonts w:hint="eastAsia" w:ascii="微软雅黑" w:hAnsi="微软雅黑" w:eastAsia="微软雅黑" w:cs="等线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电脑设备前。手机监控范围覆盖考生全身（双手可见）、完整的考试设备、答题设备的屏幕、以及考生周边环境</w:t>
      </w:r>
      <w:r>
        <w:rPr>
          <w:rFonts w:hint="eastAsia" w:ascii="微软雅黑" w:hAnsi="微软雅黑" w:eastAsia="微软雅黑" w:cs="等线"/>
          <w:b/>
          <w:bCs/>
          <w:sz w:val="21"/>
          <w:szCs w:val="21"/>
        </w:rPr>
        <w:t>。</w:t>
      </w:r>
      <w:r>
        <w:rPr>
          <w:rFonts w:ascii="微软雅黑" w:hAnsi="微软雅黑" w:eastAsia="微软雅黑" w:cs="等线"/>
          <w:b/>
          <w:bCs/>
          <w:sz w:val="21"/>
          <w:szCs w:val="21"/>
        </w:rPr>
        <w:t>摄像头高度</w:t>
      </w:r>
      <w:r>
        <w:rPr>
          <w:rFonts w:hint="eastAsia" w:ascii="微软雅黑" w:hAnsi="微软雅黑" w:eastAsia="微软雅黑" w:cs="等线"/>
          <w:b/>
          <w:bCs/>
          <w:sz w:val="21"/>
          <w:szCs w:val="21"/>
        </w:rPr>
        <w:t>约</w:t>
      </w:r>
      <w:r>
        <w:rPr>
          <w:rFonts w:ascii="微软雅黑" w:hAnsi="微软雅黑" w:eastAsia="微软雅黑" w:cs="等线"/>
          <w:b/>
          <w:bCs/>
          <w:sz w:val="21"/>
          <w:szCs w:val="21"/>
        </w:rPr>
        <w:t>1.2-1.5米</w:t>
      </w:r>
      <w:r>
        <w:rPr>
          <w:rFonts w:hint="eastAsia" w:ascii="微软雅黑" w:hAnsi="微软雅黑" w:eastAsia="微软雅黑" w:cs="等线"/>
          <w:b/>
          <w:bCs/>
          <w:sz w:val="21"/>
          <w:szCs w:val="21"/>
        </w:rPr>
        <w:t>。</w:t>
      </w:r>
    </w:p>
    <w:p>
      <w:pPr>
        <w:pStyle w:val="24"/>
        <w:numPr>
          <w:ilvl w:val="0"/>
          <w:numId w:val="9"/>
        </w:numPr>
        <w:spacing w:line="360" w:lineRule="auto"/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请保证考试区域光线均匀充足，避免监控画面过暗或过亮导致监控效果不佳被判为违纪。</w:t>
      </w:r>
    </w:p>
    <w:p>
      <w:pPr>
        <w:pStyle w:val="24"/>
        <w:numPr>
          <w:ilvl w:val="0"/>
          <w:numId w:val="9"/>
        </w:numPr>
        <w:spacing w:line="360" w:lineRule="auto"/>
        <w:rPr>
          <w:rFonts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请仔细检查监控设备摆放的稳定程度，避免考中设备倾倒造成损失。</w:t>
      </w:r>
    </w:p>
    <w:p>
      <w:pPr>
        <w:spacing w:after="0" w:line="360" w:lineRule="auto"/>
        <w:rPr>
          <w:rFonts w:ascii="微软雅黑" w:hAnsi="微软雅黑" w:eastAsia="微软雅黑"/>
          <w:i/>
          <w:iCs/>
        </w:rPr>
      </w:pPr>
      <w:r>
        <w:rPr>
          <w:rFonts w:hint="eastAsia" w:ascii="微软雅黑" w:hAnsi="微软雅黑" w:eastAsia="微软雅黑"/>
          <w:i/>
          <w:iCs/>
        </w:rPr>
        <w:t>重要说明：</w:t>
      </w:r>
    </w:p>
    <w:p>
      <w:pPr>
        <w:pStyle w:val="16"/>
        <w:numPr>
          <w:ilvl w:val="0"/>
          <w:numId w:val="10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面试时，摄像头需要能够拍摄到考生本人，需要确保前置摄像头可用。</w:t>
      </w:r>
    </w:p>
    <w:p>
      <w:pPr>
        <w:pStyle w:val="16"/>
        <w:numPr>
          <w:ilvl w:val="0"/>
          <w:numId w:val="10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允许使用外接摄像头和麦克风，严禁使用蓝牙或有线耳机。</w:t>
      </w:r>
    </w:p>
    <w:p>
      <w:pPr>
        <w:keepNext/>
        <w:spacing w:before="120" w:beforeLines="50" w:after="0" w:line="360" w:lineRule="auto"/>
        <w:outlineLvl w:val="1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1.</w:t>
      </w:r>
      <w:r>
        <w:rPr>
          <w:rFonts w:ascii="微软雅黑" w:hAnsi="微软雅黑" w:eastAsia="微软雅黑"/>
          <w:b/>
          <w:bCs/>
          <w:sz w:val="24"/>
          <w:szCs w:val="24"/>
        </w:rPr>
        <w:t xml:space="preserve">4 </w:t>
      </w:r>
      <w:r>
        <w:rPr>
          <w:rFonts w:hint="eastAsia" w:ascii="微软雅黑" w:hAnsi="微软雅黑" w:eastAsia="微软雅黑"/>
          <w:b/>
          <w:bCs/>
          <w:sz w:val="24"/>
          <w:szCs w:val="24"/>
        </w:rPr>
        <w:t>设备调试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视频面试需要开启摄像头、麦克风和扬声器，在面试前应当做好调试准备工作。面试系统提供相应的设备调试环境，考生登录面试系统即可进行设备调试。</w:t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1.</w:t>
      </w:r>
      <w:r>
        <w:rPr>
          <w:rFonts w:ascii="微软雅黑" w:hAnsi="微软雅黑" w:eastAsia="微软雅黑"/>
          <w:b/>
          <w:bCs/>
        </w:rPr>
        <w:t>4</w:t>
      </w:r>
      <w:r>
        <w:rPr>
          <w:rFonts w:hint="eastAsia" w:ascii="微软雅黑" w:hAnsi="微软雅黑" w:eastAsia="微软雅黑"/>
          <w:b/>
          <w:bCs/>
        </w:rPr>
        <w:t>.1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调试摄像头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考生打开面试系统后，在登录页面（中间右下方）可看到调试设备的按钮，如下图所示。考生可以点击“调试设备”按钮打开调试页面。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4438650" cy="762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i/>
          <w:iCs/>
        </w:rPr>
        <w:t>注意事项</w:t>
      </w:r>
      <w:r>
        <w:rPr>
          <w:rFonts w:hint="eastAsia" w:ascii="微软雅黑" w:hAnsi="微软雅黑" w:eastAsia="微软雅黑"/>
        </w:rPr>
        <w:t>：在点击调试设备前，请确保摄像头、麦克风已连接。同时，没有其它应用程序正在使用摄像头和麦克风。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如果首次使用，系统会弹出设备授权框，系统会显示如下图所示的提示信息。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4999990" cy="1714500"/>
            <wp:effectExtent l="9525" t="9525" r="1968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9990" cy="1714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您需要在左上角弹出的授权框中点击“允许”按钮。在摄像头和麦克风允许访问后，您可以看到视频画面，如下图所示。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4091940" cy="4716780"/>
            <wp:effectExtent l="19050" t="19050" r="22860" b="266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2120" cy="4717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如果能看到实时画面，那说明摄像头已可以正常使用。如果无法看到实时画面，请检查摄像头是否已正确连接，或者摄像头是否可以正常使用。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i/>
          <w:iCs/>
        </w:rPr>
        <w:t>注意事项</w:t>
      </w:r>
      <w:r>
        <w:rPr>
          <w:rFonts w:hint="eastAsia" w:ascii="微软雅黑" w:hAnsi="微软雅黑" w:eastAsia="微软雅黑"/>
        </w:rPr>
        <w:t>：请使用能拍摄到您本人画面的摄像头进行调试。</w:t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1.</w:t>
      </w:r>
      <w:r>
        <w:rPr>
          <w:rFonts w:ascii="微软雅黑" w:hAnsi="微软雅黑" w:eastAsia="微软雅黑"/>
          <w:b/>
          <w:bCs/>
        </w:rPr>
        <w:t>4</w:t>
      </w:r>
      <w:r>
        <w:rPr>
          <w:rFonts w:hint="eastAsia" w:ascii="微软雅黑" w:hAnsi="微软雅黑" w:eastAsia="微软雅黑"/>
          <w:b/>
          <w:bCs/>
        </w:rPr>
        <w:t>.2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调试麦克风和扬声器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完成摄像头调试后，可以对麦克风和扬声器进行调试。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4069080" cy="4709160"/>
            <wp:effectExtent l="19050" t="19050" r="26670" b="152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4709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调试分为两步，先录音，后回放，具体步骤如下。</w:t>
      </w:r>
    </w:p>
    <w:p>
      <w:pPr>
        <w:pStyle w:val="16"/>
        <w:numPr>
          <w:ilvl w:val="0"/>
          <w:numId w:val="11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一步录音：点击红色圆圈按钮（录制按钮）开始录制。录音框下方会有红色倒计时进度条，倒计时结束后自动停止录音，也可以手动点击红色方块手动结束录音。同时录音框中会有类似进度条，进度条会有深浅，表示声音响亮程度。可以对着麦克风的方向说话，如大声数数，1、2、3、4、5。</w:t>
      </w:r>
    </w:p>
    <w:p>
      <w:pPr>
        <w:pStyle w:val="16"/>
        <w:numPr>
          <w:ilvl w:val="0"/>
          <w:numId w:val="11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第二步回放：录音结束后，点击下方的播放按钮。此时可以回放刚才的录音，如果能听到声音就表示麦克风和扬声器正常。如果无法听到录音，请检查麦克风和扬声器是否可以正常使用，或者扬声器未静音。</w:t>
      </w:r>
    </w:p>
    <w:p>
      <w:pPr>
        <w:keepNext/>
        <w:spacing w:after="0" w:line="360" w:lineRule="auto"/>
        <w:outlineLvl w:val="3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1.</w:t>
      </w:r>
      <w:r>
        <w:rPr>
          <w:rFonts w:ascii="微软雅黑" w:hAnsi="微软雅黑" w:eastAsia="微软雅黑"/>
          <w:b/>
          <w:bCs/>
        </w:rPr>
        <w:t>4</w:t>
      </w:r>
      <w:r>
        <w:rPr>
          <w:rFonts w:hint="eastAsia" w:ascii="微软雅黑" w:hAnsi="微软雅黑" w:eastAsia="微软雅黑"/>
          <w:b/>
          <w:bCs/>
        </w:rPr>
        <w:t>.2.1 摄像头和麦克风被屏蔽如何解决？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如果未授权面试系统使用摄像头和麦克风，将看到如下图所示的提示信息。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3695065" cy="1393825"/>
            <wp:effectExtent l="19050" t="19050" r="19685" b="158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400" cy="1394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请根据提示信息上的操作指令开启摄像头和麦克风，开启后可以点击“刷新”查看。</w:t>
      </w:r>
    </w:p>
    <w:p>
      <w:pPr>
        <w:keepNext/>
        <w:spacing w:after="0" w:line="360" w:lineRule="auto"/>
        <w:outlineLvl w:val="3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1.</w:t>
      </w:r>
      <w:r>
        <w:rPr>
          <w:rFonts w:ascii="微软雅黑" w:hAnsi="微软雅黑" w:eastAsia="微软雅黑"/>
          <w:b/>
          <w:bCs/>
        </w:rPr>
        <w:t>4</w:t>
      </w:r>
      <w:r>
        <w:rPr>
          <w:rFonts w:hint="eastAsia" w:ascii="微软雅黑" w:hAnsi="微软雅黑" w:eastAsia="微软雅黑"/>
          <w:b/>
          <w:bCs/>
        </w:rPr>
        <w:t>.2.2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Windows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10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或 Windows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8/8.1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中摄像头和麦克风被屏蔽如何解决？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如果操作系统为 Windows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10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 xml:space="preserve">或 </w:t>
      </w:r>
      <w:r>
        <w:rPr>
          <w:rFonts w:ascii="微软雅黑" w:hAnsi="微软雅黑" w:eastAsia="微软雅黑"/>
        </w:rPr>
        <w:t>Windows 8/8.1</w:t>
      </w:r>
      <w:r>
        <w:rPr>
          <w:rFonts w:hint="eastAsia" w:ascii="微软雅黑" w:hAnsi="微软雅黑" w:eastAsia="微软雅黑"/>
        </w:rPr>
        <w:t>，根据 1.</w:t>
      </w:r>
      <w:r>
        <w:rPr>
          <w:rFonts w:ascii="微软雅黑" w:hAnsi="微软雅黑" w:eastAsia="微软雅黑"/>
        </w:rPr>
        <w:t>4</w:t>
      </w:r>
      <w:r>
        <w:rPr>
          <w:rFonts w:hint="eastAsia" w:ascii="微软雅黑" w:hAnsi="微软雅黑" w:eastAsia="微软雅黑"/>
        </w:rPr>
        <w:t>.2.1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节中的步骤操作后依然无法解决，请尝试以下步骤。</w:t>
      </w:r>
    </w:p>
    <w:p>
      <w:pPr>
        <w:pStyle w:val="16"/>
        <w:numPr>
          <w:ilvl w:val="0"/>
          <w:numId w:val="12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点击“开始”菜单 </w:t>
      </w:r>
      <w:r>
        <w:rPr>
          <w:rFonts w:ascii="微软雅黑" w:hAnsi="微软雅黑" w:eastAsia="微软雅黑"/>
        </w:rPr>
        <w:sym w:font="Wingdings" w:char="F0E0"/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打开“设置”。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486400" cy="3270885"/>
            <wp:effectExtent l="19050" t="19050" r="19050" b="2476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0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12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点击“隐私”</w:t>
      </w:r>
      <w:r>
        <w:rPr>
          <w:rFonts w:ascii="微软雅黑" w:hAnsi="微软雅黑" w:eastAsia="微软雅黑"/>
        </w:rPr>
        <w:t xml:space="preserve"> </w:t>
      </w:r>
      <w:r>
        <w:rPr>
          <w:rFonts w:ascii="微软雅黑" w:hAnsi="微软雅黑" w:eastAsia="微软雅黑"/>
        </w:rPr>
        <w:sym w:font="Wingdings" w:char="F0E0"/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点击左侧菜单“相机”。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486400" cy="3270885"/>
            <wp:effectExtent l="19050" t="19050" r="19050" b="2476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0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13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确保“允许在此设备上访问相机”已打开，若未打开，请点击“更改”按钮来打开。</w:t>
      </w:r>
    </w:p>
    <w:p>
      <w:pPr>
        <w:pStyle w:val="16"/>
        <w:numPr>
          <w:ilvl w:val="0"/>
          <w:numId w:val="13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确保“允许应用访问你的相机”已打开，若未打开，请打开对应的开关。</w:t>
      </w:r>
    </w:p>
    <w:p>
      <w:pPr>
        <w:pStyle w:val="16"/>
        <w:numPr>
          <w:ilvl w:val="0"/>
          <w:numId w:val="13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确保“允许桌面应用访问你的相机”已打开，若未打开，请打开对应的开关，如下图所示。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3637280" cy="2042160"/>
            <wp:effectExtent l="19050" t="19050" r="20320" b="1524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7440" cy="2042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12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点击左侧菜单“麦克风”。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486400" cy="3270885"/>
            <wp:effectExtent l="19050" t="19050" r="19050" b="2476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0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13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确保“允许在此设备上访问麦克风”已打开，若未打开，请点击“更改”按钮来打开。</w:t>
      </w:r>
    </w:p>
    <w:p>
      <w:pPr>
        <w:pStyle w:val="16"/>
        <w:numPr>
          <w:ilvl w:val="0"/>
          <w:numId w:val="13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确保“允许应用访问你的麦克风”已打开，若未打开，请打开对应的开关。</w:t>
      </w:r>
    </w:p>
    <w:p>
      <w:pPr>
        <w:pStyle w:val="16"/>
        <w:numPr>
          <w:ilvl w:val="0"/>
          <w:numId w:val="13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确保“允许桌面应用访问你的麦克风”已打开，若未打开，请打开对应的开关，如下图所示。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3596640" cy="2011680"/>
            <wp:effectExtent l="19050" t="19050" r="22860" b="266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6760" cy="2011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spacing w:after="0" w:line="360" w:lineRule="auto"/>
        <w:outlineLvl w:val="3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1.</w:t>
      </w:r>
      <w:r>
        <w:rPr>
          <w:rFonts w:ascii="微软雅黑" w:hAnsi="微软雅黑" w:eastAsia="微软雅黑"/>
          <w:b/>
          <w:bCs/>
        </w:rPr>
        <w:t>4</w:t>
      </w:r>
      <w:r>
        <w:rPr>
          <w:rFonts w:hint="eastAsia" w:ascii="微软雅黑" w:hAnsi="微软雅黑" w:eastAsia="微软雅黑"/>
          <w:b/>
          <w:bCs/>
        </w:rPr>
        <w:t>.2.3 切换摄像头、麦克风、扬声器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如果具有多个摄像头 和/或 麦克风 和/或 扬声器，可以根据需要在设备间进行切换。</w:t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1.</w:t>
      </w:r>
      <w:r>
        <w:rPr>
          <w:rFonts w:ascii="微软雅黑" w:hAnsi="微软雅黑" w:eastAsia="微软雅黑"/>
          <w:b/>
          <w:bCs/>
        </w:rPr>
        <w:t>4</w:t>
      </w:r>
      <w:r>
        <w:rPr>
          <w:rFonts w:hint="eastAsia" w:ascii="微软雅黑" w:hAnsi="微软雅黑" w:eastAsia="微软雅黑"/>
          <w:b/>
          <w:bCs/>
        </w:rPr>
        <w:t>.3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检测网络环境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完成麦克风和扬声器调试后，需要检测网络环境。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4076065" cy="4723765"/>
            <wp:effectExtent l="19050" t="19050" r="19685" b="196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76640" cy="4724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如果网络检测结果为“网络连接正常”，则表明可以正常进行面试，否则无法正常面试。</w:t>
      </w:r>
    </w:p>
    <w:p>
      <w:pPr>
        <w:keepNext/>
        <w:spacing w:after="0" w:line="360" w:lineRule="auto"/>
        <w:outlineLvl w:val="3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1.</w:t>
      </w:r>
      <w:r>
        <w:rPr>
          <w:rFonts w:ascii="微软雅黑" w:hAnsi="微软雅黑" w:eastAsia="微软雅黑"/>
          <w:b/>
          <w:bCs/>
        </w:rPr>
        <w:t>4</w:t>
      </w:r>
      <w:r>
        <w:rPr>
          <w:rFonts w:hint="eastAsia" w:ascii="微软雅黑" w:hAnsi="微软雅黑" w:eastAsia="微软雅黑"/>
          <w:b/>
          <w:bCs/>
        </w:rPr>
        <w:t>.3.</w:t>
      </w:r>
      <w:r>
        <w:rPr>
          <w:rFonts w:ascii="微软雅黑" w:hAnsi="微软雅黑" w:eastAsia="微软雅黑"/>
          <w:b/>
          <w:bCs/>
        </w:rPr>
        <w:t xml:space="preserve">1 </w:t>
      </w:r>
      <w:r>
        <w:rPr>
          <w:rFonts w:hint="eastAsia" w:ascii="微软雅黑" w:hAnsi="微软雅黑" w:eastAsia="微软雅黑"/>
          <w:b/>
          <w:bCs/>
        </w:rPr>
        <w:t>视频面试对网络有什么要求？</w:t>
      </w:r>
    </w:p>
    <w:p>
      <w:pPr>
        <w:pStyle w:val="16"/>
        <w:numPr>
          <w:ilvl w:val="0"/>
          <w:numId w:val="14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网络带宽：无特殊情况下，网络下行带宽 ≥ </w:t>
      </w:r>
      <w:r>
        <w:rPr>
          <w:rFonts w:ascii="微软雅黑" w:hAnsi="微软雅黑" w:eastAsia="微软雅黑"/>
        </w:rPr>
        <w:t>10Mbsp</w:t>
      </w:r>
      <w:r>
        <w:rPr>
          <w:rFonts w:hint="eastAsia" w:ascii="微软雅黑" w:hAnsi="微软雅黑" w:eastAsia="微软雅黑"/>
        </w:rPr>
        <w:t xml:space="preserve"> 且 上行带宽 ≥ 2Mbps，通常 4G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网络环境可满足带宽要求。</w:t>
      </w:r>
    </w:p>
    <w:p>
      <w:pPr>
        <w:pStyle w:val="16"/>
        <w:numPr>
          <w:ilvl w:val="0"/>
          <w:numId w:val="14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请确保调试环境与正式面试时的环境一致。</w:t>
      </w:r>
    </w:p>
    <w:p>
      <w:pPr>
        <w:pStyle w:val="16"/>
        <w:numPr>
          <w:ilvl w:val="0"/>
          <w:numId w:val="14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尽可能不要使用单位电脑，特别是加入单位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Windows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域中的电脑。</w:t>
      </w:r>
    </w:p>
    <w:p>
      <w:pPr>
        <w:pStyle w:val="16"/>
        <w:numPr>
          <w:ilvl w:val="0"/>
          <w:numId w:val="14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尽可能在家 或 使用 4G 热点的参加面试。</w:t>
      </w:r>
    </w:p>
    <w:p>
      <w:pPr>
        <w:pStyle w:val="16"/>
        <w:numPr>
          <w:ilvl w:val="0"/>
          <w:numId w:val="14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建议使用有线网络。如果使用无线网络，则务必确保无线信号良好。</w:t>
      </w:r>
    </w:p>
    <w:p>
      <w:pPr>
        <w:pStyle w:val="16"/>
        <w:numPr>
          <w:ilvl w:val="0"/>
          <w:numId w:val="14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不要使用的公共无线网络，如机场、火车站等地提供的免费 Wi-Fi。</w:t>
      </w:r>
    </w:p>
    <w:p>
      <w:pPr>
        <w:keepNext/>
        <w:spacing w:after="0" w:line="360" w:lineRule="auto"/>
        <w:outlineLvl w:val="3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1.</w:t>
      </w:r>
      <w:r>
        <w:rPr>
          <w:rFonts w:ascii="微软雅黑" w:hAnsi="微软雅黑" w:eastAsia="微软雅黑"/>
          <w:b/>
          <w:bCs/>
        </w:rPr>
        <w:t>4</w:t>
      </w:r>
      <w:r>
        <w:rPr>
          <w:rFonts w:hint="eastAsia" w:ascii="微软雅黑" w:hAnsi="微软雅黑" w:eastAsia="微软雅黑"/>
          <w:b/>
          <w:bCs/>
        </w:rPr>
        <w:t>.3.</w:t>
      </w:r>
      <w:r>
        <w:rPr>
          <w:rFonts w:ascii="微软雅黑" w:hAnsi="微软雅黑" w:eastAsia="微软雅黑"/>
          <w:b/>
          <w:bCs/>
        </w:rPr>
        <w:t xml:space="preserve">2 </w:t>
      </w:r>
      <w:r>
        <w:rPr>
          <w:rFonts w:hint="eastAsia" w:ascii="微软雅黑" w:hAnsi="微软雅黑" w:eastAsia="微软雅黑"/>
          <w:b/>
          <w:bCs/>
        </w:rPr>
        <w:t>网络检测异常如何解决？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遇到网络检测结果为异常时，按以下步骤进行解决。</w:t>
      </w:r>
    </w:p>
    <w:p>
      <w:pPr>
        <w:pStyle w:val="16"/>
        <w:numPr>
          <w:ilvl w:val="0"/>
          <w:numId w:val="15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确认当前环境是否为面试当天的环境。如果不是则需要更换环境后重新检测。</w:t>
      </w:r>
      <w:r>
        <w:rPr>
          <w:rFonts w:hint="eastAsia" w:ascii="微软雅黑" w:hAnsi="微软雅黑" w:eastAsia="微软雅黑"/>
          <w:i/>
          <w:iCs/>
        </w:rPr>
        <w:t>重要说明</w:t>
      </w:r>
      <w:r>
        <w:rPr>
          <w:rFonts w:hint="eastAsia" w:ascii="微软雅黑" w:hAnsi="微软雅黑" w:eastAsia="微软雅黑"/>
        </w:rPr>
        <w:t>：如果设备调试环境与面试当天环境不一致时，即使网络检测通过，也无法确保面试当天的网络正常。</w:t>
      </w:r>
    </w:p>
    <w:p>
      <w:pPr>
        <w:pStyle w:val="16"/>
        <w:numPr>
          <w:ilvl w:val="0"/>
          <w:numId w:val="15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确定是否在单位。一些单位，特别是大型企业的网络很可能会屏蔽某些端口。如果能使用浏览器打开百度页面，只能证明当前网络环境没有限制打开网页（80/443 端口），但视频面试时还需要使用其它端口。此时，建议使用 4G 热点或更换场地来解决。</w:t>
      </w:r>
    </w:p>
    <w:p>
      <w:pPr>
        <w:pStyle w:val="16"/>
        <w:numPr>
          <w:ilvl w:val="0"/>
          <w:numId w:val="15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如果不在单位或者更换 4G 热点后依然异常，确定是否使用的是单位电脑。如果使用了单位电脑，则设备可能处于单位 Windows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域环境，一些单位的域会限制访问某些端口，此时建议更换一台非单位电脑来解决。</w:t>
      </w:r>
    </w:p>
    <w:p>
      <w:pPr>
        <w:keepNext/>
        <w:pageBreakBefore/>
        <w:spacing w:before="240" w:beforeLines="100" w:after="120" w:afterLines="50" w:line="360" w:lineRule="auto"/>
        <w:outlineLvl w:val="0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二、面试当天</w:t>
      </w:r>
    </w:p>
    <w:p>
      <w:pPr>
        <w:keepNext/>
        <w:spacing w:before="120" w:beforeLines="50" w:after="0" w:line="360" w:lineRule="auto"/>
        <w:outlineLvl w:val="1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2.1</w:t>
      </w:r>
      <w:r>
        <w:rPr>
          <w:rFonts w:ascii="微软雅黑" w:hAnsi="微软雅黑" w:eastAsia="微软雅黑"/>
          <w:b/>
          <w:bCs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b/>
          <w:bCs/>
          <w:sz w:val="24"/>
          <w:szCs w:val="24"/>
        </w:rPr>
        <w:t>准备工作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面试当天，候选人需要提前准备好以下各项工作。</w:t>
      </w:r>
    </w:p>
    <w:p>
      <w:pPr>
        <w:pStyle w:val="28"/>
        <w:numPr>
          <w:ilvl w:val="0"/>
          <w:numId w:val="16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一台台式机或笔记本电脑，具体设备要求参见 1.1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节。</w:t>
      </w:r>
    </w:p>
    <w:p>
      <w:pPr>
        <w:pStyle w:val="28"/>
        <w:numPr>
          <w:ilvl w:val="0"/>
          <w:numId w:val="16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根据报名时的证件类型，准备对应的身份证件原件，如港澳居民来往内地通行证、台湾居民来往大陆通行证、境外护照等。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i/>
          <w:iCs/>
        </w:rPr>
        <w:t>注意事项：</w:t>
      </w:r>
      <w:r>
        <w:rPr>
          <w:rFonts w:hint="eastAsia" w:ascii="微软雅黑" w:hAnsi="微软雅黑" w:eastAsia="微软雅黑"/>
        </w:rPr>
        <w:t>如果使用笔记本电脑，请使用电源，以防电池耗尽影响面试。</w:t>
      </w:r>
    </w:p>
    <w:p>
      <w:pPr>
        <w:keepNext/>
        <w:spacing w:before="120" w:beforeLines="50" w:after="0" w:line="360" w:lineRule="auto"/>
        <w:outlineLvl w:val="1"/>
        <w:rPr>
          <w:rFonts w:ascii="微软雅黑" w:hAnsi="微软雅黑" w:eastAsia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/>
          <w:b/>
          <w:bCs/>
          <w:sz w:val="24"/>
          <w:szCs w:val="24"/>
        </w:rPr>
        <w:t>2.2</w:t>
      </w:r>
      <w:r>
        <w:rPr>
          <w:rFonts w:ascii="微软雅黑" w:hAnsi="微软雅黑" w:eastAsia="微软雅黑"/>
          <w:b/>
          <w:bCs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b/>
          <w:bCs/>
          <w:sz w:val="24"/>
          <w:szCs w:val="24"/>
        </w:rPr>
        <w:t>面试流程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760720" cy="698500"/>
            <wp:effectExtent l="38100" t="0" r="49530" b="0"/>
            <wp:docPr id="3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2.2.1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登录系统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候选人需要使用谷歌浏览器登录，面试地址在面试前告知。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4886325" cy="257619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4576" cy="258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请根据报名时的证件号码，选择证件类型，输入证件号码，完成输入后点击“登录”按钮。</w:t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2.2.2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确认信息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候选人核对信息无误后点击“正确”按钮，如果信息有错误，需要点击“错误”按钮，并尽快联系主办方。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4591050" cy="2119630"/>
            <wp:effectExtent l="19050" t="19050" r="1905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08036" cy="212748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2.2.</w:t>
      </w:r>
      <w:r>
        <w:rPr>
          <w:rFonts w:ascii="微软雅黑" w:hAnsi="微软雅黑" w:eastAsia="微软雅黑"/>
          <w:b/>
          <w:bCs/>
        </w:rPr>
        <w:t xml:space="preserve">3 </w:t>
      </w:r>
      <w:r>
        <w:rPr>
          <w:rFonts w:hint="eastAsia" w:ascii="微软雅黑" w:hAnsi="微软雅黑" w:eastAsia="微软雅黑"/>
          <w:b/>
          <w:bCs/>
        </w:rPr>
        <w:t>实人认证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考生首次进入面试系统，需要进行实人认证。实人认证流程如下图所示。</w:t>
      </w:r>
    </w:p>
    <w:p>
      <w:pPr>
        <w:pStyle w:val="24"/>
        <w:numPr>
          <w:ilvl w:val="0"/>
          <w:numId w:val="17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使用“居民身份证”或“港澳台居住证”的考生，请根据系统提示操作实人认证</w:t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1725295" cy="2393315"/>
            <wp:effectExtent l="0" t="0" r="825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rcRect r="48199" b="1772"/>
                    <a:stretch>
                      <a:fillRect/>
                    </a:stretch>
                  </pic:blipFill>
                  <pic:spPr>
                    <a:xfrm>
                      <a:off x="0" y="0"/>
                      <a:ext cx="1736928" cy="24092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4"/>
        <w:spacing w:after="0" w:line="360" w:lineRule="auto"/>
        <w:ind w:left="360"/>
        <w:jc w:val="center"/>
        <w:rPr>
          <w:rFonts w:hint="eastAsia"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3110865" cy="1835150"/>
            <wp:effectExtent l="0" t="0" r="0" b="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23237" cy="184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4"/>
        <w:spacing w:after="0" w:line="360" w:lineRule="auto"/>
        <w:ind w:left="360"/>
        <w:jc w:val="center"/>
        <w:rPr>
          <w:rFonts w:ascii="微软雅黑" w:hAnsi="微软雅黑" w:eastAsia="微软雅黑"/>
        </w:rPr>
      </w:pPr>
    </w:p>
    <w:p>
      <w:pPr>
        <w:spacing w:line="276" w:lineRule="auto"/>
        <w:ind w:firstLine="44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请考生务必在面试前完成实人认证，未完成实人认证或者实人认证失败的考生将无法进入面试。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2.2.</w:t>
      </w:r>
      <w:r>
        <w:rPr>
          <w:rFonts w:ascii="微软雅黑" w:hAnsi="微软雅黑" w:eastAsia="微软雅黑"/>
          <w:b/>
          <w:bCs/>
        </w:rPr>
        <w:t xml:space="preserve">4 </w:t>
      </w:r>
      <w:r>
        <w:rPr>
          <w:rFonts w:hint="eastAsia" w:ascii="微软雅黑" w:hAnsi="微软雅黑" w:eastAsia="微软雅黑"/>
          <w:b/>
          <w:bCs/>
        </w:rPr>
        <w:t>进入面试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候选人在实人认证后，将看到“我的面试”列表。在此列表中将显示所有我最近 15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天内所有的面试。通常情况下，候选人只会看到一场面试，若有面试模拟测试场次请注意区分。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760720" cy="3174365"/>
            <wp:effectExtent l="0" t="0" r="0" b="6985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找到对应的面试，然后点击该面试右侧的“进入面试”按钮。</w:t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2.2.</w:t>
      </w:r>
      <w:r>
        <w:rPr>
          <w:rFonts w:ascii="微软雅黑" w:hAnsi="微软雅黑" w:eastAsia="微软雅黑"/>
          <w:b/>
          <w:bCs/>
        </w:rPr>
        <w:t xml:space="preserve">5 </w:t>
      </w:r>
      <w:r>
        <w:rPr>
          <w:rFonts w:hint="eastAsia" w:ascii="微软雅黑" w:hAnsi="微软雅黑" w:eastAsia="微软雅黑"/>
          <w:b/>
          <w:bCs/>
        </w:rPr>
        <w:t>确认事项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进入面试，在面试步骤页面上可以看到“确认事项”，点击“确认事项”可以查看到副视角对手机设备的要求。</w:t>
      </w:r>
    </w:p>
    <w:p>
      <w:pPr>
        <w:spacing w:after="0" w:line="360" w:lineRule="auto"/>
        <w:ind w:firstLine="1100" w:firstLineChars="5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4187190" cy="2941320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0652" cy="295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2.2</w:t>
      </w:r>
      <w:r>
        <w:rPr>
          <w:rFonts w:ascii="微软雅黑" w:hAnsi="微软雅黑" w:eastAsia="微软雅黑"/>
          <w:b/>
          <w:bCs/>
        </w:rPr>
        <w:t xml:space="preserve">.6 </w:t>
      </w:r>
      <w:r>
        <w:rPr>
          <w:rFonts w:hint="eastAsia" w:ascii="微软雅黑" w:hAnsi="微软雅黑" w:eastAsia="微软雅黑"/>
          <w:b/>
          <w:bCs/>
        </w:rPr>
        <w:t>查看须知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完成确认事项后，须查看面试须知，点击“阅读须知”按钮将显示面试须知内容。请认真阅读面试须知，完成后点击“我已认真阅读”按钮。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4056380" cy="2879725"/>
            <wp:effectExtent l="19050" t="19050" r="20320" b="158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56604" cy="288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2.2.</w:t>
      </w:r>
      <w:r>
        <w:rPr>
          <w:rFonts w:ascii="微软雅黑" w:hAnsi="微软雅黑" w:eastAsia="微软雅黑"/>
          <w:b/>
          <w:bCs/>
        </w:rPr>
        <w:t xml:space="preserve">7 </w:t>
      </w:r>
      <w:r>
        <w:rPr>
          <w:rFonts w:hint="eastAsia" w:ascii="微软雅黑" w:hAnsi="微软雅黑" w:eastAsia="微软雅黑"/>
          <w:b/>
          <w:bCs/>
        </w:rPr>
        <w:t>签署承诺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须知查看并确认后，须签署承诺书，点击“阅读承诺”按钮将显示承诺书，请认真阅读承诺书内容，勾选我已认真阅读并点击“我承诺遵守上述相关规定”按钮。</w:t>
      </w:r>
    </w:p>
    <w:p>
      <w:pPr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4044315" cy="2879725"/>
            <wp:effectExtent l="19050" t="19050" r="13335" b="1587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44734" cy="288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2.2.</w:t>
      </w:r>
      <w:r>
        <w:rPr>
          <w:rFonts w:ascii="微软雅黑" w:hAnsi="微软雅黑" w:eastAsia="微软雅黑"/>
          <w:b/>
          <w:bCs/>
        </w:rPr>
        <w:t xml:space="preserve">8 </w:t>
      </w:r>
      <w:r>
        <w:rPr>
          <w:rFonts w:hint="eastAsia" w:ascii="微软雅黑" w:hAnsi="微软雅黑" w:eastAsia="微软雅黑"/>
          <w:b/>
          <w:bCs/>
        </w:rPr>
        <w:t>人脸核验</w:t>
      </w:r>
    </w:p>
    <w:p>
      <w:r>
        <w:rPr>
          <w:rFonts w:hint="eastAsia" w:ascii="微软雅黑" w:hAnsi="微软雅黑" w:eastAsia="微软雅黑"/>
        </w:rPr>
        <w:t>接下来，考生需要完成人脸核验，点击“立即核验”按钮。</w:t>
      </w:r>
    </w:p>
    <w:p>
      <w:pPr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3989070" cy="2879725"/>
            <wp:effectExtent l="19050" t="19050" r="11430" b="1587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89608" cy="288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2.2.</w:t>
      </w:r>
      <w:r>
        <w:rPr>
          <w:rFonts w:ascii="微软雅黑" w:hAnsi="微软雅黑" w:eastAsia="微软雅黑"/>
          <w:b/>
          <w:bCs/>
        </w:rPr>
        <w:t xml:space="preserve">9 </w:t>
      </w:r>
      <w:r>
        <w:rPr>
          <w:rFonts w:hint="eastAsia" w:ascii="微软雅黑" w:hAnsi="微软雅黑" w:eastAsia="微软雅黑"/>
          <w:b/>
          <w:bCs/>
        </w:rPr>
        <w:t>设备调试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完成人脸核验后</w:t>
      </w:r>
      <w:r>
        <w:rPr>
          <w:rFonts w:hint="eastAsia" w:ascii="微软雅黑" w:hAnsi="微软雅黑" w:eastAsia="微软雅黑"/>
        </w:rPr>
        <w:t>需要进行设备调试，点击“设备调试”按钮，根据要求完成设备调试。</w:t>
      </w:r>
    </w:p>
    <w:p>
      <w:pPr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4023360" cy="2879725"/>
            <wp:effectExtent l="19050" t="19050" r="15240" b="1587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23804" cy="288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2.2</w:t>
      </w:r>
      <w:r>
        <w:rPr>
          <w:rFonts w:ascii="微软雅黑" w:hAnsi="微软雅黑" w:eastAsia="微软雅黑"/>
          <w:b/>
          <w:bCs/>
        </w:rPr>
        <w:t>.10 等待面试</w:t>
      </w:r>
      <w:r>
        <w:rPr>
          <w:rFonts w:hint="eastAsia" w:ascii="微软雅黑" w:hAnsi="微软雅黑" w:eastAsia="微软雅黑"/>
          <w:b/>
          <w:bCs/>
        </w:rPr>
        <w:t>/开启副视角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在等待面试开始前，考生需要开启副视角。请按规定的时间提前开启副视角。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首先，考生点击“开启副视角”按钮，点击后显示如下图所示界面。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4000500" cy="2604135"/>
            <wp:effectExtent l="19050" t="19050" r="19050" b="24765"/>
            <wp:docPr id="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03705" cy="2606507"/>
                    </a:xfrm>
                    <a:prstGeom prst="rect">
                      <a:avLst/>
                    </a:prstGeom>
                    <a:ln w="9525"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然后，如果考生使用苹果手机，需要使用系统中自带的“相机”应用扫描界面中显示的二维码。如果考生使用安卓手机，需要使用手机打开微信 </w:t>
      </w:r>
      <w:r>
        <w:rPr>
          <w:rFonts w:ascii="微软雅黑" w:hAnsi="微软雅黑" w:eastAsia="微软雅黑"/>
        </w:rPr>
        <w:t>7.0</w:t>
      </w:r>
      <w:r>
        <w:rPr>
          <w:rFonts w:hint="eastAsia" w:ascii="微软雅黑" w:hAnsi="微软雅黑" w:eastAsia="微软雅黑"/>
        </w:rPr>
        <w:t>（及以上），通过“扫一扫”功能扫描界面中显示的二维码。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扫码成功后，手机上会显示如下图所示页面，考生需要按照页面上的说明设置。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2098040" cy="2762250"/>
            <wp:effectExtent l="19050" t="19050" r="16510" b="190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271" cy="2770156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考生开启副视角后，需要按照页面上的说明进一步进行设置。</w:t>
      </w:r>
    </w:p>
    <w:p>
      <w:pPr>
        <w:pStyle w:val="24"/>
        <w:numPr>
          <w:ilvl w:val="0"/>
          <w:numId w:val="18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首先需要点击“开启摄像头和麦克风”按钮，点击按钮会可能会询问是否允许使用摄像头和/或麦克风，请务必选择允许使用。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2089150" cy="3124200"/>
            <wp:effectExtent l="19050" t="19050" r="25400" b="1905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610" cy="31242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4"/>
        <w:numPr>
          <w:ilvl w:val="0"/>
          <w:numId w:val="18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接下来考生需要确认如上图所示的四个注意事项，并逐个点击确认，确认后每条事项后面的方框会被打上勾。如果需要帮助，可以点击每条事项中的问号图标，点击后将会显示具体说明和操作步骤。</w:t>
      </w:r>
    </w:p>
    <w:p>
      <w:pPr>
        <w:pStyle w:val="24"/>
        <w:numPr>
          <w:ilvl w:val="0"/>
          <w:numId w:val="18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需要特别注意是，通常情况下，在面试过程中考生不应当使用该手机。同时，手机应当按如下图所示进行摆放。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3206750</wp:posOffset>
            </wp:positionH>
            <wp:positionV relativeFrom="paragraph">
              <wp:posOffset>347980</wp:posOffset>
            </wp:positionV>
            <wp:extent cx="3065780" cy="2265045"/>
            <wp:effectExtent l="0" t="0" r="1270" b="1905"/>
            <wp:wrapSquare wrapText="bothSides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drawing>
          <wp:inline distT="0" distB="0" distL="0" distR="0">
            <wp:extent cx="3088005" cy="2472055"/>
            <wp:effectExtent l="0" t="0" r="0" b="4445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70066" cy="253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4"/>
        <w:numPr>
          <w:ilvl w:val="0"/>
          <w:numId w:val="18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完成以上事项确认和设置后，点击“我已完成以上系统设置”按钮。点击按钮会可能会询问是否允许使用摄像头和/或麦克风，请务必选择允许使用。</w:t>
      </w:r>
    </w:p>
    <w:p>
      <w:pPr>
        <w:pStyle w:val="24"/>
        <w:numPr>
          <w:ilvl w:val="0"/>
          <w:numId w:val="18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在新打开的页面中，考生可以点击“开启”按钮右侧的相机图标来切换手机的前置或后置摄像头，调整好摄像头并摆放好手机后，点击“开启”按钮。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2133600</wp:posOffset>
                </wp:positionV>
                <wp:extent cx="257175" cy="390525"/>
                <wp:effectExtent l="0" t="0" r="28575" b="285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5.75pt;margin-top:168pt;height:30.75pt;width:20.25pt;z-index:251659264;v-text-anchor:middle;mso-width-relative:page;mso-height-relative:page;" fillcolor="#000000 [3200]" filled="t" stroked="t" coordsize="21600,21600" o:gfxdata="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ZFg4Z2gAAAAsBAAAPAAAAAAAAAAEAIAAAACIA&#10;AABkcnMvZG93bnJldi54bWxQSwECFAAUAAAACACHTuJAPn6DOHkCAAAUBQAADgAAAAAAAAABACAA&#10;AAApAQAAZHJzL2Uyb0RvYy54bWxQSwUGAAAAAAYABgBZAQAAFAYAAAAA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</w:rPr>
        <w:drawing>
          <wp:inline distT="0" distB="0" distL="0" distR="0">
            <wp:extent cx="1732280" cy="2895600"/>
            <wp:effectExtent l="0" t="0" r="1270" b="0"/>
            <wp:docPr id="31" name="Picture 3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text, applicati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35937" cy="290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4"/>
        <w:numPr>
          <w:ilvl w:val="0"/>
          <w:numId w:val="18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开启后，页面底部的蓝色开启按钮会变成红色的“关闭”按钮，同时页面右上角会显示“监控开启中”。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1844040" cy="3029585"/>
            <wp:effectExtent l="0" t="0" r="10160" b="5715"/>
            <wp:docPr id="9" name="Picture 42" descr="C:\Users\ATA\Desktop\88d9bb042be0cdd4186d8cf4f2da6ed.png88d9bb042be0cdd4186d8cf4f2da6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2" descr="C:\Users\ATA\Desktop\88d9bb042be0cdd4186d8cf4f2da6ed.png88d9bb042be0cdd4186d8cf4f2da6ed"/>
                    <pic:cNvPicPr>
                      <a:picLocks noChangeAspect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304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4"/>
        <w:numPr>
          <w:ilvl w:val="0"/>
          <w:numId w:val="18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此时，可以返回电脑端查看效果，如果不符合要求需要重新调整，直到符合摆放要求。完成后在电脑端点击“我已开启”按钮，至此，副视角已完成所有设置并开启。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3876675" cy="2489835"/>
            <wp:effectExtent l="19050" t="19050" r="9525" b="24765"/>
            <wp:docPr id="2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881889" cy="2493404"/>
                    </a:xfrm>
                    <a:prstGeom prst="rect">
                      <a:avLst/>
                    </a:prstGeom>
                    <a:ln w="9525"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8）</w:t>
      </w:r>
      <w:r>
        <w:rPr>
          <w:rFonts w:hint="eastAsia" w:ascii="微软雅黑" w:hAnsi="微软雅黑" w:eastAsia="微软雅黑"/>
        </w:rPr>
        <w:t>面试结束后，考生可以点击“关闭”按钮结束。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9）在面试过程中，如果提示“副视角未开启，请开启副视角”请点击“未开启”或“开启副视角”，点击后会显示副视角的相关信息，根据页面提示即可完成副视角开启和设置。</w:t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</w:t>
      </w:r>
      <w:r>
        <w:rPr>
          <w:rFonts w:ascii="微软雅黑" w:hAnsi="微软雅黑" w:eastAsia="微软雅黑"/>
          <w:b/>
          <w:bCs/>
        </w:rPr>
        <w:t xml:space="preserve">.2.11 </w:t>
      </w:r>
      <w:r>
        <w:rPr>
          <w:rFonts w:hint="eastAsia" w:ascii="微软雅黑" w:hAnsi="微软雅黑" w:eastAsia="微软雅黑"/>
          <w:b/>
          <w:bCs/>
        </w:rPr>
        <w:t>进入面试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根据页面上显示面试时间（如下图所示），请候选人提前进入面试间等待。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4020185" cy="2879725"/>
            <wp:effectExtent l="19050" t="19050" r="18415" b="1587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20553" cy="288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2.2.1</w:t>
      </w:r>
      <w:r>
        <w:rPr>
          <w:rFonts w:ascii="微软雅黑" w:hAnsi="微软雅黑" w:eastAsia="微软雅黑"/>
          <w:b/>
          <w:bCs/>
        </w:rPr>
        <w:t>2</w:t>
      </w:r>
      <w:r>
        <w:rPr>
          <w:rFonts w:hint="eastAsia" w:ascii="微软雅黑" w:hAnsi="微软雅黑" w:eastAsia="微软雅黑"/>
          <w:b/>
          <w:bCs/>
        </w:rPr>
        <w:t xml:space="preserve"> 等待面试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drawing>
          <wp:inline distT="0" distB="0" distL="0" distR="0">
            <wp:extent cx="5486400" cy="2239010"/>
            <wp:effectExtent l="0" t="0" r="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候选人须认真阅读候界面的注意事项，待倒计时结束，候选人点击蓝色</w:t>
      </w:r>
      <w:r>
        <w:rPr>
          <w:rFonts w:ascii="微软雅黑" w:hAnsi="微软雅黑" w:eastAsia="微软雅黑"/>
        </w:rPr>
        <w:t>“</w:t>
      </w:r>
      <w:r>
        <w:rPr>
          <w:rFonts w:hint="eastAsia" w:ascii="微软雅黑" w:hAnsi="微软雅黑" w:eastAsia="微软雅黑"/>
        </w:rPr>
        <w:t>开始面试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按钮进入作答页。</w:t>
      </w:r>
    </w:p>
    <w:p>
      <w:pPr>
        <w:spacing w:after="0" w:line="360" w:lineRule="auto"/>
        <w:rPr>
          <w:rFonts w:ascii="微软雅黑" w:hAnsi="微软雅黑" w:eastAsia="微软雅黑"/>
          <w:color w:val="auto"/>
          <w:highlight w:val="none"/>
        </w:rPr>
      </w:pPr>
      <w:r>
        <w:rPr>
          <w:rFonts w:hint="eastAsia" w:ascii="微软雅黑" w:hAnsi="微软雅黑" w:eastAsia="微软雅黑"/>
          <w:color w:val="auto"/>
          <w:highlight w:val="none"/>
        </w:rPr>
        <w:t>倒计时结束后</w:t>
      </w:r>
      <w:r>
        <w:rPr>
          <w:rFonts w:ascii="微软雅黑" w:hAnsi="微软雅黑" w:eastAsia="微软雅黑"/>
          <w:color w:val="auto"/>
          <w:highlight w:val="none"/>
        </w:rPr>
        <w:t>，只</w:t>
      </w:r>
      <w:r>
        <w:rPr>
          <w:rFonts w:hint="eastAsia" w:ascii="微软雅黑" w:hAnsi="微软雅黑" w:eastAsia="微软雅黑"/>
          <w:color w:val="auto"/>
          <w:highlight w:val="none"/>
        </w:rPr>
        <w:t>有</w:t>
      </w:r>
      <w:r>
        <w:rPr>
          <w:rFonts w:ascii="微软雅黑" w:hAnsi="微软雅黑" w:eastAsia="微软雅黑"/>
          <w:color w:val="auto"/>
          <w:highlight w:val="none"/>
        </w:rPr>
        <w:t>1</w:t>
      </w:r>
      <w:r>
        <w:rPr>
          <w:rFonts w:hint="eastAsia" w:ascii="微软雅黑" w:hAnsi="微软雅黑" w:eastAsia="微软雅黑"/>
          <w:color w:val="auto"/>
          <w:highlight w:val="none"/>
        </w:rPr>
        <w:t>分钟</w:t>
      </w:r>
      <w:r>
        <w:rPr>
          <w:rFonts w:ascii="微软雅黑" w:hAnsi="微软雅黑" w:eastAsia="微软雅黑"/>
          <w:color w:val="auto"/>
          <w:highlight w:val="none"/>
        </w:rPr>
        <w:t>（</w:t>
      </w:r>
      <w:r>
        <w:rPr>
          <w:rFonts w:hint="eastAsia" w:ascii="微软雅黑" w:hAnsi="微软雅黑" w:eastAsia="微软雅黑"/>
          <w:color w:val="auto"/>
          <w:highlight w:val="none"/>
          <w:lang w:val="en-US" w:eastAsia="zh-CN"/>
        </w:rPr>
        <w:t>09</w:t>
      </w:r>
      <w:r>
        <w:rPr>
          <w:rFonts w:hint="eastAsia" w:ascii="微软雅黑" w:hAnsi="微软雅黑" w:eastAsia="微软雅黑"/>
          <w:color w:val="auto"/>
          <w:highlight w:val="none"/>
        </w:rPr>
        <w:t>:00</w:t>
      </w:r>
      <w:r>
        <w:rPr>
          <w:rFonts w:ascii="微软雅黑" w:hAnsi="微软雅黑" w:eastAsia="微软雅黑"/>
          <w:color w:val="auto"/>
          <w:highlight w:val="none"/>
        </w:rPr>
        <w:t>:00-</w:t>
      </w:r>
      <w:r>
        <w:rPr>
          <w:rFonts w:hint="eastAsia" w:ascii="微软雅黑" w:hAnsi="微软雅黑" w:eastAsia="微软雅黑"/>
          <w:color w:val="auto"/>
          <w:highlight w:val="none"/>
          <w:lang w:val="en-US" w:eastAsia="zh-CN"/>
        </w:rPr>
        <w:t>09</w:t>
      </w:r>
      <w:r>
        <w:rPr>
          <w:rFonts w:hint="eastAsia" w:ascii="微软雅黑" w:hAnsi="微软雅黑" w:eastAsia="微软雅黑"/>
          <w:color w:val="auto"/>
          <w:highlight w:val="none"/>
        </w:rPr>
        <w:t>:00:</w:t>
      </w:r>
      <w:r>
        <w:rPr>
          <w:rFonts w:ascii="微软雅黑" w:hAnsi="微软雅黑" w:eastAsia="微软雅黑"/>
          <w:color w:val="auto"/>
          <w:highlight w:val="none"/>
        </w:rPr>
        <w:t>59）</w:t>
      </w:r>
      <w:r>
        <w:rPr>
          <w:rFonts w:hint="eastAsia" w:ascii="微软雅黑" w:hAnsi="微软雅黑" w:eastAsia="微软雅黑"/>
          <w:color w:val="auto"/>
          <w:highlight w:val="none"/>
        </w:rPr>
        <w:t>的时间允许点击“开始面试”，时间截止则无法</w:t>
      </w:r>
      <w:r>
        <w:rPr>
          <w:rFonts w:hint="eastAsia" w:ascii="微软雅黑" w:hAnsi="微软雅黑" w:eastAsia="微软雅黑"/>
          <w:color w:val="auto"/>
          <w:highlight w:val="none"/>
          <w:lang w:val="en-US" w:eastAsia="zh-CN"/>
        </w:rPr>
        <w:t>点击“</w:t>
      </w:r>
      <w:r>
        <w:rPr>
          <w:rFonts w:hint="eastAsia" w:ascii="微软雅黑" w:hAnsi="微软雅黑" w:eastAsia="微软雅黑"/>
          <w:color w:val="auto"/>
          <w:highlight w:val="none"/>
        </w:rPr>
        <w:t>开始面试</w:t>
      </w:r>
      <w:r>
        <w:rPr>
          <w:rFonts w:hint="eastAsia" w:ascii="微软雅黑" w:hAnsi="微软雅黑" w:eastAsia="微软雅黑"/>
          <w:color w:val="auto"/>
          <w:highlight w:val="none"/>
          <w:lang w:eastAsia="zh-CN"/>
        </w:rPr>
        <w:t>”</w:t>
      </w:r>
      <w:r>
        <w:rPr>
          <w:rFonts w:hint="eastAsia" w:ascii="微软雅黑" w:hAnsi="微软雅黑" w:eastAsia="微软雅黑"/>
          <w:color w:val="auto"/>
          <w:highlight w:val="none"/>
          <w:lang w:val="en-US" w:eastAsia="zh-CN"/>
        </w:rPr>
        <w:t>按钮</w:t>
      </w:r>
      <w:r>
        <w:rPr>
          <w:rFonts w:hint="eastAsia" w:ascii="微软雅黑" w:hAnsi="微软雅黑" w:eastAsia="微软雅黑"/>
          <w:color w:val="auto"/>
          <w:highlight w:val="none"/>
        </w:rPr>
        <w:t>。</w:t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  <w:color w:val="auto"/>
          <w:highlight w:val="none"/>
        </w:rPr>
      </w:pPr>
      <w:r>
        <w:rPr>
          <w:rFonts w:hint="eastAsia" w:ascii="微软雅黑" w:hAnsi="微软雅黑" w:eastAsia="微软雅黑"/>
          <w:b/>
          <w:bCs/>
          <w:color w:val="auto"/>
          <w:highlight w:val="none"/>
        </w:rPr>
        <w:t>2.2.1</w:t>
      </w:r>
      <w:r>
        <w:rPr>
          <w:rFonts w:ascii="微软雅黑" w:hAnsi="微软雅黑" w:eastAsia="微软雅黑"/>
          <w:b/>
          <w:bCs/>
          <w:color w:val="auto"/>
          <w:highlight w:val="none"/>
        </w:rPr>
        <w:t>3</w:t>
      </w:r>
      <w:r>
        <w:rPr>
          <w:rFonts w:hint="eastAsia" w:ascii="微软雅黑" w:hAnsi="微软雅黑" w:eastAsia="微软雅黑"/>
          <w:b/>
          <w:bCs/>
          <w:color w:val="auto"/>
          <w:highlight w:val="none"/>
        </w:rPr>
        <w:t xml:space="preserve"> 进行面试</w:t>
      </w:r>
    </w:p>
    <w:p>
      <w:pPr>
        <w:spacing w:after="0" w:line="360" w:lineRule="auto"/>
        <w:rPr>
          <w:rFonts w:ascii="微软雅黑" w:hAnsi="微软雅黑" w:eastAsia="微软雅黑"/>
          <w:color w:val="auto"/>
          <w:highlight w:val="none"/>
        </w:rPr>
      </w:pPr>
      <w:r>
        <w:rPr>
          <w:rFonts w:hint="eastAsia" w:ascii="微软雅黑" w:hAnsi="微软雅黑" w:eastAsia="微软雅黑"/>
          <w:color w:val="auto"/>
          <w:highlight w:val="none"/>
        </w:rPr>
        <w:t>开始面试后，根据面试试题要求，回答面试试题。</w:t>
      </w:r>
      <w:bookmarkStart w:id="0" w:name="_GoBack"/>
      <w:bookmarkEnd w:id="0"/>
    </w:p>
    <w:p>
      <w:pPr>
        <w:spacing w:after="0" w:line="360" w:lineRule="auto"/>
        <w:rPr>
          <w:rFonts w:ascii="微软雅黑" w:hAnsi="微软雅黑" w:eastAsia="微软雅黑"/>
          <w:color w:val="auto"/>
          <w:highlight w:val="none"/>
        </w:rPr>
      </w:pPr>
      <w:r>
        <w:rPr>
          <w:rFonts w:ascii="微软雅黑" w:hAnsi="微软雅黑" w:eastAsia="微软雅黑"/>
          <w:color w:val="auto"/>
          <w:highlight w:val="none"/>
        </w:rPr>
        <w:t>正式面试开始后，请考生按照试题顺序进行作答；考生</w:t>
      </w:r>
      <w:r>
        <w:rPr>
          <w:rFonts w:hint="eastAsia" w:ascii="微软雅黑" w:hAnsi="微软雅黑" w:eastAsia="微软雅黑"/>
          <w:color w:val="auto"/>
          <w:highlight w:val="none"/>
        </w:rPr>
        <w:t>审题5分钟后</w:t>
      </w:r>
      <w:r>
        <w:rPr>
          <w:rFonts w:ascii="微软雅黑" w:hAnsi="微软雅黑" w:eastAsia="微软雅黑"/>
          <w:color w:val="auto"/>
          <w:highlight w:val="none"/>
        </w:rPr>
        <w:t>并准备好作答，请点击“开始录制”按钮并作答，每完成一个问题的回答，请说“第**题答题完毕”；完成所有面试问题的回答，</w:t>
      </w:r>
      <w:r>
        <w:rPr>
          <w:rFonts w:hint="eastAsia" w:ascii="微软雅黑" w:hAnsi="微软雅黑" w:eastAsia="微软雅黑"/>
          <w:color w:val="auto"/>
          <w:highlight w:val="none"/>
        </w:rPr>
        <w:t>请</w:t>
      </w:r>
      <w:r>
        <w:rPr>
          <w:rFonts w:hint="eastAsia" w:ascii="微软雅黑" w:hAnsi="微软雅黑" w:eastAsia="微软雅黑"/>
          <w:color w:val="auto"/>
          <w:highlight w:val="none"/>
          <w:lang w:val="en-US" w:eastAsia="zh-CN"/>
        </w:rPr>
        <w:t>在09:07:59后</w:t>
      </w:r>
      <w:r>
        <w:rPr>
          <w:rFonts w:hint="eastAsia" w:ascii="微软雅黑" w:hAnsi="微软雅黑" w:eastAsia="微软雅黑"/>
          <w:color w:val="auto"/>
          <w:highlight w:val="none"/>
        </w:rPr>
        <w:t>点击“</w:t>
      </w:r>
      <w:r>
        <w:rPr>
          <w:rFonts w:hint="eastAsia" w:ascii="微软雅黑" w:hAnsi="微软雅黑" w:eastAsia="微软雅黑"/>
          <w:color w:val="auto"/>
          <w:highlight w:val="none"/>
          <w:lang w:val="en-US" w:eastAsia="zh-CN"/>
        </w:rPr>
        <w:t>完成录制</w:t>
      </w:r>
      <w:r>
        <w:rPr>
          <w:rFonts w:hint="eastAsia" w:ascii="微软雅黑" w:hAnsi="微软雅黑" w:eastAsia="微软雅黑"/>
          <w:color w:val="auto"/>
          <w:highlight w:val="none"/>
        </w:rPr>
        <w:t>”按钮结束面试，并点击右上角“交卷”按钮（连续确认三次），等待系统交卷。</w:t>
      </w:r>
      <w:r>
        <w:rPr>
          <w:rFonts w:hint="eastAsia" w:ascii="微软雅黑" w:hAnsi="微软雅黑" w:eastAsia="微软雅黑"/>
          <w:color w:val="auto"/>
          <w:highlight w:val="none"/>
        </w:rPr>
        <w:br w:type="textWrapping"/>
      </w:r>
      <w:r>
        <w:rPr>
          <w:rFonts w:hint="eastAsia" w:ascii="微软雅黑" w:hAnsi="微软雅黑" w:eastAsia="微软雅黑"/>
          <w:color w:val="auto"/>
          <w:highlight w:val="none"/>
        </w:rPr>
        <w:t>注意：北京时间</w:t>
      </w:r>
      <w:r>
        <w:rPr>
          <w:rFonts w:hint="eastAsia" w:ascii="微软雅黑" w:hAnsi="微软雅黑" w:eastAsia="微软雅黑"/>
          <w:color w:val="auto"/>
          <w:highlight w:val="none"/>
          <w:lang w:val="en-US" w:eastAsia="zh-CN"/>
        </w:rPr>
        <w:t>09:09:59</w:t>
      </w:r>
      <w:r>
        <w:rPr>
          <w:rFonts w:hint="eastAsia" w:ascii="微软雅黑" w:hAnsi="微软雅黑" w:eastAsia="微软雅黑"/>
          <w:color w:val="auto"/>
          <w:highlight w:val="none"/>
        </w:rPr>
        <w:t>，无论考生是否完成作答，系统将统一结束面试。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drawing>
          <wp:inline distT="0" distB="0" distL="0" distR="0">
            <wp:extent cx="5486400" cy="3065780"/>
            <wp:effectExtent l="0" t="0" r="0" b="127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0" w:line="360" w:lineRule="auto"/>
        <w:outlineLvl w:val="2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2.2.</w:t>
      </w:r>
      <w:r>
        <w:rPr>
          <w:rFonts w:ascii="微软雅黑" w:hAnsi="微软雅黑" w:eastAsia="微软雅黑"/>
          <w:b/>
          <w:bCs/>
        </w:rPr>
        <w:t xml:space="preserve">14 </w:t>
      </w:r>
      <w:r>
        <w:rPr>
          <w:rFonts w:hint="eastAsia" w:ascii="微软雅黑" w:hAnsi="微软雅黑" w:eastAsia="微软雅黑"/>
          <w:b/>
          <w:bCs/>
        </w:rPr>
        <w:t>面试结束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面试结束，候选人作答结束交卷或作答时间结束将自动退出面试。此时，返回“我的面试”列表将看到刚才参加的面试状态已变更为“面试结束”，本次面试全部结束。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4923155" cy="792480"/>
            <wp:effectExtent l="0" t="0" r="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9655" cy="798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微软雅黑" w:hAnsi="微软雅黑" w:eastAsia="微软雅黑"/>
        </w:rPr>
      </w:pPr>
    </w:p>
    <w:p>
      <w:pPr>
        <w:keepNext/>
        <w:spacing w:before="120" w:beforeLines="50" w:after="0" w:line="360" w:lineRule="auto"/>
        <w:outlineLvl w:val="1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三、常见问题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1、面试前，我需要准备什么？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答：面试前，需要准备好面试当天的设备，包括一台台式机 或 笔记本电脑，安装好最新版本的谷歌浏览器，电脑需要配有可以正常使用的扬声器、麦克风和摄像头。详细要求参见 1.</w:t>
      </w:r>
      <w:r>
        <w:rPr>
          <w:rFonts w:ascii="微软雅黑" w:hAnsi="微软雅黑" w:eastAsia="微软雅黑"/>
        </w:rPr>
        <w:t xml:space="preserve">3 </w:t>
      </w:r>
      <w:r>
        <w:rPr>
          <w:rFonts w:hint="eastAsia" w:ascii="微软雅黑" w:hAnsi="微软雅黑" w:eastAsia="微软雅黑"/>
        </w:rPr>
        <w:t>节。同时，还需要做好设备调试工作，调试步骤具体参见 1.</w:t>
      </w:r>
      <w:r>
        <w:rPr>
          <w:rFonts w:ascii="微软雅黑" w:hAnsi="微软雅黑" w:eastAsia="微软雅黑"/>
        </w:rPr>
        <w:t xml:space="preserve">4 </w:t>
      </w:r>
      <w:r>
        <w:rPr>
          <w:rFonts w:hint="eastAsia" w:ascii="微软雅黑" w:hAnsi="微软雅黑" w:eastAsia="微软雅黑"/>
        </w:rPr>
        <w:t>节。如果面试时需要实名认证，那还需要准备好相应的证件（如中国居民身份证等）。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2、能使用平板电脑或手机参加面试吗？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答：不能，本次面试只能使用台式机 或 笔记本电脑，并需要安装最新版谷歌浏览器。谷歌浏览器下载地址：h</w:t>
      </w:r>
      <w:r>
        <w:rPr>
          <w:rFonts w:ascii="微软雅黑" w:hAnsi="微软雅黑" w:eastAsia="微软雅黑"/>
        </w:rPr>
        <w:t>ttps://www.google.cn/chrome</w:t>
      </w:r>
      <w:r>
        <w:rPr>
          <w:rFonts w:hint="eastAsia" w:ascii="微软雅黑" w:hAnsi="微软雅黑" w:eastAsia="微软雅黑"/>
        </w:rPr>
        <w:t>，具体要求参见 1.</w:t>
      </w:r>
      <w:r>
        <w:rPr>
          <w:rFonts w:ascii="微软雅黑" w:hAnsi="微软雅黑" w:eastAsia="微软雅黑"/>
        </w:rPr>
        <w:t xml:space="preserve">3 </w:t>
      </w:r>
      <w:r>
        <w:rPr>
          <w:rFonts w:hint="eastAsia" w:ascii="微软雅黑" w:hAnsi="微软雅黑" w:eastAsia="微软雅黑"/>
        </w:rPr>
        <w:t>节。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3、</w:t>
      </w:r>
      <w:r>
        <w:rPr>
          <w:rFonts w:hint="eastAsia" w:ascii="微软雅黑" w:hAnsi="微软雅黑" w:eastAsia="微软雅黑"/>
          <w:b/>
          <w:bCs/>
        </w:rPr>
        <w:t>我能不能在面试前进行设备调试？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答：可以，可以使用谷歌浏览器打开面试系统，在登录页面上点击“调试设备”按钮进入设备调试界面，调试步骤具体参见 1.</w:t>
      </w:r>
      <w:r>
        <w:rPr>
          <w:rFonts w:ascii="微软雅黑" w:hAnsi="微软雅黑" w:eastAsia="微软雅黑"/>
        </w:rPr>
        <w:t xml:space="preserve">4 </w:t>
      </w:r>
      <w:r>
        <w:rPr>
          <w:rFonts w:hint="eastAsia" w:ascii="微软雅黑" w:hAnsi="微软雅黑" w:eastAsia="微软雅黑"/>
        </w:rPr>
        <w:t>节。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4</w:t>
      </w:r>
      <w:r>
        <w:rPr>
          <w:rFonts w:hint="eastAsia" w:ascii="微软雅黑" w:hAnsi="微软雅黑" w:eastAsia="微软雅黑"/>
          <w:b/>
          <w:bCs/>
        </w:rPr>
        <w:t>、调试环境与面试当天环境不一致可以吗？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答：不可以，必须确保调试环境与正式面试时的环境一致。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5</w:t>
      </w:r>
      <w:r>
        <w:rPr>
          <w:rFonts w:hint="eastAsia" w:ascii="微软雅黑" w:hAnsi="微软雅黑" w:eastAsia="微软雅黑"/>
          <w:b/>
          <w:bCs/>
        </w:rPr>
        <w:t>、如何对摄像头进行调试？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答：具体调试步骤参见 1.</w:t>
      </w:r>
      <w:r>
        <w:rPr>
          <w:rFonts w:ascii="微软雅黑" w:hAnsi="微软雅黑" w:eastAsia="微软雅黑"/>
        </w:rPr>
        <w:t>4</w:t>
      </w:r>
      <w:r>
        <w:rPr>
          <w:rFonts w:hint="eastAsia" w:ascii="微软雅黑" w:hAnsi="微软雅黑" w:eastAsia="微软雅黑"/>
        </w:rPr>
        <w:t>.1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节。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6</w:t>
      </w:r>
      <w:r>
        <w:rPr>
          <w:rFonts w:hint="eastAsia" w:ascii="微软雅黑" w:hAnsi="微软雅黑" w:eastAsia="微软雅黑"/>
          <w:b/>
          <w:bCs/>
        </w:rPr>
        <w:t>、打开了摄像头，但一直无法看到画面，如何解决？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答：首先，请确保摄像头已连接，不建议使用外接的 USB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摄像头。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在确保摄像头已连接后，若依然无法显示画面，可以使用 QQ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或视频会议软件中的视频功能进行测试，如果同样无法显示画面，则可能是摄像头坏了，或者摄像头未能正常安装，建议更换摄像头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或者 重新安装摄像头。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7</w:t>
      </w:r>
      <w:r>
        <w:rPr>
          <w:rFonts w:hint="eastAsia" w:ascii="微软雅黑" w:hAnsi="微软雅黑" w:eastAsia="微软雅黑"/>
          <w:b/>
          <w:bCs/>
        </w:rPr>
        <w:t>、打开网站时，拒绝使用摄像头和麦克风了，如何重新打开？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答：具体步骤参见 1.</w:t>
      </w:r>
      <w:r>
        <w:rPr>
          <w:rFonts w:ascii="微软雅黑" w:hAnsi="微软雅黑" w:eastAsia="微软雅黑"/>
        </w:rPr>
        <w:t>4</w:t>
      </w:r>
      <w:r>
        <w:rPr>
          <w:rFonts w:hint="eastAsia" w:ascii="微软雅黑" w:hAnsi="微软雅黑" w:eastAsia="微软雅黑"/>
        </w:rPr>
        <w:t>.2.1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节。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8</w:t>
      </w:r>
      <w:r>
        <w:rPr>
          <w:rFonts w:hint="eastAsia" w:ascii="微软雅黑" w:hAnsi="微软雅黑" w:eastAsia="微软雅黑"/>
          <w:b/>
          <w:bCs/>
        </w:rPr>
        <w:t>、允许使用摄像头和麦克风了，在 Windows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10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或 Windows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8/8.1</w:t>
      </w:r>
      <w:r>
        <w:rPr>
          <w:rFonts w:ascii="微软雅黑" w:hAnsi="微软雅黑" w:eastAsia="微软雅黑"/>
          <w:b/>
          <w:bCs/>
        </w:rPr>
        <w:t xml:space="preserve"> </w:t>
      </w:r>
      <w:r>
        <w:rPr>
          <w:rFonts w:hint="eastAsia" w:ascii="微软雅黑" w:hAnsi="微软雅黑" w:eastAsia="微软雅黑"/>
          <w:b/>
          <w:bCs/>
        </w:rPr>
        <w:t>中依然显示被屏蔽，如何解决？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答：具体步骤参见 1.</w:t>
      </w:r>
      <w:r>
        <w:rPr>
          <w:rFonts w:ascii="微软雅黑" w:hAnsi="微软雅黑" w:eastAsia="微软雅黑"/>
        </w:rPr>
        <w:t>4</w:t>
      </w:r>
      <w:r>
        <w:rPr>
          <w:rFonts w:hint="eastAsia" w:ascii="微软雅黑" w:hAnsi="微软雅黑" w:eastAsia="微软雅黑"/>
        </w:rPr>
        <w:t>.2.2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节。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9</w:t>
      </w:r>
      <w:r>
        <w:rPr>
          <w:rFonts w:hint="eastAsia" w:ascii="微软雅黑" w:hAnsi="微软雅黑" w:eastAsia="微软雅黑"/>
          <w:b/>
          <w:bCs/>
        </w:rPr>
        <w:t>、无法听到声音，如何解决？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答：首先需要确定已正确安装扬声器，如果未安装扬声器或声卡，请先安装或更换设备。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其次需要确定没有静音或者音量已开到最大，如果静音或音量较小，请解除静音或调节音量到最大。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如果依然无法听到声音，可以使用浏览器打开视频网站（如优酷、腾讯视频、爱奇艺等）观看视频，如果同样无法听到声音，则可能是扬声器坏了，建议更换扬声器。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10</w:t>
      </w:r>
      <w:r>
        <w:rPr>
          <w:rFonts w:hint="eastAsia" w:ascii="微软雅黑" w:hAnsi="微软雅黑" w:eastAsia="微软雅黑"/>
          <w:b/>
          <w:bCs/>
        </w:rPr>
        <w:t>、如何对麦克风和扬声器进行调试？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答：具体调试步骤参见 1.</w:t>
      </w:r>
      <w:r>
        <w:rPr>
          <w:rFonts w:ascii="微软雅黑" w:hAnsi="微软雅黑" w:eastAsia="微软雅黑"/>
        </w:rPr>
        <w:t>4</w:t>
      </w:r>
      <w:r>
        <w:rPr>
          <w:rFonts w:hint="eastAsia" w:ascii="微软雅黑" w:hAnsi="微软雅黑" w:eastAsia="微软雅黑"/>
        </w:rPr>
        <w:t>.2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节。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11、我的网络正常，能够打开网页，但网络检测结果是异常该如何解决？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答：能够使用浏览器打开网页，只能证明当前网络环境没有限制打开网页（80/443 端口），但视频面试时需要使用其它端口。具体解决步骤参见 1.</w:t>
      </w:r>
      <w:r>
        <w:rPr>
          <w:rFonts w:ascii="微软雅黑" w:hAnsi="微软雅黑" w:eastAsia="微软雅黑"/>
        </w:rPr>
        <w:t>4</w:t>
      </w:r>
      <w:r>
        <w:rPr>
          <w:rFonts w:hint="eastAsia" w:ascii="微软雅黑" w:hAnsi="微软雅黑" w:eastAsia="微软雅黑"/>
        </w:rPr>
        <w:t>.3.2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节。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12、视频面试对于网络有什么要求吗？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答：具体要求参见 1.</w:t>
      </w:r>
      <w:r>
        <w:rPr>
          <w:rFonts w:ascii="微软雅黑" w:hAnsi="微软雅黑" w:eastAsia="微软雅黑"/>
        </w:rPr>
        <w:t>4</w:t>
      </w:r>
      <w:r>
        <w:rPr>
          <w:rFonts w:hint="eastAsia" w:ascii="微软雅黑" w:hAnsi="微软雅黑" w:eastAsia="微软雅黑"/>
        </w:rPr>
        <w:t>.3.1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节。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13、我的网络带宽不满足，能参加面试吗？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答：如果网络带宽无法满足，可能会影响面试，需要更换网络环境或使用 4G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热点来解决。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14、我的电脑屏幕分辨率已达到要求，但依然无法正常显示网站内容，怎么办？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答：面试系统要求屏幕分辨率达到 1200×600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象素及其以上。如果已达到要求，还无法正常显示时，请检查显示区的缩放是否设置超过 100%。如果屏幕为 2K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屏时，缩放不要超过 125%。设置缩放的步骤如下。</w:t>
      </w:r>
    </w:p>
    <w:p>
      <w:pPr>
        <w:spacing w:after="0" w:line="360" w:lineRule="auto"/>
        <w:rPr>
          <w:rFonts w:ascii="微软雅黑" w:hAnsi="微软雅黑" w:eastAsia="微软雅黑"/>
          <w:i/>
          <w:iCs/>
        </w:rPr>
      </w:pPr>
      <w:r>
        <w:rPr>
          <w:rFonts w:hint="eastAsia" w:ascii="微软雅黑" w:hAnsi="微软雅黑" w:eastAsia="微软雅黑"/>
          <w:i/>
          <w:iCs/>
        </w:rPr>
        <w:t>Windows</w:t>
      </w:r>
      <w:r>
        <w:rPr>
          <w:rFonts w:ascii="微软雅黑" w:hAnsi="微软雅黑" w:eastAsia="微软雅黑"/>
          <w:i/>
          <w:iCs/>
        </w:rPr>
        <w:t xml:space="preserve"> </w:t>
      </w:r>
      <w:r>
        <w:rPr>
          <w:rFonts w:hint="eastAsia" w:ascii="微软雅黑" w:hAnsi="微软雅黑" w:eastAsia="微软雅黑"/>
          <w:i/>
          <w:iCs/>
        </w:rPr>
        <w:t>7</w:t>
      </w:r>
      <w:r>
        <w:rPr>
          <w:rFonts w:ascii="微软雅黑" w:hAnsi="微软雅黑" w:eastAsia="微软雅黑"/>
          <w:i/>
          <w:iCs/>
        </w:rPr>
        <w:t xml:space="preserve"> </w:t>
      </w:r>
      <w:r>
        <w:rPr>
          <w:rFonts w:hint="eastAsia" w:ascii="微软雅黑" w:hAnsi="微软雅黑" w:eastAsia="微软雅黑"/>
          <w:i/>
          <w:iCs/>
        </w:rPr>
        <w:t>操作系统</w:t>
      </w:r>
    </w:p>
    <w:p>
      <w:pPr>
        <w:pStyle w:val="16"/>
        <w:numPr>
          <w:ilvl w:val="0"/>
          <w:numId w:val="19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点击“开始”菜单 </w:t>
      </w:r>
      <w:r>
        <w:rPr>
          <w:rFonts w:ascii="微软雅黑" w:hAnsi="微软雅黑" w:eastAsia="微软雅黑"/>
        </w:rPr>
        <w:sym w:font="Wingdings" w:char="F0E0"/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打开“控制面板”。</w:t>
      </w:r>
    </w:p>
    <w:p>
      <w:pPr>
        <w:pStyle w:val="16"/>
        <w:numPr>
          <w:ilvl w:val="0"/>
          <w:numId w:val="19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点击“显示” 或者 点击“外观和个性化”</w:t>
      </w:r>
      <w:r>
        <w:rPr>
          <w:rFonts w:ascii="微软雅黑" w:hAnsi="微软雅黑" w:eastAsia="微软雅黑"/>
        </w:rPr>
        <w:t xml:space="preserve"> </w:t>
      </w:r>
      <w:r>
        <w:rPr>
          <w:rFonts w:ascii="微软雅黑" w:hAnsi="微软雅黑" w:eastAsia="微软雅黑"/>
        </w:rPr>
        <w:sym w:font="Wingdings" w:char="F0E0"/>
      </w:r>
      <w:r>
        <w:rPr>
          <w:rFonts w:ascii="微软雅黑" w:hAnsi="微软雅黑" w:eastAsia="微软雅黑"/>
        </w:rPr>
        <w:t xml:space="preserve"> “</w:t>
      </w:r>
      <w:r>
        <w:rPr>
          <w:rFonts w:hint="eastAsia" w:ascii="微软雅黑" w:hAnsi="微软雅黑" w:eastAsia="微软雅黑"/>
        </w:rPr>
        <w:t>显示</w:t>
      </w:r>
      <w:r>
        <w:rPr>
          <w:rFonts w:ascii="微软雅黑" w:hAnsi="微软雅黑" w:eastAsia="微软雅黑"/>
        </w:rPr>
        <w:t>”</w:t>
      </w:r>
      <w:r>
        <w:rPr>
          <w:rFonts w:hint="eastAsia" w:ascii="微软雅黑" w:hAnsi="微软雅黑" w:eastAsia="微软雅黑"/>
        </w:rPr>
        <w:t>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486400" cy="360108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19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将“放大或缩小文本和其他项目”-“使阅读屏幕上的内容更容易”设置为 较小-100%（默认）。</w:t>
      </w:r>
    </w:p>
    <w:p>
      <w:pPr>
        <w:spacing w:after="0" w:line="360" w:lineRule="auto"/>
        <w:rPr>
          <w:rFonts w:ascii="微软雅黑" w:hAnsi="微软雅黑" w:eastAsia="微软雅黑"/>
          <w:i/>
          <w:iCs/>
        </w:rPr>
      </w:pPr>
      <w:r>
        <w:rPr>
          <w:rFonts w:hint="eastAsia" w:ascii="微软雅黑" w:hAnsi="微软雅黑" w:eastAsia="微软雅黑"/>
          <w:i/>
          <w:iCs/>
        </w:rPr>
        <w:t>Windows</w:t>
      </w:r>
      <w:r>
        <w:rPr>
          <w:rFonts w:ascii="微软雅黑" w:hAnsi="微软雅黑" w:eastAsia="微软雅黑"/>
          <w:i/>
          <w:iCs/>
        </w:rPr>
        <w:t xml:space="preserve"> </w:t>
      </w:r>
      <w:r>
        <w:rPr>
          <w:rFonts w:hint="eastAsia" w:ascii="微软雅黑" w:hAnsi="微软雅黑" w:eastAsia="微软雅黑"/>
          <w:i/>
          <w:iCs/>
        </w:rPr>
        <w:t>10</w:t>
      </w:r>
      <w:r>
        <w:rPr>
          <w:rFonts w:ascii="微软雅黑" w:hAnsi="微软雅黑" w:eastAsia="微软雅黑"/>
          <w:i/>
          <w:iCs/>
        </w:rPr>
        <w:t xml:space="preserve"> </w:t>
      </w:r>
      <w:r>
        <w:rPr>
          <w:rFonts w:hint="eastAsia" w:ascii="微软雅黑" w:hAnsi="微软雅黑" w:eastAsia="微软雅黑"/>
          <w:i/>
          <w:iCs/>
        </w:rPr>
        <w:t>或 Windows</w:t>
      </w:r>
      <w:r>
        <w:rPr>
          <w:rFonts w:ascii="微软雅黑" w:hAnsi="微软雅黑" w:eastAsia="微软雅黑"/>
          <w:i/>
          <w:iCs/>
        </w:rPr>
        <w:t xml:space="preserve"> </w:t>
      </w:r>
      <w:r>
        <w:rPr>
          <w:rFonts w:hint="eastAsia" w:ascii="微软雅黑" w:hAnsi="微软雅黑" w:eastAsia="微软雅黑"/>
          <w:i/>
          <w:iCs/>
        </w:rPr>
        <w:t>8/8.1</w:t>
      </w:r>
      <w:r>
        <w:rPr>
          <w:rFonts w:ascii="微软雅黑" w:hAnsi="微软雅黑" w:eastAsia="微软雅黑"/>
          <w:i/>
          <w:iCs/>
        </w:rPr>
        <w:t xml:space="preserve"> </w:t>
      </w:r>
      <w:r>
        <w:rPr>
          <w:rFonts w:hint="eastAsia" w:ascii="微软雅黑" w:hAnsi="微软雅黑" w:eastAsia="微软雅黑"/>
          <w:i/>
          <w:iCs/>
        </w:rPr>
        <w:t>操作系统</w:t>
      </w:r>
    </w:p>
    <w:p>
      <w:pPr>
        <w:pStyle w:val="16"/>
        <w:numPr>
          <w:ilvl w:val="0"/>
          <w:numId w:val="20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点击“开始”菜单 </w:t>
      </w:r>
      <w:r>
        <w:rPr>
          <w:rFonts w:ascii="微软雅黑" w:hAnsi="微软雅黑" w:eastAsia="微软雅黑"/>
        </w:rPr>
        <w:sym w:font="Wingdings" w:char="F0E0"/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打开“设置”。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486400" cy="3270885"/>
            <wp:effectExtent l="19050" t="19050" r="19050" b="2476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0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20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点击“系统”</w:t>
      </w:r>
      <w:r>
        <w:rPr>
          <w:rFonts w:ascii="微软雅黑" w:hAnsi="微软雅黑" w:eastAsia="微软雅黑"/>
        </w:rPr>
        <w:t xml:space="preserve"> </w:t>
      </w:r>
      <w:r>
        <w:rPr>
          <w:rFonts w:ascii="微软雅黑" w:hAnsi="微软雅黑" w:eastAsia="微软雅黑"/>
        </w:rPr>
        <w:sym w:font="Wingdings" w:char="F0E0"/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点击左侧菜单“显示”。</w:t>
      </w:r>
    </w:p>
    <w:p>
      <w:pPr>
        <w:spacing w:after="0" w:line="360" w:lineRule="auto"/>
        <w:jc w:val="center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inline distT="0" distB="0" distL="0" distR="0">
            <wp:extent cx="5486400" cy="3270885"/>
            <wp:effectExtent l="19050" t="19050" r="19050" b="2476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0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20"/>
        </w:num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将“缩放与布局”-“更改文本、应用等项目的大小”设置为 100%。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15、登录时提示“请输入您本人报名时的证件号码”，怎么办？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请根据主办方通知上的要求选择对应的证件类型。通常，中国大陆考生需要使用自己的居民身份证作为登录依据，港澳地区考生需要使用港澳居民来往内地通行证，台湾地区考生需要使用台湾居民来往大陆通行证。如果主办方要求使用手机号码或其它诸如准考证号、驾照、学生证、军官证等登录的，则需要在证件类型中选择“其他”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16、我的个人信息不正确，会影响面试吗？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</w:rPr>
        <w:t>答：如果确定输入的证件类型和证件号码正确，但显示的姓名、性别等信息不正确时，请联系主办方。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17</w:t>
      </w:r>
      <w:r>
        <w:rPr>
          <w:rFonts w:hint="eastAsia" w:ascii="微软雅黑" w:hAnsi="微软雅黑" w:eastAsia="微软雅黑"/>
          <w:b/>
          <w:bCs/>
        </w:rPr>
        <w:t>、我无法进入面试，怎么办？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答：请在面试开放时间进入面试，如果时间未到是无法进入面试的，请耐心等待。</w:t>
      </w:r>
    </w:p>
    <w:p>
      <w:pPr>
        <w:keepNext/>
        <w:spacing w:after="0" w:line="360" w:lineRule="auto"/>
        <w:outlineLvl w:val="1"/>
        <w:rPr>
          <w:rFonts w:ascii="微软雅黑" w:hAnsi="微软雅黑" w:eastAsia="微软雅黑"/>
          <w:b/>
          <w:bCs/>
        </w:rPr>
      </w:pPr>
      <w:r>
        <w:rPr>
          <w:rFonts w:ascii="微软雅黑" w:hAnsi="微软雅黑" w:eastAsia="微软雅黑"/>
          <w:b/>
          <w:bCs/>
        </w:rPr>
        <w:t>18</w:t>
      </w:r>
      <w:r>
        <w:rPr>
          <w:rFonts w:hint="eastAsia" w:ascii="微软雅黑" w:hAnsi="微软雅黑" w:eastAsia="微软雅黑"/>
          <w:b/>
          <w:bCs/>
        </w:rPr>
        <w:t>、多次人脸核验，都核验不通过？</w:t>
      </w:r>
    </w:p>
    <w:p>
      <w:pPr>
        <w:spacing w:after="0" w:line="360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答：多次人脸核验不通过，请联系主办方。</w:t>
      </w: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D523D4"/>
    <w:multiLevelType w:val="singleLevel"/>
    <w:tmpl w:val="91D523D4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DEBC8B8"/>
    <w:multiLevelType w:val="singleLevel"/>
    <w:tmpl w:val="DDEBC8B8"/>
    <w:lvl w:ilvl="0" w:tentative="0">
      <w:start w:val="1"/>
      <w:numFmt w:val="lowerLetter"/>
      <w:suff w:val="nothing"/>
      <w:lvlText w:val="%1）"/>
      <w:lvlJc w:val="left"/>
    </w:lvl>
  </w:abstractNum>
  <w:abstractNum w:abstractNumId="2">
    <w:nsid w:val="07DD9626"/>
    <w:multiLevelType w:val="singleLevel"/>
    <w:tmpl w:val="07DD9626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17319CD4"/>
    <w:multiLevelType w:val="singleLevel"/>
    <w:tmpl w:val="17319CD4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175D07D9"/>
    <w:multiLevelType w:val="multilevel"/>
    <w:tmpl w:val="175D07D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E8D3A15"/>
    <w:multiLevelType w:val="multilevel"/>
    <w:tmpl w:val="1E8D3A15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CA53B8"/>
    <w:multiLevelType w:val="multilevel"/>
    <w:tmpl w:val="2ACA53B8"/>
    <w:lvl w:ilvl="0" w:tentative="0">
      <w:start w:val="1"/>
      <w:numFmt w:val="decimal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E426EE"/>
    <w:multiLevelType w:val="multilevel"/>
    <w:tmpl w:val="35E426EE"/>
    <w:lvl w:ilvl="0" w:tentative="0">
      <w:start w:val="1"/>
      <w:numFmt w:val="bullet"/>
      <w:lvlText w:val="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8">
    <w:nsid w:val="369A60FD"/>
    <w:multiLevelType w:val="multilevel"/>
    <w:tmpl w:val="369A60FD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F5414"/>
    <w:multiLevelType w:val="multilevel"/>
    <w:tmpl w:val="3C0F5414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D75E4"/>
    <w:multiLevelType w:val="multilevel"/>
    <w:tmpl w:val="3E2D75E4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8DC5217"/>
    <w:multiLevelType w:val="multilevel"/>
    <w:tmpl w:val="48DC521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DA3241C"/>
    <w:multiLevelType w:val="multilevel"/>
    <w:tmpl w:val="4DA3241C"/>
    <w:lvl w:ilvl="0" w:tentative="0">
      <w:start w:val="1"/>
      <w:numFmt w:val="decimal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E1E220E"/>
    <w:multiLevelType w:val="multilevel"/>
    <w:tmpl w:val="4E1E220E"/>
    <w:lvl w:ilvl="0" w:tentative="0">
      <w:start w:val="1"/>
      <w:numFmt w:val="decimal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C5B47DB"/>
    <w:multiLevelType w:val="multilevel"/>
    <w:tmpl w:val="5C5B47D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5">
    <w:nsid w:val="5CF73F89"/>
    <w:multiLevelType w:val="multilevel"/>
    <w:tmpl w:val="5CF73F89"/>
    <w:lvl w:ilvl="0" w:tentative="0">
      <w:start w:val="1"/>
      <w:numFmt w:val="bullet"/>
      <w:lvlText w:val=""/>
      <w:lvlJc w:val="left"/>
      <w:pPr>
        <w:ind w:left="120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1620" w:hanging="420"/>
      </w:pPr>
    </w:lvl>
    <w:lvl w:ilvl="2" w:tentative="0">
      <w:start w:val="1"/>
      <w:numFmt w:val="lowerRoman"/>
      <w:lvlText w:val="%3."/>
      <w:lvlJc w:val="right"/>
      <w:pPr>
        <w:ind w:left="2040" w:hanging="420"/>
      </w:pPr>
    </w:lvl>
    <w:lvl w:ilvl="3" w:tentative="0">
      <w:start w:val="1"/>
      <w:numFmt w:val="decimal"/>
      <w:lvlText w:val="%4."/>
      <w:lvlJc w:val="left"/>
      <w:pPr>
        <w:ind w:left="2460" w:hanging="420"/>
      </w:pPr>
    </w:lvl>
    <w:lvl w:ilvl="4" w:tentative="0">
      <w:start w:val="1"/>
      <w:numFmt w:val="lowerLetter"/>
      <w:lvlText w:val="%5)"/>
      <w:lvlJc w:val="left"/>
      <w:pPr>
        <w:ind w:left="2880" w:hanging="420"/>
      </w:pPr>
    </w:lvl>
    <w:lvl w:ilvl="5" w:tentative="0">
      <w:start w:val="1"/>
      <w:numFmt w:val="lowerRoman"/>
      <w:lvlText w:val="%6."/>
      <w:lvlJc w:val="right"/>
      <w:pPr>
        <w:ind w:left="3300" w:hanging="420"/>
      </w:pPr>
    </w:lvl>
    <w:lvl w:ilvl="6" w:tentative="0">
      <w:start w:val="1"/>
      <w:numFmt w:val="decimal"/>
      <w:lvlText w:val="%7."/>
      <w:lvlJc w:val="left"/>
      <w:pPr>
        <w:ind w:left="3720" w:hanging="420"/>
      </w:pPr>
    </w:lvl>
    <w:lvl w:ilvl="7" w:tentative="0">
      <w:start w:val="1"/>
      <w:numFmt w:val="lowerLetter"/>
      <w:lvlText w:val="%8)"/>
      <w:lvlJc w:val="left"/>
      <w:pPr>
        <w:ind w:left="4140" w:hanging="420"/>
      </w:pPr>
    </w:lvl>
    <w:lvl w:ilvl="8" w:tentative="0">
      <w:start w:val="1"/>
      <w:numFmt w:val="lowerRoman"/>
      <w:lvlText w:val="%9."/>
      <w:lvlJc w:val="right"/>
      <w:pPr>
        <w:ind w:left="4560" w:hanging="420"/>
      </w:pPr>
    </w:lvl>
  </w:abstractNum>
  <w:abstractNum w:abstractNumId="16">
    <w:nsid w:val="5F9AF301"/>
    <w:multiLevelType w:val="singleLevel"/>
    <w:tmpl w:val="5F9AF301"/>
    <w:lvl w:ilvl="0" w:tentative="0">
      <w:start w:val="1"/>
      <w:numFmt w:val="decimal"/>
      <w:suff w:val="nothing"/>
      <w:lvlText w:val="（%1）"/>
      <w:lvlJc w:val="left"/>
    </w:lvl>
  </w:abstractNum>
  <w:abstractNum w:abstractNumId="17">
    <w:nsid w:val="670A4196"/>
    <w:multiLevelType w:val="multilevel"/>
    <w:tmpl w:val="670A4196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A42B03"/>
    <w:multiLevelType w:val="multilevel"/>
    <w:tmpl w:val="73A42B03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DAC11A9"/>
    <w:multiLevelType w:val="multilevel"/>
    <w:tmpl w:val="7DAC11A9"/>
    <w:lvl w:ilvl="0" w:tentative="0">
      <w:start w:val="1"/>
      <w:numFmt w:val="decimal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4"/>
  </w:num>
  <w:num w:numId="6">
    <w:abstractNumId w:val="16"/>
  </w:num>
  <w:num w:numId="7">
    <w:abstractNumId w:val="15"/>
  </w:num>
  <w:num w:numId="8">
    <w:abstractNumId w:val="1"/>
  </w:num>
  <w:num w:numId="9">
    <w:abstractNumId w:val="7"/>
  </w:num>
  <w:num w:numId="10">
    <w:abstractNumId w:val="10"/>
  </w:num>
  <w:num w:numId="11">
    <w:abstractNumId w:val="12"/>
  </w:num>
  <w:num w:numId="12">
    <w:abstractNumId w:val="19"/>
  </w:num>
  <w:num w:numId="13">
    <w:abstractNumId w:val="11"/>
  </w:num>
  <w:num w:numId="14">
    <w:abstractNumId w:val="8"/>
  </w:num>
  <w:num w:numId="15">
    <w:abstractNumId w:val="6"/>
  </w:num>
  <w:num w:numId="16">
    <w:abstractNumId w:val="9"/>
  </w:num>
  <w:num w:numId="17">
    <w:abstractNumId w:val="17"/>
  </w:num>
  <w:num w:numId="18">
    <w:abstractNumId w:val="13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dit="trackedChanges" w:enforcement="0"/>
  <w:defaultTabStop w:val="72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dlNDc2MTYwNjY2MDM1NmE4MDI4ODhiMzhkZDdiMzAifQ=="/>
  </w:docVars>
  <w:rsids>
    <w:rsidRoot w:val="00494A57"/>
    <w:rsid w:val="000005D6"/>
    <w:rsid w:val="00007D77"/>
    <w:rsid w:val="0002363B"/>
    <w:rsid w:val="000250AC"/>
    <w:rsid w:val="000254CD"/>
    <w:rsid w:val="00030607"/>
    <w:rsid w:val="00030A0D"/>
    <w:rsid w:val="00036AF2"/>
    <w:rsid w:val="00042B49"/>
    <w:rsid w:val="00043292"/>
    <w:rsid w:val="000454F8"/>
    <w:rsid w:val="00050F1A"/>
    <w:rsid w:val="00051F25"/>
    <w:rsid w:val="00053557"/>
    <w:rsid w:val="0006041C"/>
    <w:rsid w:val="00062743"/>
    <w:rsid w:val="0006490B"/>
    <w:rsid w:val="000663A9"/>
    <w:rsid w:val="0007166C"/>
    <w:rsid w:val="000777D8"/>
    <w:rsid w:val="00077EA6"/>
    <w:rsid w:val="0008543B"/>
    <w:rsid w:val="00087F37"/>
    <w:rsid w:val="00093A8E"/>
    <w:rsid w:val="00094C44"/>
    <w:rsid w:val="00095272"/>
    <w:rsid w:val="000A106A"/>
    <w:rsid w:val="000A3B22"/>
    <w:rsid w:val="000A7A88"/>
    <w:rsid w:val="000A7ECC"/>
    <w:rsid w:val="000C0C07"/>
    <w:rsid w:val="000C224E"/>
    <w:rsid w:val="000C31D5"/>
    <w:rsid w:val="000C4435"/>
    <w:rsid w:val="000C6594"/>
    <w:rsid w:val="000C7F3F"/>
    <w:rsid w:val="000D3C0F"/>
    <w:rsid w:val="000D657E"/>
    <w:rsid w:val="000E0DB8"/>
    <w:rsid w:val="000E2B76"/>
    <w:rsid w:val="000E3A32"/>
    <w:rsid w:val="000E5984"/>
    <w:rsid w:val="000F0307"/>
    <w:rsid w:val="000F6232"/>
    <w:rsid w:val="0010383D"/>
    <w:rsid w:val="00116DA5"/>
    <w:rsid w:val="00121822"/>
    <w:rsid w:val="00131CDA"/>
    <w:rsid w:val="001431FB"/>
    <w:rsid w:val="001463A2"/>
    <w:rsid w:val="00151264"/>
    <w:rsid w:val="00152CED"/>
    <w:rsid w:val="00162D11"/>
    <w:rsid w:val="00170A60"/>
    <w:rsid w:val="00170D17"/>
    <w:rsid w:val="001716BD"/>
    <w:rsid w:val="00181E1A"/>
    <w:rsid w:val="00183DEA"/>
    <w:rsid w:val="001844B2"/>
    <w:rsid w:val="001855EF"/>
    <w:rsid w:val="001879A3"/>
    <w:rsid w:val="001951A5"/>
    <w:rsid w:val="001A7C9C"/>
    <w:rsid w:val="001B0F8C"/>
    <w:rsid w:val="001B14EE"/>
    <w:rsid w:val="001B4B35"/>
    <w:rsid w:val="001B66B5"/>
    <w:rsid w:val="001C1516"/>
    <w:rsid w:val="001E5719"/>
    <w:rsid w:val="002137CD"/>
    <w:rsid w:val="002153F2"/>
    <w:rsid w:val="00215ADB"/>
    <w:rsid w:val="00217F8E"/>
    <w:rsid w:val="00242F4B"/>
    <w:rsid w:val="002458BC"/>
    <w:rsid w:val="0026263B"/>
    <w:rsid w:val="0026329E"/>
    <w:rsid w:val="00263FB9"/>
    <w:rsid w:val="0026613C"/>
    <w:rsid w:val="00276A54"/>
    <w:rsid w:val="00277CC1"/>
    <w:rsid w:val="00281501"/>
    <w:rsid w:val="00286F98"/>
    <w:rsid w:val="0029073B"/>
    <w:rsid w:val="00292FCB"/>
    <w:rsid w:val="00293ECB"/>
    <w:rsid w:val="002A5F41"/>
    <w:rsid w:val="002A6E82"/>
    <w:rsid w:val="002B7F5F"/>
    <w:rsid w:val="002C5BB5"/>
    <w:rsid w:val="002C7217"/>
    <w:rsid w:val="002C729B"/>
    <w:rsid w:val="002D797A"/>
    <w:rsid w:val="002E5731"/>
    <w:rsid w:val="002F0E61"/>
    <w:rsid w:val="002F1784"/>
    <w:rsid w:val="00304288"/>
    <w:rsid w:val="00305E4B"/>
    <w:rsid w:val="00307195"/>
    <w:rsid w:val="0030767B"/>
    <w:rsid w:val="00315099"/>
    <w:rsid w:val="003219AC"/>
    <w:rsid w:val="00322DEB"/>
    <w:rsid w:val="003255BA"/>
    <w:rsid w:val="00325AF7"/>
    <w:rsid w:val="00332463"/>
    <w:rsid w:val="00333722"/>
    <w:rsid w:val="0033442D"/>
    <w:rsid w:val="003344C5"/>
    <w:rsid w:val="0034320F"/>
    <w:rsid w:val="00343616"/>
    <w:rsid w:val="003444A8"/>
    <w:rsid w:val="00344DF4"/>
    <w:rsid w:val="00346B95"/>
    <w:rsid w:val="003470BB"/>
    <w:rsid w:val="003550A1"/>
    <w:rsid w:val="00356A2B"/>
    <w:rsid w:val="003642F9"/>
    <w:rsid w:val="00380553"/>
    <w:rsid w:val="003829AF"/>
    <w:rsid w:val="003903A8"/>
    <w:rsid w:val="003954DB"/>
    <w:rsid w:val="003A3097"/>
    <w:rsid w:val="003B00E6"/>
    <w:rsid w:val="003B029C"/>
    <w:rsid w:val="003B13F2"/>
    <w:rsid w:val="003B1A7E"/>
    <w:rsid w:val="003B1B07"/>
    <w:rsid w:val="003B2D25"/>
    <w:rsid w:val="003C53EC"/>
    <w:rsid w:val="003D1B49"/>
    <w:rsid w:val="003D7CB8"/>
    <w:rsid w:val="003E632F"/>
    <w:rsid w:val="003F6256"/>
    <w:rsid w:val="004029D8"/>
    <w:rsid w:val="00403A56"/>
    <w:rsid w:val="0041096B"/>
    <w:rsid w:val="0041530F"/>
    <w:rsid w:val="00420AD6"/>
    <w:rsid w:val="00424E5F"/>
    <w:rsid w:val="00430C9B"/>
    <w:rsid w:val="0043371C"/>
    <w:rsid w:val="004402BB"/>
    <w:rsid w:val="004448F9"/>
    <w:rsid w:val="00445781"/>
    <w:rsid w:val="004465E5"/>
    <w:rsid w:val="00453D06"/>
    <w:rsid w:val="00456C3F"/>
    <w:rsid w:val="0046211C"/>
    <w:rsid w:val="004717AA"/>
    <w:rsid w:val="00476F42"/>
    <w:rsid w:val="00480ED0"/>
    <w:rsid w:val="0048286C"/>
    <w:rsid w:val="004851A6"/>
    <w:rsid w:val="00491040"/>
    <w:rsid w:val="00494A57"/>
    <w:rsid w:val="004A2216"/>
    <w:rsid w:val="004A3122"/>
    <w:rsid w:val="004A76F3"/>
    <w:rsid w:val="004B2B7C"/>
    <w:rsid w:val="004B5520"/>
    <w:rsid w:val="004C6969"/>
    <w:rsid w:val="004C7AC4"/>
    <w:rsid w:val="004D7671"/>
    <w:rsid w:val="004E1B21"/>
    <w:rsid w:val="004E2361"/>
    <w:rsid w:val="004F2C84"/>
    <w:rsid w:val="004F5466"/>
    <w:rsid w:val="00501A86"/>
    <w:rsid w:val="005023BA"/>
    <w:rsid w:val="00503DDD"/>
    <w:rsid w:val="00510162"/>
    <w:rsid w:val="00517822"/>
    <w:rsid w:val="0052773F"/>
    <w:rsid w:val="00533DDA"/>
    <w:rsid w:val="00543629"/>
    <w:rsid w:val="005543AD"/>
    <w:rsid w:val="00556EEE"/>
    <w:rsid w:val="00564C8D"/>
    <w:rsid w:val="005708E3"/>
    <w:rsid w:val="00575883"/>
    <w:rsid w:val="0059112A"/>
    <w:rsid w:val="005A4469"/>
    <w:rsid w:val="005A46D4"/>
    <w:rsid w:val="005A4979"/>
    <w:rsid w:val="005A542A"/>
    <w:rsid w:val="005A5A1C"/>
    <w:rsid w:val="005D161F"/>
    <w:rsid w:val="005D1E5F"/>
    <w:rsid w:val="005D5081"/>
    <w:rsid w:val="005E1BFE"/>
    <w:rsid w:val="005E4E52"/>
    <w:rsid w:val="005F6726"/>
    <w:rsid w:val="0060005E"/>
    <w:rsid w:val="00601F57"/>
    <w:rsid w:val="00617B57"/>
    <w:rsid w:val="0062444A"/>
    <w:rsid w:val="00630659"/>
    <w:rsid w:val="00632719"/>
    <w:rsid w:val="006346E1"/>
    <w:rsid w:val="0063645D"/>
    <w:rsid w:val="00637422"/>
    <w:rsid w:val="00640BD4"/>
    <w:rsid w:val="00647BF0"/>
    <w:rsid w:val="00665C08"/>
    <w:rsid w:val="00666FF1"/>
    <w:rsid w:val="00670DBC"/>
    <w:rsid w:val="00670FD0"/>
    <w:rsid w:val="0067489A"/>
    <w:rsid w:val="0068583C"/>
    <w:rsid w:val="00692D89"/>
    <w:rsid w:val="006A2E72"/>
    <w:rsid w:val="006A425A"/>
    <w:rsid w:val="006A5EC2"/>
    <w:rsid w:val="006A6D43"/>
    <w:rsid w:val="006A7839"/>
    <w:rsid w:val="006B393B"/>
    <w:rsid w:val="006B596F"/>
    <w:rsid w:val="006C0354"/>
    <w:rsid w:val="006C78F5"/>
    <w:rsid w:val="006D00E3"/>
    <w:rsid w:val="006D21BB"/>
    <w:rsid w:val="006F61DF"/>
    <w:rsid w:val="00713A09"/>
    <w:rsid w:val="00714F95"/>
    <w:rsid w:val="00715930"/>
    <w:rsid w:val="00716AAC"/>
    <w:rsid w:val="007214F6"/>
    <w:rsid w:val="00731F63"/>
    <w:rsid w:val="007341FD"/>
    <w:rsid w:val="0074292C"/>
    <w:rsid w:val="007512FA"/>
    <w:rsid w:val="00752F85"/>
    <w:rsid w:val="00754D84"/>
    <w:rsid w:val="00772DC1"/>
    <w:rsid w:val="0077504A"/>
    <w:rsid w:val="007805FE"/>
    <w:rsid w:val="007904F9"/>
    <w:rsid w:val="007A0AF1"/>
    <w:rsid w:val="007A1594"/>
    <w:rsid w:val="007A2558"/>
    <w:rsid w:val="007A3468"/>
    <w:rsid w:val="007A52D6"/>
    <w:rsid w:val="007B2635"/>
    <w:rsid w:val="007B7185"/>
    <w:rsid w:val="007D45BC"/>
    <w:rsid w:val="007E1273"/>
    <w:rsid w:val="007F291C"/>
    <w:rsid w:val="007F5EB2"/>
    <w:rsid w:val="007F6A87"/>
    <w:rsid w:val="008052E3"/>
    <w:rsid w:val="008268E6"/>
    <w:rsid w:val="00831C8C"/>
    <w:rsid w:val="0083715A"/>
    <w:rsid w:val="00841F90"/>
    <w:rsid w:val="00845982"/>
    <w:rsid w:val="00845D29"/>
    <w:rsid w:val="00852E46"/>
    <w:rsid w:val="00857BD3"/>
    <w:rsid w:val="0087113F"/>
    <w:rsid w:val="00872A06"/>
    <w:rsid w:val="0087749E"/>
    <w:rsid w:val="00885A9C"/>
    <w:rsid w:val="008906C5"/>
    <w:rsid w:val="00890816"/>
    <w:rsid w:val="008953E5"/>
    <w:rsid w:val="00896773"/>
    <w:rsid w:val="008B328F"/>
    <w:rsid w:val="008B7129"/>
    <w:rsid w:val="008C2C92"/>
    <w:rsid w:val="008D0576"/>
    <w:rsid w:val="008D248A"/>
    <w:rsid w:val="008D3256"/>
    <w:rsid w:val="008D3F18"/>
    <w:rsid w:val="008D63F2"/>
    <w:rsid w:val="008D7737"/>
    <w:rsid w:val="008F0882"/>
    <w:rsid w:val="008F280B"/>
    <w:rsid w:val="008F3CE8"/>
    <w:rsid w:val="008F4DB5"/>
    <w:rsid w:val="008F5731"/>
    <w:rsid w:val="008F5CBB"/>
    <w:rsid w:val="00901D53"/>
    <w:rsid w:val="0090485A"/>
    <w:rsid w:val="00913AB6"/>
    <w:rsid w:val="00913D2A"/>
    <w:rsid w:val="00914744"/>
    <w:rsid w:val="00920C05"/>
    <w:rsid w:val="009213E5"/>
    <w:rsid w:val="00922D2B"/>
    <w:rsid w:val="00923E70"/>
    <w:rsid w:val="009265B3"/>
    <w:rsid w:val="00932C81"/>
    <w:rsid w:val="009334C4"/>
    <w:rsid w:val="00936808"/>
    <w:rsid w:val="00940FF0"/>
    <w:rsid w:val="009421BF"/>
    <w:rsid w:val="009434A7"/>
    <w:rsid w:val="00950568"/>
    <w:rsid w:val="00956C15"/>
    <w:rsid w:val="0095765E"/>
    <w:rsid w:val="009609EA"/>
    <w:rsid w:val="0096330D"/>
    <w:rsid w:val="00963373"/>
    <w:rsid w:val="009633EC"/>
    <w:rsid w:val="00977D8A"/>
    <w:rsid w:val="0098186C"/>
    <w:rsid w:val="009848DE"/>
    <w:rsid w:val="00985309"/>
    <w:rsid w:val="00986203"/>
    <w:rsid w:val="00994471"/>
    <w:rsid w:val="009961E6"/>
    <w:rsid w:val="009A1CEB"/>
    <w:rsid w:val="009B405B"/>
    <w:rsid w:val="009D545D"/>
    <w:rsid w:val="009E41C2"/>
    <w:rsid w:val="009F5450"/>
    <w:rsid w:val="009F6804"/>
    <w:rsid w:val="00A00C9F"/>
    <w:rsid w:val="00A01938"/>
    <w:rsid w:val="00A170E6"/>
    <w:rsid w:val="00A172EA"/>
    <w:rsid w:val="00A25397"/>
    <w:rsid w:val="00A27FB1"/>
    <w:rsid w:val="00A353DB"/>
    <w:rsid w:val="00A364FE"/>
    <w:rsid w:val="00A37285"/>
    <w:rsid w:val="00A40B99"/>
    <w:rsid w:val="00A412B1"/>
    <w:rsid w:val="00A5093F"/>
    <w:rsid w:val="00A639A0"/>
    <w:rsid w:val="00A666FD"/>
    <w:rsid w:val="00A8168C"/>
    <w:rsid w:val="00A82592"/>
    <w:rsid w:val="00A855E1"/>
    <w:rsid w:val="00A86EA8"/>
    <w:rsid w:val="00A918CF"/>
    <w:rsid w:val="00A951B0"/>
    <w:rsid w:val="00AA5736"/>
    <w:rsid w:val="00AA5EC0"/>
    <w:rsid w:val="00AA7DB9"/>
    <w:rsid w:val="00AB1AF2"/>
    <w:rsid w:val="00AC2B63"/>
    <w:rsid w:val="00AC4C21"/>
    <w:rsid w:val="00AC6BF7"/>
    <w:rsid w:val="00AC6F4A"/>
    <w:rsid w:val="00AD1001"/>
    <w:rsid w:val="00AD3854"/>
    <w:rsid w:val="00AE1AF7"/>
    <w:rsid w:val="00AE45E4"/>
    <w:rsid w:val="00AF0807"/>
    <w:rsid w:val="00AF098F"/>
    <w:rsid w:val="00AF1CB5"/>
    <w:rsid w:val="00AF1D54"/>
    <w:rsid w:val="00AF3727"/>
    <w:rsid w:val="00B00141"/>
    <w:rsid w:val="00B10531"/>
    <w:rsid w:val="00B110B2"/>
    <w:rsid w:val="00B27EC0"/>
    <w:rsid w:val="00B30562"/>
    <w:rsid w:val="00B53E65"/>
    <w:rsid w:val="00B55152"/>
    <w:rsid w:val="00B5594A"/>
    <w:rsid w:val="00B6046B"/>
    <w:rsid w:val="00B7628F"/>
    <w:rsid w:val="00B86AAA"/>
    <w:rsid w:val="00B94975"/>
    <w:rsid w:val="00B95E8E"/>
    <w:rsid w:val="00BA0667"/>
    <w:rsid w:val="00BA4A8D"/>
    <w:rsid w:val="00BA5F20"/>
    <w:rsid w:val="00BA7498"/>
    <w:rsid w:val="00BC34A8"/>
    <w:rsid w:val="00BE376C"/>
    <w:rsid w:val="00BE52D8"/>
    <w:rsid w:val="00BE5D7B"/>
    <w:rsid w:val="00BE62DD"/>
    <w:rsid w:val="00BF1A83"/>
    <w:rsid w:val="00BF1BC9"/>
    <w:rsid w:val="00BF2717"/>
    <w:rsid w:val="00BF6264"/>
    <w:rsid w:val="00C000AF"/>
    <w:rsid w:val="00C0363C"/>
    <w:rsid w:val="00C10BC4"/>
    <w:rsid w:val="00C21EB3"/>
    <w:rsid w:val="00C248EF"/>
    <w:rsid w:val="00C26E44"/>
    <w:rsid w:val="00C32C88"/>
    <w:rsid w:val="00C40E41"/>
    <w:rsid w:val="00C44616"/>
    <w:rsid w:val="00C477A2"/>
    <w:rsid w:val="00C53216"/>
    <w:rsid w:val="00C53E89"/>
    <w:rsid w:val="00C6255A"/>
    <w:rsid w:val="00C62727"/>
    <w:rsid w:val="00C637D9"/>
    <w:rsid w:val="00C63C24"/>
    <w:rsid w:val="00C7037F"/>
    <w:rsid w:val="00C7258A"/>
    <w:rsid w:val="00C72FDF"/>
    <w:rsid w:val="00C737C9"/>
    <w:rsid w:val="00C77FE8"/>
    <w:rsid w:val="00C84B0C"/>
    <w:rsid w:val="00C915A5"/>
    <w:rsid w:val="00CA19E3"/>
    <w:rsid w:val="00CA5952"/>
    <w:rsid w:val="00CA6089"/>
    <w:rsid w:val="00CB0B23"/>
    <w:rsid w:val="00CC59AF"/>
    <w:rsid w:val="00CC62BE"/>
    <w:rsid w:val="00CC6E97"/>
    <w:rsid w:val="00CD721F"/>
    <w:rsid w:val="00CE666F"/>
    <w:rsid w:val="00CF246A"/>
    <w:rsid w:val="00D15690"/>
    <w:rsid w:val="00D15A8A"/>
    <w:rsid w:val="00D1708F"/>
    <w:rsid w:val="00D26FCE"/>
    <w:rsid w:val="00D277F0"/>
    <w:rsid w:val="00D3013C"/>
    <w:rsid w:val="00D43CB1"/>
    <w:rsid w:val="00D43E50"/>
    <w:rsid w:val="00D44CD6"/>
    <w:rsid w:val="00D56DC8"/>
    <w:rsid w:val="00D6037A"/>
    <w:rsid w:val="00D64F75"/>
    <w:rsid w:val="00D70625"/>
    <w:rsid w:val="00D76B10"/>
    <w:rsid w:val="00D922EA"/>
    <w:rsid w:val="00D95D0C"/>
    <w:rsid w:val="00D96FC3"/>
    <w:rsid w:val="00D9713F"/>
    <w:rsid w:val="00DA4410"/>
    <w:rsid w:val="00DA4F80"/>
    <w:rsid w:val="00DA7529"/>
    <w:rsid w:val="00DB1895"/>
    <w:rsid w:val="00DD1D13"/>
    <w:rsid w:val="00DD7283"/>
    <w:rsid w:val="00DE1A53"/>
    <w:rsid w:val="00DE3044"/>
    <w:rsid w:val="00DE67DE"/>
    <w:rsid w:val="00DF3EB0"/>
    <w:rsid w:val="00DF5B05"/>
    <w:rsid w:val="00E00980"/>
    <w:rsid w:val="00E037DD"/>
    <w:rsid w:val="00E05C98"/>
    <w:rsid w:val="00E11F2C"/>
    <w:rsid w:val="00E140F7"/>
    <w:rsid w:val="00E14E6A"/>
    <w:rsid w:val="00E17AC7"/>
    <w:rsid w:val="00E22105"/>
    <w:rsid w:val="00E26B30"/>
    <w:rsid w:val="00E279C7"/>
    <w:rsid w:val="00E30930"/>
    <w:rsid w:val="00E33A07"/>
    <w:rsid w:val="00E344B4"/>
    <w:rsid w:val="00E43245"/>
    <w:rsid w:val="00E444F9"/>
    <w:rsid w:val="00E463CA"/>
    <w:rsid w:val="00E47583"/>
    <w:rsid w:val="00E521BB"/>
    <w:rsid w:val="00E541AA"/>
    <w:rsid w:val="00E61F5C"/>
    <w:rsid w:val="00E677FE"/>
    <w:rsid w:val="00E7026F"/>
    <w:rsid w:val="00E7790A"/>
    <w:rsid w:val="00E874EE"/>
    <w:rsid w:val="00E87CBA"/>
    <w:rsid w:val="00E87FBC"/>
    <w:rsid w:val="00EB1673"/>
    <w:rsid w:val="00EC0F47"/>
    <w:rsid w:val="00EC4E3C"/>
    <w:rsid w:val="00EC721D"/>
    <w:rsid w:val="00ED0F17"/>
    <w:rsid w:val="00ED779F"/>
    <w:rsid w:val="00ED7A0D"/>
    <w:rsid w:val="00EE2B12"/>
    <w:rsid w:val="00EE344B"/>
    <w:rsid w:val="00EE4300"/>
    <w:rsid w:val="00F04AB1"/>
    <w:rsid w:val="00F10522"/>
    <w:rsid w:val="00F1108E"/>
    <w:rsid w:val="00F13335"/>
    <w:rsid w:val="00F138D4"/>
    <w:rsid w:val="00F15851"/>
    <w:rsid w:val="00F15B6B"/>
    <w:rsid w:val="00F176CE"/>
    <w:rsid w:val="00F20AC7"/>
    <w:rsid w:val="00F23CC7"/>
    <w:rsid w:val="00F24918"/>
    <w:rsid w:val="00F24F2B"/>
    <w:rsid w:val="00F378A1"/>
    <w:rsid w:val="00F41407"/>
    <w:rsid w:val="00F41B42"/>
    <w:rsid w:val="00F54DD7"/>
    <w:rsid w:val="00F57726"/>
    <w:rsid w:val="00F71618"/>
    <w:rsid w:val="00F717EF"/>
    <w:rsid w:val="00F734EC"/>
    <w:rsid w:val="00F770A0"/>
    <w:rsid w:val="00F81D72"/>
    <w:rsid w:val="00F84B52"/>
    <w:rsid w:val="00F96B7C"/>
    <w:rsid w:val="00FB118B"/>
    <w:rsid w:val="00FB2EA5"/>
    <w:rsid w:val="00FC3EFB"/>
    <w:rsid w:val="00FC798A"/>
    <w:rsid w:val="00FD2119"/>
    <w:rsid w:val="00FD21DD"/>
    <w:rsid w:val="00FD4423"/>
    <w:rsid w:val="00FD7F2F"/>
    <w:rsid w:val="00FE75D1"/>
    <w:rsid w:val="00FF5ED6"/>
    <w:rsid w:val="00FF5FE3"/>
    <w:rsid w:val="02F074C5"/>
    <w:rsid w:val="170C73B4"/>
    <w:rsid w:val="1B296455"/>
    <w:rsid w:val="1C4C738B"/>
    <w:rsid w:val="240C6C0E"/>
    <w:rsid w:val="285D505A"/>
    <w:rsid w:val="2C7656C9"/>
    <w:rsid w:val="2DE14B9B"/>
    <w:rsid w:val="3CBE631F"/>
    <w:rsid w:val="3F284372"/>
    <w:rsid w:val="40C4547D"/>
    <w:rsid w:val="4D73079B"/>
    <w:rsid w:val="5C1E664C"/>
    <w:rsid w:val="7D7B78B2"/>
    <w:rsid w:val="7E393549"/>
    <w:rsid w:val="F7F69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1"/>
    <w:unhideWhenUsed/>
    <w:qFormat/>
    <w:uiPriority w:val="99"/>
  </w:style>
  <w:style w:type="paragraph" w:styleId="6">
    <w:name w:val="Date"/>
    <w:basedOn w:val="1"/>
    <w:next w:val="1"/>
    <w:link w:val="20"/>
    <w:unhideWhenUsed/>
    <w:qFormat/>
    <w:uiPriority w:val="99"/>
  </w:style>
  <w:style w:type="paragraph" w:styleId="7">
    <w:name w:val="Balloon Text"/>
    <w:basedOn w:val="1"/>
    <w:link w:val="19"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10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paragraph" w:styleId="11">
    <w:name w:val="annotation subject"/>
    <w:basedOn w:val="5"/>
    <w:next w:val="5"/>
    <w:link w:val="22"/>
    <w:unhideWhenUsed/>
    <w:qFormat/>
    <w:uiPriority w:val="99"/>
    <w:rPr>
      <w:b/>
      <w:bCs/>
    </w:rPr>
  </w:style>
  <w:style w:type="character" w:styleId="14">
    <w:name w:val="Hyperlink"/>
    <w:basedOn w:val="13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unhideWhenUsed/>
    <w:qFormat/>
    <w:uiPriority w:val="99"/>
    <w:rPr>
      <w:sz w:val="21"/>
      <w:szCs w:val="21"/>
    </w:rPr>
  </w:style>
  <w:style w:type="paragraph" w:customStyle="1" w:styleId="16">
    <w:name w:val="列表段落1"/>
    <w:basedOn w:val="1"/>
    <w:qFormat/>
    <w:uiPriority w:val="34"/>
    <w:pPr>
      <w:ind w:left="720"/>
      <w:contextualSpacing/>
    </w:pPr>
  </w:style>
  <w:style w:type="character" w:customStyle="1" w:styleId="17">
    <w:name w:val="页眉 字符"/>
    <w:basedOn w:val="13"/>
    <w:link w:val="9"/>
    <w:qFormat/>
    <w:uiPriority w:val="99"/>
  </w:style>
  <w:style w:type="character" w:customStyle="1" w:styleId="18">
    <w:name w:val="页脚 字符"/>
    <w:basedOn w:val="13"/>
    <w:link w:val="8"/>
    <w:qFormat/>
    <w:uiPriority w:val="99"/>
  </w:style>
  <w:style w:type="character" w:customStyle="1" w:styleId="19">
    <w:name w:val="批注框文本 字符"/>
    <w:basedOn w:val="13"/>
    <w:link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0">
    <w:name w:val="日期 字符"/>
    <w:basedOn w:val="13"/>
    <w:link w:val="6"/>
    <w:semiHidden/>
    <w:qFormat/>
    <w:uiPriority w:val="99"/>
  </w:style>
  <w:style w:type="character" w:customStyle="1" w:styleId="21">
    <w:name w:val="批注文字 字符"/>
    <w:basedOn w:val="13"/>
    <w:link w:val="5"/>
    <w:semiHidden/>
    <w:qFormat/>
    <w:uiPriority w:val="99"/>
  </w:style>
  <w:style w:type="character" w:customStyle="1" w:styleId="22">
    <w:name w:val="批注主题 字符"/>
    <w:basedOn w:val="21"/>
    <w:link w:val="11"/>
    <w:semiHidden/>
    <w:qFormat/>
    <w:uiPriority w:val="99"/>
    <w:rPr>
      <w:b/>
      <w:bCs/>
    </w:rPr>
  </w:style>
  <w:style w:type="paragraph" w:customStyle="1" w:styleId="23">
    <w:name w:val="修订1"/>
    <w:hidden/>
    <w:semiHidden/>
    <w:qFormat/>
    <w:uiPriority w:val="99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4">
    <w:name w:val="List Paragraph"/>
    <w:basedOn w:val="1"/>
    <w:qFormat/>
    <w:uiPriority w:val="34"/>
    <w:pPr>
      <w:ind w:left="720"/>
      <w:contextualSpacing/>
    </w:pPr>
  </w:style>
  <w:style w:type="character" w:customStyle="1" w:styleId="25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6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7">
    <w:name w:val="标题 3 字符"/>
    <w:basedOn w:val="13"/>
    <w:link w:val="4"/>
    <w:semiHidden/>
    <w:qFormat/>
    <w:uiPriority w:val="9"/>
    <w:rPr>
      <w:b/>
      <w:bCs/>
      <w:sz w:val="32"/>
      <w:szCs w:val="32"/>
    </w:rPr>
  </w:style>
  <w:style w:type="paragraph" w:customStyle="1" w:styleId="28">
    <w:name w:val="列出段落1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hyperlink" Target="https://ali-pro-km.udeskcs.com/Data/33455/oss-km-image/XsB5ZidzWkp6fkHiNj6SdCZzH73MWrxs/image.png" TargetMode="Externa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4" Type="http://schemas.openxmlformats.org/officeDocument/2006/relationships/fontTable" Target="fontTable.xml"/><Relationship Id="rId53" Type="http://schemas.openxmlformats.org/officeDocument/2006/relationships/customXml" Target="../customXml/item2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39.png"/><Relationship Id="rId5" Type="http://schemas.openxmlformats.org/officeDocument/2006/relationships/theme" Target="theme/theme1.xml"/><Relationship Id="rId49" Type="http://schemas.openxmlformats.org/officeDocument/2006/relationships/image" Target="media/image38.png"/><Relationship Id="rId48" Type="http://schemas.openxmlformats.org/officeDocument/2006/relationships/image" Target="media/image37.png"/><Relationship Id="rId47" Type="http://schemas.openxmlformats.org/officeDocument/2006/relationships/image" Target="media/image36.png"/><Relationship Id="rId46" Type="http://schemas.openxmlformats.org/officeDocument/2006/relationships/image" Target="media/image35.png"/><Relationship Id="rId45" Type="http://schemas.openxmlformats.org/officeDocument/2006/relationships/image" Target="media/image34.png"/><Relationship Id="rId44" Type="http://schemas.openxmlformats.org/officeDocument/2006/relationships/image" Target="media/image33.png"/><Relationship Id="rId43" Type="http://schemas.openxmlformats.org/officeDocument/2006/relationships/image" Target="media/image32.png"/><Relationship Id="rId42" Type="http://schemas.openxmlformats.org/officeDocument/2006/relationships/image" Target="media/image31.jpeg"/><Relationship Id="rId41" Type="http://schemas.openxmlformats.org/officeDocument/2006/relationships/image" Target="media/image30.png"/><Relationship Id="rId40" Type="http://schemas.openxmlformats.org/officeDocument/2006/relationships/image" Target="media/image29.png"/><Relationship Id="rId4" Type="http://schemas.openxmlformats.org/officeDocument/2006/relationships/endnotes" Target="endnotes.xml"/><Relationship Id="rId39" Type="http://schemas.openxmlformats.org/officeDocument/2006/relationships/image" Target="media/image28.jpeg"/><Relationship Id="rId38" Type="http://schemas.openxmlformats.org/officeDocument/2006/relationships/image" Target="media/image27.jpeg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footnotes" Target="footnotes.xml"/><Relationship Id="rId29" Type="http://schemas.openxmlformats.org/officeDocument/2006/relationships/image" Target="media/image18.jpe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microsoft.com/office/2007/relationships/diagramDrawing" Target="diagrams/drawing1.xml"/><Relationship Id="rId25" Type="http://schemas.openxmlformats.org/officeDocument/2006/relationships/diagramColors" Target="diagrams/colors1.xml"/><Relationship Id="rId24" Type="http://schemas.openxmlformats.org/officeDocument/2006/relationships/diagramQuickStyle" Target="diagrams/quickStyle1.xml"/><Relationship Id="rId23" Type="http://schemas.openxmlformats.org/officeDocument/2006/relationships/diagramLayout" Target="diagrams/layout1.xml"/><Relationship Id="rId22" Type="http://schemas.openxmlformats.org/officeDocument/2006/relationships/diagramData" Target="diagrams/data1.xml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#1">
  <dgm:title val=""/>
  <dgm:desc val=""/>
  <dgm:catLst>
    <dgm:cat type="accent3" pri="11100"/>
  </dgm:catLst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F1C088-637E-4A91-88F2-4BE317B41FB8}" type="doc">
      <dgm:prSet loTypeId="urn:microsoft.com/office/officeart/2005/8/layout/process1" loCatId="process" qsTypeId="urn:microsoft.com/office/officeart/2005/8/quickstyle/simple1#1" qsCatId="simple" csTypeId="urn:microsoft.com/office/officeart/2005/8/colors/accent3_1#1" csCatId="accent3" phldr="1"/>
      <dgm:spPr/>
    </dgm:pt>
    <dgm:pt modelId="{43EF9109-3BBA-4327-AFA5-C15EFAD93BAE}">
      <dgm:prSet phldrT="[Text]" custT="1"/>
      <dgm:spPr/>
      <dgm:t>
        <a:bodyPr/>
        <a:p>
          <a:r>
            <a:rPr lang="zh-CN" altLang="en-US" sz="1000" baseline="0">
              <a:latin typeface="微软雅黑" panose="020B0503020204020204" pitchFamily="2" charset="-122"/>
              <a:ea typeface="微软雅黑" panose="020B0503020204020204" pitchFamily="2" charset="-122"/>
            </a:rPr>
            <a:t>登录</a:t>
          </a:r>
          <a:r>
            <a:rPr lang="zh-CN" altLang="en-US" sz="1000">
              <a:latin typeface="微软雅黑" panose="020B0503020204020204" pitchFamily="2" charset="-122"/>
              <a:ea typeface="微软雅黑" panose="020B0503020204020204" pitchFamily="2" charset="-122"/>
            </a:rPr>
            <a:t>系统</a:t>
          </a:r>
          <a:endParaRPr lang="en-US" sz="10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6970007D-A251-45FB-9084-817D69CA8C20}" cxnId="{19825F4F-6BF1-42E1-B5F4-CD84A739BECE}" type="parTrans">
      <dgm:prSet/>
      <dgm:spPr/>
      <dgm:t>
        <a:bodyPr/>
        <a:p>
          <a:endParaRPr lang="en-US" sz="18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D20FF952-23FD-4571-8F58-F46B8473738E}" cxnId="{19825F4F-6BF1-42E1-B5F4-CD84A739BECE}" type="sibTrans">
      <dgm:prSet custT="1"/>
      <dgm:spPr/>
      <dgm:t>
        <a:bodyPr/>
        <a:p>
          <a:endParaRPr lang="en-US" sz="5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CCE87464-40B8-4D36-901B-AB46C5A43CC9}">
      <dgm:prSet phldrT="[Text]" custT="1"/>
      <dgm:spPr/>
      <dgm:t>
        <a:bodyPr/>
        <a:p>
          <a:r>
            <a:rPr lang="zh-CN" altLang="en-US" sz="1000" baseline="0">
              <a:latin typeface="微软雅黑" panose="020B0503020204020204" pitchFamily="2" charset="-122"/>
              <a:ea typeface="微软雅黑" panose="020B0503020204020204" pitchFamily="2" charset="-122"/>
            </a:rPr>
            <a:t>确认信息</a:t>
          </a:r>
          <a:endParaRPr lang="en-US" sz="1000" baseline="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F6AF99E6-99C9-445A-A2D6-C7A2A225EE2A}" cxnId="{86C19243-4948-4FF3-A560-D1C08982AE6A}" type="parTrans">
      <dgm:prSet/>
      <dgm:spPr/>
      <dgm:t>
        <a:bodyPr/>
        <a:p>
          <a:endParaRPr lang="en-US" sz="18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E3F67F1D-F7FF-4216-88E9-302B68F9F5D0}" cxnId="{86C19243-4948-4FF3-A560-D1C08982AE6A}" type="sibTrans">
      <dgm:prSet custT="1"/>
      <dgm:spPr/>
      <dgm:t>
        <a:bodyPr/>
        <a:p>
          <a:endParaRPr lang="en-US" sz="5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7E3723F3-D64E-40A1-9E39-316540EDC6F9}">
      <dgm:prSet phldrT="[Text]" custT="1"/>
      <dgm:spPr/>
      <dgm:t>
        <a:bodyPr/>
        <a:p>
          <a:r>
            <a:rPr lang="zh-CN" altLang="en-US" sz="1000" baseline="0">
              <a:latin typeface="微软雅黑" panose="020B0503020204020204" pitchFamily="2" charset="-122"/>
              <a:ea typeface="微软雅黑" panose="020B0503020204020204" pitchFamily="2" charset="-122"/>
            </a:rPr>
            <a:t>进入面试</a:t>
          </a:r>
          <a:endParaRPr lang="en-US" sz="1000" baseline="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213B6A57-063C-4FD0-80E0-FD484A93AEBD}" cxnId="{A8F631A8-1112-4060-B5A8-DEBBC48446B2}" type="parTrans">
      <dgm:prSet/>
      <dgm:spPr/>
      <dgm:t>
        <a:bodyPr/>
        <a:p>
          <a:endParaRPr lang="en-US" sz="18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0BCEBB24-7951-43AE-9C40-C432CAFC1D74}" cxnId="{A8F631A8-1112-4060-B5A8-DEBBC48446B2}" type="sibTrans">
      <dgm:prSet custT="1"/>
      <dgm:spPr/>
      <dgm:t>
        <a:bodyPr/>
        <a:p>
          <a:endParaRPr lang="en-US" sz="5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D53DA1C9-DF9B-47E8-8A2C-590DCF786B5E}">
      <dgm:prSet phldrT="[Text]" custT="1"/>
      <dgm:spPr/>
      <dgm:t>
        <a:bodyPr/>
        <a:p>
          <a:r>
            <a:rPr lang="zh-CN" altLang="en-US" sz="1000" baseline="0">
              <a:latin typeface="微软雅黑" panose="020B0503020204020204" pitchFamily="2" charset="-122"/>
              <a:ea typeface="微软雅黑" panose="020B0503020204020204" pitchFamily="2" charset="-122"/>
            </a:rPr>
            <a:t>阅读须知</a:t>
          </a:r>
          <a:endParaRPr lang="en-US" sz="1000" baseline="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474DAAE3-6770-43DA-8CA5-736B9C9093A2}" cxnId="{6334C3CD-77FD-4E32-BD9D-09FF3B25F29F}" type="parTrans">
      <dgm:prSet/>
      <dgm:spPr/>
      <dgm:t>
        <a:bodyPr/>
        <a:p>
          <a:endParaRPr lang="en-US" sz="18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04E5A9DB-0989-45F3-98A4-F3C55A9B34F9}" cxnId="{6334C3CD-77FD-4E32-BD9D-09FF3B25F29F}" type="sibTrans">
      <dgm:prSet custT="1"/>
      <dgm:spPr/>
      <dgm:t>
        <a:bodyPr/>
        <a:p>
          <a:endParaRPr lang="en-US" sz="5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5970A32C-5657-4488-8EBE-78B121F9C754}">
      <dgm:prSet phldrT="[Text]" custT="1"/>
      <dgm:spPr/>
      <dgm:t>
        <a:bodyPr/>
        <a:p>
          <a:r>
            <a:rPr lang="zh-CN" altLang="en-US" sz="1000" baseline="0">
              <a:latin typeface="微软雅黑" panose="020B0503020204020204" pitchFamily="2" charset="-122"/>
              <a:ea typeface="微软雅黑" panose="020B0503020204020204" pitchFamily="2" charset="-122"/>
            </a:rPr>
            <a:t>阅读承诺</a:t>
          </a:r>
          <a:endParaRPr lang="en-US" sz="1000" baseline="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B71B7EA2-2045-442D-B121-2D549F887A44}" cxnId="{14ADDB02-89DD-4609-BA7B-5B53098ADCEE}" type="parTrans">
      <dgm:prSet/>
      <dgm:spPr/>
      <dgm:t>
        <a:bodyPr/>
        <a:p>
          <a:endParaRPr lang="en-US" sz="18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48EA0CD1-4A19-462B-AA94-6713576A6673}" cxnId="{14ADDB02-89DD-4609-BA7B-5B53098ADCEE}" type="sibTrans">
      <dgm:prSet custT="1"/>
      <dgm:spPr/>
      <dgm:t>
        <a:bodyPr/>
        <a:p>
          <a:endParaRPr lang="en-US" sz="5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F8EF8607-5C5B-4169-AC4D-79AF580E6586}">
      <dgm:prSet phldrT="[Text]" custT="1"/>
      <dgm:spPr/>
      <dgm:t>
        <a:bodyPr/>
        <a:p>
          <a:r>
            <a:rPr lang="zh-CN" altLang="en-US" sz="1000" baseline="0">
              <a:latin typeface="微软雅黑" panose="020B0503020204020204" pitchFamily="2" charset="-122"/>
              <a:ea typeface="微软雅黑" panose="020B0503020204020204" pitchFamily="2" charset="-122"/>
            </a:rPr>
            <a:t>人脸核验</a:t>
          </a:r>
          <a:endParaRPr lang="en-US" sz="1000" baseline="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5E647CC0-0595-4D5E-81EE-5DDEC5EDB39D}" cxnId="{C2AB17B9-BF21-417F-90B9-6AC29F0B2F86}" type="parTrans">
      <dgm:prSet/>
      <dgm:spPr/>
      <dgm:t>
        <a:bodyPr/>
        <a:p>
          <a:endParaRPr lang="en-US" sz="18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7934D339-AADD-498A-8BB5-E84A7D7B2BA4}" cxnId="{C2AB17B9-BF21-417F-90B9-6AC29F0B2F86}" type="sibTrans">
      <dgm:prSet custT="1"/>
      <dgm:spPr/>
      <dgm:t>
        <a:bodyPr/>
        <a:p>
          <a:endParaRPr lang="en-US" sz="5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4909CAB4-BB7E-40BA-A00A-32970F677143}">
      <dgm:prSet phldrT="[Text]" custT="1"/>
      <dgm:spPr/>
      <dgm:t>
        <a:bodyPr/>
        <a:p>
          <a:r>
            <a:rPr lang="zh-CN" altLang="en-US" sz="1000" baseline="0">
              <a:latin typeface="微软雅黑" panose="020B0503020204020204" pitchFamily="2" charset="-122"/>
              <a:ea typeface="微软雅黑" panose="020B0503020204020204" pitchFamily="2" charset="-122"/>
            </a:rPr>
            <a:t>等候面试</a:t>
          </a:r>
          <a:endParaRPr lang="en-US" sz="1000" baseline="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D56A5E72-E93C-4FB2-9088-4FFB8BDF3699}" cxnId="{0684A7C2-E663-4D4D-8C42-467BC941AA39}" type="parTrans">
      <dgm:prSet/>
      <dgm:spPr/>
      <dgm:t>
        <a:bodyPr/>
        <a:p>
          <a:endParaRPr lang="en-US" sz="18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96D09D57-325B-4D43-902B-7A675A3E7BC9}" cxnId="{0684A7C2-E663-4D4D-8C42-467BC941AA39}" type="sibTrans">
      <dgm:prSet custT="1"/>
      <dgm:spPr/>
      <dgm:t>
        <a:bodyPr/>
        <a:p>
          <a:endParaRPr lang="en-US" sz="5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20347C84-3BAB-4C16-829E-FDC76BAC78BA}">
      <dgm:prSet phldrT="[Text]" custT="1"/>
      <dgm:spPr/>
      <dgm:t>
        <a:bodyPr/>
        <a:p>
          <a:r>
            <a:rPr lang="zh-CN" altLang="en-US" sz="1000" baseline="0">
              <a:latin typeface="微软雅黑" panose="020B0503020204020204" pitchFamily="2" charset="-122"/>
              <a:ea typeface="微软雅黑" panose="020B0503020204020204" pitchFamily="2" charset="-122"/>
            </a:rPr>
            <a:t>进行面试</a:t>
          </a:r>
          <a:endParaRPr lang="en-US" sz="1000" baseline="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A7139BD9-6925-4B67-873A-C6124CE2BB0A}" cxnId="{E0CC7C76-2434-428E-87F9-164DE5B5A228}" type="parTrans">
      <dgm:prSet/>
      <dgm:spPr/>
      <dgm:t>
        <a:bodyPr/>
        <a:p>
          <a:endParaRPr lang="en-US" sz="18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C6A5E96C-C554-4267-A009-CB8C32C3CD30}" cxnId="{E0CC7C76-2434-428E-87F9-164DE5B5A228}" type="sibTrans">
      <dgm:prSet custT="1"/>
      <dgm:spPr/>
      <dgm:t>
        <a:bodyPr/>
        <a:p>
          <a:endParaRPr lang="en-US" sz="5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7D1068C8-26C6-4A1B-B317-FE20B67DF3BD}">
      <dgm:prSet phldrT="[Text]" custT="1"/>
      <dgm:spPr/>
      <dgm:t>
        <a:bodyPr/>
        <a:p>
          <a:r>
            <a:rPr lang="zh-CN" altLang="en-US" sz="1000" baseline="0">
              <a:latin typeface="微软雅黑" panose="020B0503020204020204" pitchFamily="2" charset="-122"/>
              <a:ea typeface="微软雅黑" panose="020B0503020204020204" pitchFamily="2" charset="-122"/>
            </a:rPr>
            <a:t>面试结束</a:t>
          </a:r>
          <a:endParaRPr lang="en-US" sz="1000" baseline="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3388CA87-C664-4F17-B0CD-CF4C389B0029}" cxnId="{B7C22760-8309-485F-B4F2-25A914710443}" type="parTrans">
      <dgm:prSet/>
      <dgm:spPr/>
      <dgm:t>
        <a:bodyPr/>
        <a:p>
          <a:endParaRPr lang="en-US" sz="18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4C13C55B-B324-465A-B495-ACD93E087D48}" cxnId="{B7C22760-8309-485F-B4F2-25A914710443}" type="sibTrans">
      <dgm:prSet/>
      <dgm:spPr/>
      <dgm:t>
        <a:bodyPr/>
        <a:p>
          <a:endParaRPr lang="en-US" sz="180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A415D393-2FFE-4999-AB49-870B52A69D9E}">
      <dgm:prSet phldrT="[Text]" custT="1"/>
      <dgm:spPr/>
      <dgm:t>
        <a:bodyPr/>
        <a:p>
          <a:r>
            <a:rPr lang="zh-CN" altLang="en-US" sz="1000" baseline="0">
              <a:latin typeface="微软雅黑" panose="020B0503020204020204" pitchFamily="2" charset="-122"/>
              <a:ea typeface="微软雅黑" panose="020B0503020204020204" pitchFamily="2" charset="-122"/>
            </a:rPr>
            <a:t>实人认证</a:t>
          </a:r>
          <a:endParaRPr lang="en-US" sz="1000" baseline="0">
            <a:latin typeface="微软雅黑" panose="020B0503020204020204" pitchFamily="2" charset="-122"/>
            <a:ea typeface="微软雅黑" panose="020B0503020204020204" pitchFamily="2" charset="-122"/>
          </a:endParaRPr>
        </a:p>
      </dgm:t>
    </dgm:pt>
    <dgm:pt modelId="{347D0EF7-DD9F-412F-94FB-6D75C4BF9C6C}" cxnId="{6BBBF440-34AA-4B8E-AEDB-797D6FB93EE3}" type="parTrans">
      <dgm:prSet/>
      <dgm:spPr/>
      <dgm:t>
        <a:bodyPr/>
        <a:p>
          <a:endParaRPr lang="zh-CN" altLang="en-US"/>
        </a:p>
      </dgm:t>
    </dgm:pt>
    <dgm:pt modelId="{37CF1FB4-A0BB-42BE-B418-D44390C4EF15}" cxnId="{6BBBF440-34AA-4B8E-AEDB-797D6FB93EE3}" type="sibTrans">
      <dgm:prSet/>
      <dgm:spPr/>
      <dgm:t>
        <a:bodyPr/>
        <a:p>
          <a:endParaRPr lang="zh-CN" altLang="en-US"/>
        </a:p>
      </dgm:t>
    </dgm:pt>
    <dgm:pt modelId="{CBCAF778-A2AE-4D3E-8070-8471517975F4}">
      <dgm:prSet/>
      <dgm:spPr/>
      <dgm:t>
        <a:bodyPr/>
        <a:p>
          <a:r>
            <a:rPr lang="zh-CN" altLang="en-US">
              <a:latin typeface="微软雅黑" panose="020B0503020204020204" pitchFamily="2" charset="-122"/>
              <a:ea typeface="微软雅黑" panose="020B0503020204020204" pitchFamily="2" charset="-122"/>
            </a:rPr>
            <a:t>确认事项</a:t>
          </a:r>
        </a:p>
      </dgm:t>
    </dgm:pt>
    <dgm:pt modelId="{7036DAA2-EE0F-4A26-852D-31AB69AE1B11}" cxnId="{7CC06621-4A4F-4B7C-89ED-FF4E763E7AD8}" type="parTrans">
      <dgm:prSet/>
      <dgm:spPr/>
      <dgm:t>
        <a:bodyPr/>
        <a:p>
          <a:endParaRPr lang="zh-CN" altLang="en-US"/>
        </a:p>
      </dgm:t>
    </dgm:pt>
    <dgm:pt modelId="{CE4DF596-9C3C-460B-90C7-6E975E479D60}" cxnId="{7CC06621-4A4F-4B7C-89ED-FF4E763E7AD8}" type="sibTrans">
      <dgm:prSet/>
      <dgm:spPr/>
      <dgm:t>
        <a:bodyPr/>
        <a:p>
          <a:endParaRPr lang="zh-CN" altLang="en-US"/>
        </a:p>
      </dgm:t>
    </dgm:pt>
    <dgm:pt modelId="{EDD85BAF-14E4-4750-AB8C-5CAA2659411C}" type="pres">
      <dgm:prSet presAssocID="{64F1C088-637E-4A91-88F2-4BE317B41FB8}" presName="Name0" presStyleCnt="0">
        <dgm:presLayoutVars>
          <dgm:dir/>
          <dgm:resizeHandles val="exact"/>
        </dgm:presLayoutVars>
      </dgm:prSet>
      <dgm:spPr/>
    </dgm:pt>
    <dgm:pt modelId="{6131C10A-4930-40C0-9AEA-B04941F4D522}" type="pres">
      <dgm:prSet presAssocID="{43EF9109-3BBA-4327-AFA5-C15EFAD93BAE}" presName="node" presStyleLbl="node1" presStyleIdx="0" presStyleCnt="11">
        <dgm:presLayoutVars>
          <dgm:bulletEnabled val="1"/>
        </dgm:presLayoutVars>
      </dgm:prSet>
      <dgm:spPr/>
    </dgm:pt>
    <dgm:pt modelId="{9EDA6754-6740-4287-A550-D0D45361184B}" type="pres">
      <dgm:prSet presAssocID="{D20FF952-23FD-4571-8F58-F46B8473738E}" presName="sibTrans" presStyleLbl="sibTrans2D1" presStyleIdx="0" presStyleCnt="10"/>
      <dgm:spPr/>
    </dgm:pt>
    <dgm:pt modelId="{BA1A984C-7D24-4C36-8971-BF7DBECC3077}" type="pres">
      <dgm:prSet presAssocID="{D20FF952-23FD-4571-8F58-F46B8473738E}" presName="connectorText" presStyleLbl="sibTrans2D1" presStyleIdx="0" presStyleCnt="10"/>
      <dgm:spPr/>
    </dgm:pt>
    <dgm:pt modelId="{34C00CC1-214F-4709-9566-3E621C3B58BD}" type="pres">
      <dgm:prSet presAssocID="{CCE87464-40B8-4D36-901B-AB46C5A43CC9}" presName="node" presStyleLbl="node1" presStyleIdx="1" presStyleCnt="11">
        <dgm:presLayoutVars>
          <dgm:bulletEnabled val="1"/>
        </dgm:presLayoutVars>
      </dgm:prSet>
      <dgm:spPr/>
    </dgm:pt>
    <dgm:pt modelId="{20A03FD2-4283-48D4-B5E4-B4B0136462FE}" type="pres">
      <dgm:prSet presAssocID="{E3F67F1D-F7FF-4216-88E9-302B68F9F5D0}" presName="sibTrans" presStyleLbl="sibTrans2D1" presStyleIdx="1" presStyleCnt="10"/>
      <dgm:spPr/>
    </dgm:pt>
    <dgm:pt modelId="{44E1265E-256B-4019-82A5-793D9765F42A}" type="pres">
      <dgm:prSet presAssocID="{E3F67F1D-F7FF-4216-88E9-302B68F9F5D0}" presName="connectorText" presStyleLbl="sibTrans2D1" presStyleIdx="1" presStyleCnt="10"/>
      <dgm:spPr/>
    </dgm:pt>
    <dgm:pt modelId="{AD6378F3-59CE-4361-880D-3812DD0992A6}" type="pres">
      <dgm:prSet presAssocID="{A415D393-2FFE-4999-AB49-870B52A69D9E}" presName="node" presStyleLbl="node1" presStyleIdx="2" presStyleCnt="11">
        <dgm:presLayoutVars>
          <dgm:bulletEnabled val="1"/>
        </dgm:presLayoutVars>
      </dgm:prSet>
      <dgm:spPr/>
    </dgm:pt>
    <dgm:pt modelId="{9EF0623F-323D-436D-8307-ED8C9D727AD2}" type="pres">
      <dgm:prSet presAssocID="{37CF1FB4-A0BB-42BE-B418-D44390C4EF15}" presName="sibTrans" presStyleLbl="sibTrans2D1" presStyleIdx="2" presStyleCnt="10"/>
      <dgm:spPr/>
    </dgm:pt>
    <dgm:pt modelId="{C4CB492B-704E-457C-9CCC-1314F64C0DB8}" type="pres">
      <dgm:prSet presAssocID="{37CF1FB4-A0BB-42BE-B418-D44390C4EF15}" presName="connectorText" presStyleLbl="sibTrans2D1" presStyleIdx="2" presStyleCnt="10"/>
      <dgm:spPr/>
    </dgm:pt>
    <dgm:pt modelId="{A304E5BE-81EB-403B-8C68-4A9920F27249}" type="pres">
      <dgm:prSet presAssocID="{7E3723F3-D64E-40A1-9E39-316540EDC6F9}" presName="node" presStyleLbl="node1" presStyleIdx="3" presStyleCnt="11">
        <dgm:presLayoutVars>
          <dgm:bulletEnabled val="1"/>
        </dgm:presLayoutVars>
      </dgm:prSet>
      <dgm:spPr/>
    </dgm:pt>
    <dgm:pt modelId="{739D0653-20FD-45A7-83A7-5108E141F87F}" type="pres">
      <dgm:prSet presAssocID="{0BCEBB24-7951-43AE-9C40-C432CAFC1D74}" presName="sibTrans" presStyleLbl="sibTrans2D1" presStyleIdx="3" presStyleCnt="10"/>
      <dgm:spPr/>
    </dgm:pt>
    <dgm:pt modelId="{D4A59DA0-A29B-4A98-B6AC-E0A62150697B}" type="pres">
      <dgm:prSet presAssocID="{0BCEBB24-7951-43AE-9C40-C432CAFC1D74}" presName="connectorText" presStyleLbl="sibTrans2D1" presStyleIdx="3" presStyleCnt="10"/>
      <dgm:spPr/>
    </dgm:pt>
    <dgm:pt modelId="{9CF2950C-883F-4A51-99A4-F08232A5AA0F}" type="pres">
      <dgm:prSet presAssocID="{D53DA1C9-DF9B-47E8-8A2C-590DCF786B5E}" presName="node" presStyleLbl="node1" presStyleIdx="4" presStyleCnt="11">
        <dgm:presLayoutVars>
          <dgm:bulletEnabled val="1"/>
        </dgm:presLayoutVars>
      </dgm:prSet>
      <dgm:spPr/>
    </dgm:pt>
    <dgm:pt modelId="{4311C56D-44EA-49E7-807C-4D39FBA63E2C}" type="pres">
      <dgm:prSet presAssocID="{04E5A9DB-0989-45F3-98A4-F3C55A9B34F9}" presName="sibTrans" presStyleLbl="sibTrans2D1" presStyleIdx="4" presStyleCnt="10"/>
      <dgm:spPr/>
    </dgm:pt>
    <dgm:pt modelId="{A921315E-A95E-48D7-98F7-0CC6681B143B}" type="pres">
      <dgm:prSet presAssocID="{04E5A9DB-0989-45F3-98A4-F3C55A9B34F9}" presName="connectorText" presStyleLbl="sibTrans2D1" presStyleIdx="4" presStyleCnt="10"/>
      <dgm:spPr/>
    </dgm:pt>
    <dgm:pt modelId="{679B8A5E-D9E2-4065-8CBD-74F595F08F9D}" type="pres">
      <dgm:prSet presAssocID="{CBCAF778-A2AE-4D3E-8070-8471517975F4}" presName="node" presStyleLbl="node1" presStyleIdx="5" presStyleCnt="11">
        <dgm:presLayoutVars>
          <dgm:bulletEnabled val="1"/>
        </dgm:presLayoutVars>
      </dgm:prSet>
      <dgm:spPr/>
    </dgm:pt>
    <dgm:pt modelId="{9103F61E-0D50-4EA2-9B7A-669CDC10A54E}" type="pres">
      <dgm:prSet presAssocID="{CE4DF596-9C3C-460B-90C7-6E975E479D60}" presName="sibTrans" presStyleLbl="sibTrans2D1" presStyleIdx="5" presStyleCnt="10"/>
      <dgm:spPr/>
    </dgm:pt>
    <dgm:pt modelId="{563A30B9-FD63-4E05-A3C0-DB308F612A4E}" type="pres">
      <dgm:prSet presAssocID="{CE4DF596-9C3C-460B-90C7-6E975E479D60}" presName="connectorText" presStyleLbl="sibTrans2D1" presStyleIdx="5" presStyleCnt="10"/>
      <dgm:spPr/>
    </dgm:pt>
    <dgm:pt modelId="{256F4DCD-1889-4881-AF14-04170938AD0E}" type="pres">
      <dgm:prSet presAssocID="{5970A32C-5657-4488-8EBE-78B121F9C754}" presName="node" presStyleLbl="node1" presStyleIdx="6" presStyleCnt="11">
        <dgm:presLayoutVars>
          <dgm:bulletEnabled val="1"/>
        </dgm:presLayoutVars>
      </dgm:prSet>
      <dgm:spPr/>
    </dgm:pt>
    <dgm:pt modelId="{E611ED03-C0EB-4B93-B971-64F138F4CBD1}" type="pres">
      <dgm:prSet presAssocID="{48EA0CD1-4A19-462B-AA94-6713576A6673}" presName="sibTrans" presStyleLbl="sibTrans2D1" presStyleIdx="6" presStyleCnt="10"/>
      <dgm:spPr/>
    </dgm:pt>
    <dgm:pt modelId="{CA8CC347-67D0-4D63-ABF5-FFFD469978F0}" type="pres">
      <dgm:prSet presAssocID="{48EA0CD1-4A19-462B-AA94-6713576A6673}" presName="connectorText" presStyleLbl="sibTrans2D1" presStyleIdx="6" presStyleCnt="10"/>
      <dgm:spPr/>
    </dgm:pt>
    <dgm:pt modelId="{71581A57-2A92-4A6F-B524-BABA1AA2EBB0}" type="pres">
      <dgm:prSet presAssocID="{F8EF8607-5C5B-4169-AC4D-79AF580E6586}" presName="node" presStyleLbl="node1" presStyleIdx="7" presStyleCnt="11">
        <dgm:presLayoutVars>
          <dgm:bulletEnabled val="1"/>
        </dgm:presLayoutVars>
      </dgm:prSet>
      <dgm:spPr/>
    </dgm:pt>
    <dgm:pt modelId="{6ADA0175-9C5C-4204-968D-14AC9F43E870}" type="pres">
      <dgm:prSet presAssocID="{7934D339-AADD-498A-8BB5-E84A7D7B2BA4}" presName="sibTrans" presStyleLbl="sibTrans2D1" presStyleIdx="7" presStyleCnt="10"/>
      <dgm:spPr/>
    </dgm:pt>
    <dgm:pt modelId="{355AAA35-CBAB-4049-B268-EBFCC59935BE}" type="pres">
      <dgm:prSet presAssocID="{7934D339-AADD-498A-8BB5-E84A7D7B2BA4}" presName="connectorText" presStyleLbl="sibTrans2D1" presStyleIdx="7" presStyleCnt="10"/>
      <dgm:spPr/>
    </dgm:pt>
    <dgm:pt modelId="{2BC11641-21F3-4475-A939-DF92F6F42307}" type="pres">
      <dgm:prSet presAssocID="{4909CAB4-BB7E-40BA-A00A-32970F677143}" presName="node" presStyleLbl="node1" presStyleIdx="8" presStyleCnt="11">
        <dgm:presLayoutVars>
          <dgm:bulletEnabled val="1"/>
        </dgm:presLayoutVars>
      </dgm:prSet>
      <dgm:spPr/>
    </dgm:pt>
    <dgm:pt modelId="{AED585F8-CA68-49F8-ADA9-0E4765998D63}" type="pres">
      <dgm:prSet presAssocID="{96D09D57-325B-4D43-902B-7A675A3E7BC9}" presName="sibTrans" presStyleLbl="sibTrans2D1" presStyleIdx="8" presStyleCnt="10"/>
      <dgm:spPr/>
    </dgm:pt>
    <dgm:pt modelId="{17E9A837-E5E7-4D1B-A7AF-515500789798}" type="pres">
      <dgm:prSet presAssocID="{96D09D57-325B-4D43-902B-7A675A3E7BC9}" presName="connectorText" presStyleLbl="sibTrans2D1" presStyleIdx="8" presStyleCnt="10"/>
      <dgm:spPr/>
    </dgm:pt>
    <dgm:pt modelId="{57F858B9-14A8-44CB-BCFA-82935DBB041A}" type="pres">
      <dgm:prSet presAssocID="{20347C84-3BAB-4C16-829E-FDC76BAC78BA}" presName="node" presStyleLbl="node1" presStyleIdx="9" presStyleCnt="11">
        <dgm:presLayoutVars>
          <dgm:bulletEnabled val="1"/>
        </dgm:presLayoutVars>
      </dgm:prSet>
      <dgm:spPr/>
    </dgm:pt>
    <dgm:pt modelId="{88C59751-64D0-4CCA-AAE1-C8CCC0B7AF87}" type="pres">
      <dgm:prSet presAssocID="{C6A5E96C-C554-4267-A009-CB8C32C3CD30}" presName="sibTrans" presStyleLbl="sibTrans2D1" presStyleIdx="9" presStyleCnt="10"/>
      <dgm:spPr/>
    </dgm:pt>
    <dgm:pt modelId="{33AACFA3-FA26-4565-B372-6F758D4C7D38}" type="pres">
      <dgm:prSet presAssocID="{C6A5E96C-C554-4267-A009-CB8C32C3CD30}" presName="connectorText" presStyleLbl="sibTrans2D1" presStyleIdx="9" presStyleCnt="10"/>
      <dgm:spPr/>
    </dgm:pt>
    <dgm:pt modelId="{BE287DBF-DC99-442F-90AE-0B2DA01B1336}" type="pres">
      <dgm:prSet presAssocID="{7D1068C8-26C6-4A1B-B317-FE20B67DF3BD}" presName="node" presStyleLbl="node1" presStyleIdx="10" presStyleCnt="11">
        <dgm:presLayoutVars>
          <dgm:bulletEnabled val="1"/>
        </dgm:presLayoutVars>
      </dgm:prSet>
      <dgm:spPr/>
    </dgm:pt>
  </dgm:ptLst>
  <dgm:cxnLst>
    <dgm:cxn modelId="{14ADDB02-89DD-4609-BA7B-5B53098ADCEE}" srcId="{64F1C088-637E-4A91-88F2-4BE317B41FB8}" destId="{5970A32C-5657-4488-8EBE-78B121F9C754}" srcOrd="6" destOrd="0" parTransId="{B71B7EA2-2045-442D-B121-2D549F887A44}" sibTransId="{48EA0CD1-4A19-462B-AA94-6713576A6673}"/>
    <dgm:cxn modelId="{A9216E08-1876-4C2B-AED4-D5BA9549D9E7}" type="presOf" srcId="{5970A32C-5657-4488-8EBE-78B121F9C754}" destId="{256F4DCD-1889-4881-AF14-04170938AD0E}" srcOrd="0" destOrd="0" presId="urn:microsoft.com/office/officeart/2005/8/layout/process1"/>
    <dgm:cxn modelId="{B4C9160B-AFE1-48A1-8897-CC4A2A04E472}" type="presOf" srcId="{4909CAB4-BB7E-40BA-A00A-32970F677143}" destId="{2BC11641-21F3-4475-A939-DF92F6F42307}" srcOrd="0" destOrd="0" presId="urn:microsoft.com/office/officeart/2005/8/layout/process1"/>
    <dgm:cxn modelId="{9DE21319-327B-4586-AF0E-60547EE845C8}" type="presOf" srcId="{F8EF8607-5C5B-4169-AC4D-79AF580E6586}" destId="{71581A57-2A92-4A6F-B524-BABA1AA2EBB0}" srcOrd="0" destOrd="0" presId="urn:microsoft.com/office/officeart/2005/8/layout/process1"/>
    <dgm:cxn modelId="{C08F821F-2CD8-4D4E-B396-93D658BCC80B}" type="presOf" srcId="{CE4DF596-9C3C-460B-90C7-6E975E479D60}" destId="{9103F61E-0D50-4EA2-9B7A-669CDC10A54E}" srcOrd="0" destOrd="0" presId="urn:microsoft.com/office/officeart/2005/8/layout/process1"/>
    <dgm:cxn modelId="{7CC06621-4A4F-4B7C-89ED-FF4E763E7AD8}" srcId="{64F1C088-637E-4A91-88F2-4BE317B41FB8}" destId="{CBCAF778-A2AE-4D3E-8070-8471517975F4}" srcOrd="5" destOrd="0" parTransId="{7036DAA2-EE0F-4A26-852D-31AB69AE1B11}" sibTransId="{CE4DF596-9C3C-460B-90C7-6E975E479D60}"/>
    <dgm:cxn modelId="{CC53E32D-7EBB-43F2-AB48-FF6701FFAFA8}" type="presOf" srcId="{E3F67F1D-F7FF-4216-88E9-302B68F9F5D0}" destId="{20A03FD2-4283-48D4-B5E4-B4B0136462FE}" srcOrd="0" destOrd="0" presId="urn:microsoft.com/office/officeart/2005/8/layout/process1"/>
    <dgm:cxn modelId="{FF00B82F-B040-40A8-9F45-0E7A5ABC159C}" type="presOf" srcId="{C6A5E96C-C554-4267-A009-CB8C32C3CD30}" destId="{88C59751-64D0-4CCA-AAE1-C8CCC0B7AF87}" srcOrd="0" destOrd="0" presId="urn:microsoft.com/office/officeart/2005/8/layout/process1"/>
    <dgm:cxn modelId="{6F39AE35-A284-46AB-9E0D-B4849B1AF664}" type="presOf" srcId="{96D09D57-325B-4D43-902B-7A675A3E7BC9}" destId="{AED585F8-CA68-49F8-ADA9-0E4765998D63}" srcOrd="0" destOrd="0" presId="urn:microsoft.com/office/officeart/2005/8/layout/process1"/>
    <dgm:cxn modelId="{BDA76A36-4BDA-4AD3-802C-8373F255E74B}" type="presOf" srcId="{37CF1FB4-A0BB-42BE-B418-D44390C4EF15}" destId="{C4CB492B-704E-457C-9CCC-1314F64C0DB8}" srcOrd="1" destOrd="0" presId="urn:microsoft.com/office/officeart/2005/8/layout/process1"/>
    <dgm:cxn modelId="{6BBBF440-34AA-4B8E-AEDB-797D6FB93EE3}" srcId="{64F1C088-637E-4A91-88F2-4BE317B41FB8}" destId="{A415D393-2FFE-4999-AB49-870B52A69D9E}" srcOrd="2" destOrd="0" parTransId="{347D0EF7-DD9F-412F-94FB-6D75C4BF9C6C}" sibTransId="{37CF1FB4-A0BB-42BE-B418-D44390C4EF15}"/>
    <dgm:cxn modelId="{B7C22760-8309-485F-B4F2-25A914710443}" srcId="{64F1C088-637E-4A91-88F2-4BE317B41FB8}" destId="{7D1068C8-26C6-4A1B-B317-FE20B67DF3BD}" srcOrd="10" destOrd="0" parTransId="{3388CA87-C664-4F17-B0CD-CF4C389B0029}" sibTransId="{4C13C55B-B324-465A-B495-ACD93E087D48}"/>
    <dgm:cxn modelId="{86C19243-4948-4FF3-A560-D1C08982AE6A}" srcId="{64F1C088-637E-4A91-88F2-4BE317B41FB8}" destId="{CCE87464-40B8-4D36-901B-AB46C5A43CC9}" srcOrd="1" destOrd="0" parTransId="{F6AF99E6-99C9-445A-A2D6-C7A2A225EE2A}" sibTransId="{E3F67F1D-F7FF-4216-88E9-302B68F9F5D0}"/>
    <dgm:cxn modelId="{00663664-7230-4631-BD00-469ADE3338CE}" type="presOf" srcId="{CBCAF778-A2AE-4D3E-8070-8471517975F4}" destId="{679B8A5E-D9E2-4065-8CBD-74F595F08F9D}" srcOrd="0" destOrd="0" presId="urn:microsoft.com/office/officeart/2005/8/layout/process1"/>
    <dgm:cxn modelId="{D681D164-AEAB-4EEB-91A9-692DE83F14AC}" type="presOf" srcId="{04E5A9DB-0989-45F3-98A4-F3C55A9B34F9}" destId="{4311C56D-44EA-49E7-807C-4D39FBA63E2C}" srcOrd="0" destOrd="0" presId="urn:microsoft.com/office/officeart/2005/8/layout/process1"/>
    <dgm:cxn modelId="{FB7BB367-D679-494D-ADEE-68CE5A9BA64F}" type="presOf" srcId="{0BCEBB24-7951-43AE-9C40-C432CAFC1D74}" destId="{D4A59DA0-A29B-4A98-B6AC-E0A62150697B}" srcOrd="1" destOrd="0" presId="urn:microsoft.com/office/officeart/2005/8/layout/process1"/>
    <dgm:cxn modelId="{70AE2D6B-96B7-422F-944D-CB6390B63208}" type="presOf" srcId="{37CF1FB4-A0BB-42BE-B418-D44390C4EF15}" destId="{9EF0623F-323D-436D-8307-ED8C9D727AD2}" srcOrd="0" destOrd="0" presId="urn:microsoft.com/office/officeart/2005/8/layout/process1"/>
    <dgm:cxn modelId="{19825F4F-6BF1-42E1-B5F4-CD84A739BECE}" srcId="{64F1C088-637E-4A91-88F2-4BE317B41FB8}" destId="{43EF9109-3BBA-4327-AFA5-C15EFAD93BAE}" srcOrd="0" destOrd="0" parTransId="{6970007D-A251-45FB-9084-817D69CA8C20}" sibTransId="{D20FF952-23FD-4571-8F58-F46B8473738E}"/>
    <dgm:cxn modelId="{11BDC450-3210-47D9-AF3E-EC8CCC853DDA}" type="presOf" srcId="{96D09D57-325B-4D43-902B-7A675A3E7BC9}" destId="{17E9A837-E5E7-4D1B-A7AF-515500789798}" srcOrd="1" destOrd="0" presId="urn:microsoft.com/office/officeart/2005/8/layout/process1"/>
    <dgm:cxn modelId="{FC6A4B72-07C2-4AAA-B752-F8163B35DAC9}" type="presOf" srcId="{7E3723F3-D64E-40A1-9E39-316540EDC6F9}" destId="{A304E5BE-81EB-403B-8C68-4A9920F27249}" srcOrd="0" destOrd="0" presId="urn:microsoft.com/office/officeart/2005/8/layout/process1"/>
    <dgm:cxn modelId="{5AB10256-C584-4C1B-99C2-429E88F6DD9B}" type="presOf" srcId="{7934D339-AADD-498A-8BB5-E84A7D7B2BA4}" destId="{355AAA35-CBAB-4049-B268-EBFCC59935BE}" srcOrd="1" destOrd="0" presId="urn:microsoft.com/office/officeart/2005/8/layout/process1"/>
    <dgm:cxn modelId="{E0CC7C76-2434-428E-87F9-164DE5B5A228}" srcId="{64F1C088-637E-4A91-88F2-4BE317B41FB8}" destId="{20347C84-3BAB-4C16-829E-FDC76BAC78BA}" srcOrd="9" destOrd="0" parTransId="{A7139BD9-6925-4B67-873A-C6124CE2BB0A}" sibTransId="{C6A5E96C-C554-4267-A009-CB8C32C3CD30}"/>
    <dgm:cxn modelId="{8217EC76-8D34-4FB9-99DE-1FA20D67F3E3}" type="presOf" srcId="{48EA0CD1-4A19-462B-AA94-6713576A6673}" destId="{CA8CC347-67D0-4D63-ABF5-FFFD469978F0}" srcOrd="1" destOrd="0" presId="urn:microsoft.com/office/officeart/2005/8/layout/process1"/>
    <dgm:cxn modelId="{902D037D-3CA5-4A64-AD05-C1DD99D7493C}" type="presOf" srcId="{E3F67F1D-F7FF-4216-88E9-302B68F9F5D0}" destId="{44E1265E-256B-4019-82A5-793D9765F42A}" srcOrd="1" destOrd="0" presId="urn:microsoft.com/office/officeart/2005/8/layout/process1"/>
    <dgm:cxn modelId="{EE98778C-3F1E-4E3E-868D-4A13E4631DB3}" type="presOf" srcId="{CE4DF596-9C3C-460B-90C7-6E975E479D60}" destId="{563A30B9-FD63-4E05-A3C0-DB308F612A4E}" srcOrd="1" destOrd="0" presId="urn:microsoft.com/office/officeart/2005/8/layout/process1"/>
    <dgm:cxn modelId="{88845D8F-FED1-4AE0-8F18-EF687AE11D91}" type="presOf" srcId="{CCE87464-40B8-4D36-901B-AB46C5A43CC9}" destId="{34C00CC1-214F-4709-9566-3E621C3B58BD}" srcOrd="0" destOrd="0" presId="urn:microsoft.com/office/officeart/2005/8/layout/process1"/>
    <dgm:cxn modelId="{3B44BD91-BD98-4807-B6AA-89BED7650155}" type="presOf" srcId="{7D1068C8-26C6-4A1B-B317-FE20B67DF3BD}" destId="{BE287DBF-DC99-442F-90AE-0B2DA01B1336}" srcOrd="0" destOrd="0" presId="urn:microsoft.com/office/officeart/2005/8/layout/process1"/>
    <dgm:cxn modelId="{32F26497-C8BF-4133-BA50-41D90342FFCF}" type="presOf" srcId="{C6A5E96C-C554-4267-A009-CB8C32C3CD30}" destId="{33AACFA3-FA26-4565-B372-6F758D4C7D38}" srcOrd="1" destOrd="0" presId="urn:microsoft.com/office/officeart/2005/8/layout/process1"/>
    <dgm:cxn modelId="{A8F631A8-1112-4060-B5A8-DEBBC48446B2}" srcId="{64F1C088-637E-4A91-88F2-4BE317B41FB8}" destId="{7E3723F3-D64E-40A1-9E39-316540EDC6F9}" srcOrd="3" destOrd="0" parTransId="{213B6A57-063C-4FD0-80E0-FD484A93AEBD}" sibTransId="{0BCEBB24-7951-43AE-9C40-C432CAFC1D74}"/>
    <dgm:cxn modelId="{FCC343B7-8E78-4488-AB33-5969CE6A5EF2}" type="presOf" srcId="{D20FF952-23FD-4571-8F58-F46B8473738E}" destId="{BA1A984C-7D24-4C36-8971-BF7DBECC3077}" srcOrd="1" destOrd="0" presId="urn:microsoft.com/office/officeart/2005/8/layout/process1"/>
    <dgm:cxn modelId="{C2AB17B9-BF21-417F-90B9-6AC29F0B2F86}" srcId="{64F1C088-637E-4A91-88F2-4BE317B41FB8}" destId="{F8EF8607-5C5B-4169-AC4D-79AF580E6586}" srcOrd="7" destOrd="0" parTransId="{5E647CC0-0595-4D5E-81EE-5DDEC5EDB39D}" sibTransId="{7934D339-AADD-498A-8BB5-E84A7D7B2BA4}"/>
    <dgm:cxn modelId="{0684A7C2-E663-4D4D-8C42-467BC941AA39}" srcId="{64F1C088-637E-4A91-88F2-4BE317B41FB8}" destId="{4909CAB4-BB7E-40BA-A00A-32970F677143}" srcOrd="8" destOrd="0" parTransId="{D56A5E72-E93C-4FB2-9088-4FFB8BDF3699}" sibTransId="{96D09D57-325B-4D43-902B-7A675A3E7BC9}"/>
    <dgm:cxn modelId="{37F2CEC6-A720-4F20-A8A6-41F67EA8B726}" type="presOf" srcId="{20347C84-3BAB-4C16-829E-FDC76BAC78BA}" destId="{57F858B9-14A8-44CB-BCFA-82935DBB041A}" srcOrd="0" destOrd="0" presId="urn:microsoft.com/office/officeart/2005/8/layout/process1"/>
    <dgm:cxn modelId="{F5B7C7CC-1650-4DF1-AD06-3149ACD2D2D5}" type="presOf" srcId="{48EA0CD1-4A19-462B-AA94-6713576A6673}" destId="{E611ED03-C0EB-4B93-B971-64F138F4CBD1}" srcOrd="0" destOrd="0" presId="urn:microsoft.com/office/officeart/2005/8/layout/process1"/>
    <dgm:cxn modelId="{6334C3CD-77FD-4E32-BD9D-09FF3B25F29F}" srcId="{64F1C088-637E-4A91-88F2-4BE317B41FB8}" destId="{D53DA1C9-DF9B-47E8-8A2C-590DCF786B5E}" srcOrd="4" destOrd="0" parTransId="{474DAAE3-6770-43DA-8CA5-736B9C9093A2}" sibTransId="{04E5A9DB-0989-45F3-98A4-F3C55A9B34F9}"/>
    <dgm:cxn modelId="{19E295D0-4127-4B72-A7D4-056CA316B319}" type="presOf" srcId="{D53DA1C9-DF9B-47E8-8A2C-590DCF786B5E}" destId="{9CF2950C-883F-4A51-99A4-F08232A5AA0F}" srcOrd="0" destOrd="0" presId="urn:microsoft.com/office/officeart/2005/8/layout/process1"/>
    <dgm:cxn modelId="{2662EBD0-249C-4EC2-8927-FE496160AEC9}" type="presOf" srcId="{A415D393-2FFE-4999-AB49-870B52A69D9E}" destId="{AD6378F3-59CE-4361-880D-3812DD0992A6}" srcOrd="0" destOrd="0" presId="urn:microsoft.com/office/officeart/2005/8/layout/process1"/>
    <dgm:cxn modelId="{894604D3-076B-41EE-950D-CE2733FA8DC8}" type="presOf" srcId="{04E5A9DB-0989-45F3-98A4-F3C55A9B34F9}" destId="{A921315E-A95E-48D7-98F7-0CC6681B143B}" srcOrd="1" destOrd="0" presId="urn:microsoft.com/office/officeart/2005/8/layout/process1"/>
    <dgm:cxn modelId="{A54835D3-A554-4D12-8A8C-4FB449D10DAF}" type="presOf" srcId="{0BCEBB24-7951-43AE-9C40-C432CAFC1D74}" destId="{739D0653-20FD-45A7-83A7-5108E141F87F}" srcOrd="0" destOrd="0" presId="urn:microsoft.com/office/officeart/2005/8/layout/process1"/>
    <dgm:cxn modelId="{9C80B0D9-141B-4A52-AF9C-71F982516F55}" type="presOf" srcId="{7934D339-AADD-498A-8BB5-E84A7D7B2BA4}" destId="{6ADA0175-9C5C-4204-968D-14AC9F43E870}" srcOrd="0" destOrd="0" presId="urn:microsoft.com/office/officeart/2005/8/layout/process1"/>
    <dgm:cxn modelId="{483143E0-CE3E-4C22-950E-342CC57BCE42}" type="presOf" srcId="{43EF9109-3BBA-4327-AFA5-C15EFAD93BAE}" destId="{6131C10A-4930-40C0-9AEA-B04941F4D522}" srcOrd="0" destOrd="0" presId="urn:microsoft.com/office/officeart/2005/8/layout/process1"/>
    <dgm:cxn modelId="{E49215E2-A06C-4D6C-B4DE-06A1462984CF}" type="presOf" srcId="{D20FF952-23FD-4571-8F58-F46B8473738E}" destId="{9EDA6754-6740-4287-A550-D0D45361184B}" srcOrd="0" destOrd="0" presId="urn:microsoft.com/office/officeart/2005/8/layout/process1"/>
    <dgm:cxn modelId="{4EBBA5E7-7BCF-4A5D-A418-720A98B67591}" type="presOf" srcId="{64F1C088-637E-4A91-88F2-4BE317B41FB8}" destId="{EDD85BAF-14E4-4750-AB8C-5CAA2659411C}" srcOrd="0" destOrd="0" presId="urn:microsoft.com/office/officeart/2005/8/layout/process1"/>
    <dgm:cxn modelId="{A23E4811-25B0-4D75-B72D-6EB3D1E8EEEB}" type="presParOf" srcId="{EDD85BAF-14E4-4750-AB8C-5CAA2659411C}" destId="{6131C10A-4930-40C0-9AEA-B04941F4D522}" srcOrd="0" destOrd="0" presId="urn:microsoft.com/office/officeart/2005/8/layout/process1"/>
    <dgm:cxn modelId="{9B42C809-55C6-4091-A0C4-3AA97C6916CB}" type="presParOf" srcId="{EDD85BAF-14E4-4750-AB8C-5CAA2659411C}" destId="{9EDA6754-6740-4287-A550-D0D45361184B}" srcOrd="1" destOrd="0" presId="urn:microsoft.com/office/officeart/2005/8/layout/process1"/>
    <dgm:cxn modelId="{F40B74E2-E7F0-4EE2-95AB-12FD28AA8416}" type="presParOf" srcId="{9EDA6754-6740-4287-A550-D0D45361184B}" destId="{BA1A984C-7D24-4C36-8971-BF7DBECC3077}" srcOrd="0" destOrd="0" presId="urn:microsoft.com/office/officeart/2005/8/layout/process1"/>
    <dgm:cxn modelId="{AE0732F1-B8A0-41C7-9429-52DC1E5AF04A}" type="presParOf" srcId="{EDD85BAF-14E4-4750-AB8C-5CAA2659411C}" destId="{34C00CC1-214F-4709-9566-3E621C3B58BD}" srcOrd="2" destOrd="0" presId="urn:microsoft.com/office/officeart/2005/8/layout/process1"/>
    <dgm:cxn modelId="{02610F6B-7656-4F1E-B15E-C9F5F1C44633}" type="presParOf" srcId="{EDD85BAF-14E4-4750-AB8C-5CAA2659411C}" destId="{20A03FD2-4283-48D4-B5E4-B4B0136462FE}" srcOrd="3" destOrd="0" presId="urn:microsoft.com/office/officeart/2005/8/layout/process1"/>
    <dgm:cxn modelId="{6D19D305-58F7-42FE-8413-273D6C267041}" type="presParOf" srcId="{20A03FD2-4283-48D4-B5E4-B4B0136462FE}" destId="{44E1265E-256B-4019-82A5-793D9765F42A}" srcOrd="0" destOrd="0" presId="urn:microsoft.com/office/officeart/2005/8/layout/process1"/>
    <dgm:cxn modelId="{81E92B78-1097-4B4F-AA82-EDC949487E31}" type="presParOf" srcId="{EDD85BAF-14E4-4750-AB8C-5CAA2659411C}" destId="{AD6378F3-59CE-4361-880D-3812DD0992A6}" srcOrd="4" destOrd="0" presId="urn:microsoft.com/office/officeart/2005/8/layout/process1"/>
    <dgm:cxn modelId="{63D0FD43-62CD-4413-85EA-8FE4E04601BC}" type="presParOf" srcId="{EDD85BAF-14E4-4750-AB8C-5CAA2659411C}" destId="{9EF0623F-323D-436D-8307-ED8C9D727AD2}" srcOrd="5" destOrd="0" presId="urn:microsoft.com/office/officeart/2005/8/layout/process1"/>
    <dgm:cxn modelId="{D8DD7280-5AB3-4594-85F2-1991E74A6B15}" type="presParOf" srcId="{9EF0623F-323D-436D-8307-ED8C9D727AD2}" destId="{C4CB492B-704E-457C-9CCC-1314F64C0DB8}" srcOrd="0" destOrd="0" presId="urn:microsoft.com/office/officeart/2005/8/layout/process1"/>
    <dgm:cxn modelId="{21D0C0BC-56C4-42DE-9AA2-745D986C43EF}" type="presParOf" srcId="{EDD85BAF-14E4-4750-AB8C-5CAA2659411C}" destId="{A304E5BE-81EB-403B-8C68-4A9920F27249}" srcOrd="6" destOrd="0" presId="urn:microsoft.com/office/officeart/2005/8/layout/process1"/>
    <dgm:cxn modelId="{D80581CB-13E4-4324-BD76-1D28235AC6D3}" type="presParOf" srcId="{EDD85BAF-14E4-4750-AB8C-5CAA2659411C}" destId="{739D0653-20FD-45A7-83A7-5108E141F87F}" srcOrd="7" destOrd="0" presId="urn:microsoft.com/office/officeart/2005/8/layout/process1"/>
    <dgm:cxn modelId="{A00AAC3F-263C-4CB8-9E4A-04E1D41656E9}" type="presParOf" srcId="{739D0653-20FD-45A7-83A7-5108E141F87F}" destId="{D4A59DA0-A29B-4A98-B6AC-E0A62150697B}" srcOrd="0" destOrd="0" presId="urn:microsoft.com/office/officeart/2005/8/layout/process1"/>
    <dgm:cxn modelId="{C30A7185-5BAB-411B-83EE-9E6F366DCC3C}" type="presParOf" srcId="{EDD85BAF-14E4-4750-AB8C-5CAA2659411C}" destId="{9CF2950C-883F-4A51-99A4-F08232A5AA0F}" srcOrd="8" destOrd="0" presId="urn:microsoft.com/office/officeart/2005/8/layout/process1"/>
    <dgm:cxn modelId="{94068EC3-5C46-41EE-9339-B652DAFA7BBB}" type="presParOf" srcId="{EDD85BAF-14E4-4750-AB8C-5CAA2659411C}" destId="{4311C56D-44EA-49E7-807C-4D39FBA63E2C}" srcOrd="9" destOrd="0" presId="urn:microsoft.com/office/officeart/2005/8/layout/process1"/>
    <dgm:cxn modelId="{87AF7621-AD25-4A03-BDF0-34C7556C7CBF}" type="presParOf" srcId="{4311C56D-44EA-49E7-807C-4D39FBA63E2C}" destId="{A921315E-A95E-48D7-98F7-0CC6681B143B}" srcOrd="0" destOrd="0" presId="urn:microsoft.com/office/officeart/2005/8/layout/process1"/>
    <dgm:cxn modelId="{B93BB1DA-2C30-4A5D-9FF0-AD2402A5CA8A}" type="presParOf" srcId="{EDD85BAF-14E4-4750-AB8C-5CAA2659411C}" destId="{679B8A5E-D9E2-4065-8CBD-74F595F08F9D}" srcOrd="10" destOrd="0" presId="urn:microsoft.com/office/officeart/2005/8/layout/process1"/>
    <dgm:cxn modelId="{F75C23CC-AB6A-475B-98AC-60CA15FD4EBD}" type="presParOf" srcId="{EDD85BAF-14E4-4750-AB8C-5CAA2659411C}" destId="{9103F61E-0D50-4EA2-9B7A-669CDC10A54E}" srcOrd="11" destOrd="0" presId="urn:microsoft.com/office/officeart/2005/8/layout/process1"/>
    <dgm:cxn modelId="{738C6180-65B7-47F4-8C0D-ED0CE5895A1E}" type="presParOf" srcId="{9103F61E-0D50-4EA2-9B7A-669CDC10A54E}" destId="{563A30B9-FD63-4E05-A3C0-DB308F612A4E}" srcOrd="0" destOrd="0" presId="urn:microsoft.com/office/officeart/2005/8/layout/process1"/>
    <dgm:cxn modelId="{93B33017-C602-4040-8514-6DA51D6AFA66}" type="presParOf" srcId="{EDD85BAF-14E4-4750-AB8C-5CAA2659411C}" destId="{256F4DCD-1889-4881-AF14-04170938AD0E}" srcOrd="12" destOrd="0" presId="urn:microsoft.com/office/officeart/2005/8/layout/process1"/>
    <dgm:cxn modelId="{FE11D76B-A4B3-4E4D-B31A-AD6BDBE8D4DE}" type="presParOf" srcId="{EDD85BAF-14E4-4750-AB8C-5CAA2659411C}" destId="{E611ED03-C0EB-4B93-B971-64F138F4CBD1}" srcOrd="13" destOrd="0" presId="urn:microsoft.com/office/officeart/2005/8/layout/process1"/>
    <dgm:cxn modelId="{DDD71353-5989-4591-85AE-37681911026A}" type="presParOf" srcId="{E611ED03-C0EB-4B93-B971-64F138F4CBD1}" destId="{CA8CC347-67D0-4D63-ABF5-FFFD469978F0}" srcOrd="0" destOrd="0" presId="urn:microsoft.com/office/officeart/2005/8/layout/process1"/>
    <dgm:cxn modelId="{88BE2C7C-57E0-4086-9561-55D4EDEE0354}" type="presParOf" srcId="{EDD85BAF-14E4-4750-AB8C-5CAA2659411C}" destId="{71581A57-2A92-4A6F-B524-BABA1AA2EBB0}" srcOrd="14" destOrd="0" presId="urn:microsoft.com/office/officeart/2005/8/layout/process1"/>
    <dgm:cxn modelId="{BC5E4681-108E-49D7-B347-08DAE3F8071E}" type="presParOf" srcId="{EDD85BAF-14E4-4750-AB8C-5CAA2659411C}" destId="{6ADA0175-9C5C-4204-968D-14AC9F43E870}" srcOrd="15" destOrd="0" presId="urn:microsoft.com/office/officeart/2005/8/layout/process1"/>
    <dgm:cxn modelId="{1138EF4C-7493-4B87-84FE-8E9C42B11976}" type="presParOf" srcId="{6ADA0175-9C5C-4204-968D-14AC9F43E870}" destId="{355AAA35-CBAB-4049-B268-EBFCC59935BE}" srcOrd="0" destOrd="0" presId="urn:microsoft.com/office/officeart/2005/8/layout/process1"/>
    <dgm:cxn modelId="{E634108F-E40E-4330-A2EF-020511FE436D}" type="presParOf" srcId="{EDD85BAF-14E4-4750-AB8C-5CAA2659411C}" destId="{2BC11641-21F3-4475-A939-DF92F6F42307}" srcOrd="16" destOrd="0" presId="urn:microsoft.com/office/officeart/2005/8/layout/process1"/>
    <dgm:cxn modelId="{13786BA8-C4B9-48C0-A98F-7A02EC4FF654}" type="presParOf" srcId="{EDD85BAF-14E4-4750-AB8C-5CAA2659411C}" destId="{AED585F8-CA68-49F8-ADA9-0E4765998D63}" srcOrd="17" destOrd="0" presId="urn:microsoft.com/office/officeart/2005/8/layout/process1"/>
    <dgm:cxn modelId="{1439C419-0A3A-4069-9ACD-154E7C78C016}" type="presParOf" srcId="{AED585F8-CA68-49F8-ADA9-0E4765998D63}" destId="{17E9A837-E5E7-4D1B-A7AF-515500789798}" srcOrd="0" destOrd="0" presId="urn:microsoft.com/office/officeart/2005/8/layout/process1"/>
    <dgm:cxn modelId="{B3EB0F89-B047-48B4-B8FC-70B4432EAEE2}" type="presParOf" srcId="{EDD85BAF-14E4-4750-AB8C-5CAA2659411C}" destId="{57F858B9-14A8-44CB-BCFA-82935DBB041A}" srcOrd="18" destOrd="0" presId="urn:microsoft.com/office/officeart/2005/8/layout/process1"/>
    <dgm:cxn modelId="{8338FED5-F052-40E1-8DFF-94CB69299549}" type="presParOf" srcId="{EDD85BAF-14E4-4750-AB8C-5CAA2659411C}" destId="{88C59751-64D0-4CCA-AAE1-C8CCC0B7AF87}" srcOrd="19" destOrd="0" presId="urn:microsoft.com/office/officeart/2005/8/layout/process1"/>
    <dgm:cxn modelId="{8CD7DB63-856D-4360-A15E-1BB503747671}" type="presParOf" srcId="{88C59751-64D0-4CCA-AAE1-C8CCC0B7AF87}" destId="{33AACFA3-FA26-4565-B372-6F758D4C7D38}" srcOrd="0" destOrd="0" presId="urn:microsoft.com/office/officeart/2005/8/layout/process1"/>
    <dgm:cxn modelId="{D84AE6AB-4DEC-4C66-AE79-49E7AE6C169F}" type="presParOf" srcId="{EDD85BAF-14E4-4750-AB8C-5CAA2659411C}" destId="{BE287DBF-DC99-442F-90AE-0B2DA01B1336}" srcOrd="20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760720" cy="698500"/>
        <a:chOff x="0" y="0"/>
        <a:chExt cx="5760720" cy="698500"/>
      </a:xfrm>
    </dsp:grpSpPr>
    <dsp:sp modelId="{6131C10A-4930-40C0-9AEA-B04941F4D522}">
      <dsp:nvSpPr>
        <dsp:cNvPr id="3" name="圆角矩形 2"/>
        <dsp:cNvSpPr/>
      </dsp:nvSpPr>
      <dsp:spPr bwMode="white">
        <a:xfrm>
          <a:off x="0" y="141923"/>
          <a:ext cx="384048" cy="414655"/>
        </a:xfrm>
        <a:prstGeom prst="roundRect">
          <a:avLst>
            <a:gd name="adj" fmla="val 10000"/>
          </a:avLst>
        </a:prstGeom>
      </dsp:spPr>
      <dsp:style>
        <a:lnRef idx="2">
          <a:schemeClr val="accent3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1000"/>
          </a:lvl1pPr>
          <a:lvl2pPr marL="57150" indent="-57150" algn="ctr">
            <a:defRPr sz="700"/>
          </a:lvl2pPr>
          <a:lvl3pPr marL="114300" indent="-57150" algn="ctr">
            <a:defRPr sz="700"/>
          </a:lvl3pPr>
          <a:lvl4pPr marL="171450" indent="-57150" algn="ctr">
            <a:defRPr sz="700"/>
          </a:lvl4pPr>
          <a:lvl5pPr marL="228600" indent="-57150" algn="ctr">
            <a:defRPr sz="700"/>
          </a:lvl5pPr>
          <a:lvl6pPr marL="285750" indent="-57150" algn="ctr">
            <a:defRPr sz="700"/>
          </a:lvl6pPr>
          <a:lvl7pPr marL="342900" indent="-57150" algn="ctr">
            <a:defRPr sz="700"/>
          </a:lvl7pPr>
          <a:lvl8pPr marL="400050" indent="-57150" algn="ctr">
            <a:defRPr sz="700"/>
          </a:lvl8pPr>
          <a:lvl9pPr marL="457200" indent="-57150" algn="ctr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aseline="0">
              <a:solidFill>
                <a:schemeClr val="dk1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登录</a:t>
          </a:r>
          <a:r>
            <a:rPr lang="zh-CN" altLang="en-US" sz="1000">
              <a:solidFill>
                <a:schemeClr val="dk1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系统</a:t>
          </a:r>
          <a:endParaRPr lang="en-US" sz="100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0" y="141923"/>
        <a:ext cx="384048" cy="414655"/>
      </dsp:txXfrm>
    </dsp:sp>
    <dsp:sp modelId="{9EDA6754-6740-4287-A550-D0D45361184B}">
      <dsp:nvSpPr>
        <dsp:cNvPr id="4" name="右箭头 3"/>
        <dsp:cNvSpPr/>
      </dsp:nvSpPr>
      <dsp:spPr bwMode="white">
        <a:xfrm>
          <a:off x="420149" y="301628"/>
          <a:ext cx="81418" cy="95244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3">
            <a:tint val="60000"/>
          </a:schemeClr>
        </a:lnRef>
        <a:fillRef idx="1">
          <a:schemeClr val="accent3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5500"/>
          </a:lvl1pPr>
          <a:lvl2pPr marL="285750" indent="-285750" algn="ctr">
            <a:defRPr sz="4200"/>
          </a:lvl2pPr>
          <a:lvl3pPr marL="571500" indent="-285750" algn="ctr">
            <a:defRPr sz="4200"/>
          </a:lvl3pPr>
          <a:lvl4pPr marL="857250" indent="-285750" algn="ctr">
            <a:defRPr sz="4200"/>
          </a:lvl4pPr>
          <a:lvl5pPr marL="1143000" indent="-285750" algn="ctr">
            <a:defRPr sz="4200"/>
          </a:lvl5pPr>
          <a:lvl6pPr marL="1428750" indent="-285750" algn="ctr">
            <a:defRPr sz="4200"/>
          </a:lvl6pPr>
          <a:lvl7pPr marL="1714500" indent="-285750" algn="ctr">
            <a:defRPr sz="4200"/>
          </a:lvl7pPr>
          <a:lvl8pPr marL="2000250" indent="-285750" algn="ctr">
            <a:defRPr sz="4200"/>
          </a:lvl8pPr>
          <a:lvl9pPr marL="2286000" indent="-285750" algn="ctr">
            <a:defRPr sz="42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en-US" sz="50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420149" y="301628"/>
        <a:ext cx="81418" cy="95244"/>
      </dsp:txXfrm>
    </dsp:sp>
    <dsp:sp modelId="{34C00CC1-214F-4709-9566-3E621C3B58BD}">
      <dsp:nvSpPr>
        <dsp:cNvPr id="5" name="圆角矩形 4"/>
        <dsp:cNvSpPr/>
      </dsp:nvSpPr>
      <dsp:spPr bwMode="white">
        <a:xfrm>
          <a:off x="537667" y="141923"/>
          <a:ext cx="384048" cy="414655"/>
        </a:xfrm>
        <a:prstGeom prst="roundRect">
          <a:avLst>
            <a:gd name="adj" fmla="val 10000"/>
          </a:avLst>
        </a:prstGeom>
      </dsp:spPr>
      <dsp:style>
        <a:lnRef idx="2">
          <a:schemeClr val="accent3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1000"/>
          </a:lvl1pPr>
          <a:lvl2pPr marL="57150" indent="-57150" algn="ctr">
            <a:defRPr sz="700"/>
          </a:lvl2pPr>
          <a:lvl3pPr marL="114300" indent="-57150" algn="ctr">
            <a:defRPr sz="700"/>
          </a:lvl3pPr>
          <a:lvl4pPr marL="171450" indent="-57150" algn="ctr">
            <a:defRPr sz="700"/>
          </a:lvl4pPr>
          <a:lvl5pPr marL="228600" indent="-57150" algn="ctr">
            <a:defRPr sz="700"/>
          </a:lvl5pPr>
          <a:lvl6pPr marL="285750" indent="-57150" algn="ctr">
            <a:defRPr sz="700"/>
          </a:lvl6pPr>
          <a:lvl7pPr marL="342900" indent="-57150" algn="ctr">
            <a:defRPr sz="700"/>
          </a:lvl7pPr>
          <a:lvl8pPr marL="400050" indent="-57150" algn="ctr">
            <a:defRPr sz="700"/>
          </a:lvl8pPr>
          <a:lvl9pPr marL="457200" indent="-57150" algn="ctr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aseline="0">
              <a:solidFill>
                <a:schemeClr val="dk1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确认信息</a:t>
          </a:r>
          <a:endParaRPr lang="en-US" sz="1000" baseline="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537667" y="141923"/>
        <a:ext cx="384048" cy="414655"/>
      </dsp:txXfrm>
    </dsp:sp>
    <dsp:sp modelId="{20A03FD2-4283-48D4-B5E4-B4B0136462FE}">
      <dsp:nvSpPr>
        <dsp:cNvPr id="6" name="右箭头 5"/>
        <dsp:cNvSpPr/>
      </dsp:nvSpPr>
      <dsp:spPr bwMode="white">
        <a:xfrm>
          <a:off x="957816" y="301628"/>
          <a:ext cx="81418" cy="95244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3">
            <a:tint val="60000"/>
          </a:schemeClr>
        </a:lnRef>
        <a:fillRef idx="1">
          <a:schemeClr val="accent3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5500"/>
          </a:lvl1pPr>
          <a:lvl2pPr marL="285750" indent="-285750" algn="ctr">
            <a:defRPr sz="4200"/>
          </a:lvl2pPr>
          <a:lvl3pPr marL="571500" indent="-285750" algn="ctr">
            <a:defRPr sz="4200"/>
          </a:lvl3pPr>
          <a:lvl4pPr marL="857250" indent="-285750" algn="ctr">
            <a:defRPr sz="4200"/>
          </a:lvl4pPr>
          <a:lvl5pPr marL="1143000" indent="-285750" algn="ctr">
            <a:defRPr sz="4200"/>
          </a:lvl5pPr>
          <a:lvl6pPr marL="1428750" indent="-285750" algn="ctr">
            <a:defRPr sz="4200"/>
          </a:lvl6pPr>
          <a:lvl7pPr marL="1714500" indent="-285750" algn="ctr">
            <a:defRPr sz="4200"/>
          </a:lvl7pPr>
          <a:lvl8pPr marL="2000250" indent="-285750" algn="ctr">
            <a:defRPr sz="4200"/>
          </a:lvl8pPr>
          <a:lvl9pPr marL="2286000" indent="-285750" algn="ctr">
            <a:defRPr sz="42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en-US" sz="50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957816" y="301628"/>
        <a:ext cx="81418" cy="95244"/>
      </dsp:txXfrm>
    </dsp:sp>
    <dsp:sp modelId="{AD6378F3-59CE-4361-880D-3812DD0992A6}">
      <dsp:nvSpPr>
        <dsp:cNvPr id="7" name="圆角矩形 6"/>
        <dsp:cNvSpPr/>
      </dsp:nvSpPr>
      <dsp:spPr bwMode="white">
        <a:xfrm>
          <a:off x="1075334" y="141923"/>
          <a:ext cx="384048" cy="414655"/>
        </a:xfrm>
        <a:prstGeom prst="roundRect">
          <a:avLst>
            <a:gd name="adj" fmla="val 10000"/>
          </a:avLst>
        </a:prstGeom>
      </dsp:spPr>
      <dsp:style>
        <a:lnRef idx="2">
          <a:schemeClr val="accent3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1000"/>
          </a:lvl1pPr>
          <a:lvl2pPr marL="57150" indent="-57150" algn="ctr">
            <a:defRPr sz="700"/>
          </a:lvl2pPr>
          <a:lvl3pPr marL="114300" indent="-57150" algn="ctr">
            <a:defRPr sz="700"/>
          </a:lvl3pPr>
          <a:lvl4pPr marL="171450" indent="-57150" algn="ctr">
            <a:defRPr sz="700"/>
          </a:lvl4pPr>
          <a:lvl5pPr marL="228600" indent="-57150" algn="ctr">
            <a:defRPr sz="700"/>
          </a:lvl5pPr>
          <a:lvl6pPr marL="285750" indent="-57150" algn="ctr">
            <a:defRPr sz="700"/>
          </a:lvl6pPr>
          <a:lvl7pPr marL="342900" indent="-57150" algn="ctr">
            <a:defRPr sz="700"/>
          </a:lvl7pPr>
          <a:lvl8pPr marL="400050" indent="-57150" algn="ctr">
            <a:defRPr sz="700"/>
          </a:lvl8pPr>
          <a:lvl9pPr marL="457200" indent="-57150" algn="ctr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aseline="0">
              <a:solidFill>
                <a:schemeClr val="dk1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实人认证</a:t>
          </a:r>
          <a:endParaRPr lang="en-US" sz="1000" baseline="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1075334" y="141923"/>
        <a:ext cx="384048" cy="414655"/>
      </dsp:txXfrm>
    </dsp:sp>
    <dsp:sp modelId="{9EF0623F-323D-436D-8307-ED8C9D727AD2}">
      <dsp:nvSpPr>
        <dsp:cNvPr id="8" name="右箭头 7"/>
        <dsp:cNvSpPr/>
      </dsp:nvSpPr>
      <dsp:spPr bwMode="white">
        <a:xfrm>
          <a:off x="1495483" y="301628"/>
          <a:ext cx="81418" cy="95244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3">
            <a:tint val="60000"/>
          </a:schemeClr>
        </a:lnRef>
        <a:fillRef idx="1">
          <a:schemeClr val="accent3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500"/>
          </a:lvl1pPr>
          <a:lvl2pPr marL="57150" indent="-57150" algn="ctr">
            <a:defRPr sz="400"/>
          </a:lvl2pPr>
          <a:lvl3pPr marL="114300" indent="-57150" algn="ctr">
            <a:defRPr sz="400"/>
          </a:lvl3pPr>
          <a:lvl4pPr marL="171450" indent="-57150" algn="ctr">
            <a:defRPr sz="400"/>
          </a:lvl4pPr>
          <a:lvl5pPr marL="228600" indent="-57150" algn="ctr">
            <a:defRPr sz="400"/>
          </a:lvl5pPr>
          <a:lvl6pPr marL="285750" indent="-57150" algn="ctr">
            <a:defRPr sz="400"/>
          </a:lvl6pPr>
          <a:lvl7pPr marL="342900" indent="-57150" algn="ctr">
            <a:defRPr sz="400"/>
          </a:lvl7pPr>
          <a:lvl8pPr marL="400050" indent="-57150" algn="ctr">
            <a:defRPr sz="400"/>
          </a:lvl8pPr>
          <a:lvl9pPr marL="457200" indent="-57150" algn="ctr">
            <a:defRPr sz="4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>
            <a:solidFill>
              <a:schemeClr val="dk1"/>
            </a:solidFill>
          </a:endParaRPr>
        </a:p>
      </dsp:txBody>
      <dsp:txXfrm>
        <a:off x="1495483" y="301628"/>
        <a:ext cx="81418" cy="95244"/>
      </dsp:txXfrm>
    </dsp:sp>
    <dsp:sp modelId="{A304E5BE-81EB-403B-8C68-4A9920F27249}">
      <dsp:nvSpPr>
        <dsp:cNvPr id="9" name="圆角矩形 8"/>
        <dsp:cNvSpPr/>
      </dsp:nvSpPr>
      <dsp:spPr bwMode="white">
        <a:xfrm>
          <a:off x="1613002" y="141923"/>
          <a:ext cx="384048" cy="414655"/>
        </a:xfrm>
        <a:prstGeom prst="roundRect">
          <a:avLst>
            <a:gd name="adj" fmla="val 10000"/>
          </a:avLst>
        </a:prstGeom>
      </dsp:spPr>
      <dsp:style>
        <a:lnRef idx="2">
          <a:schemeClr val="accent3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1000"/>
          </a:lvl1pPr>
          <a:lvl2pPr marL="57150" indent="-57150" algn="ctr">
            <a:defRPr sz="700"/>
          </a:lvl2pPr>
          <a:lvl3pPr marL="114300" indent="-57150" algn="ctr">
            <a:defRPr sz="700"/>
          </a:lvl3pPr>
          <a:lvl4pPr marL="171450" indent="-57150" algn="ctr">
            <a:defRPr sz="700"/>
          </a:lvl4pPr>
          <a:lvl5pPr marL="228600" indent="-57150" algn="ctr">
            <a:defRPr sz="700"/>
          </a:lvl5pPr>
          <a:lvl6pPr marL="285750" indent="-57150" algn="ctr">
            <a:defRPr sz="700"/>
          </a:lvl6pPr>
          <a:lvl7pPr marL="342900" indent="-57150" algn="ctr">
            <a:defRPr sz="700"/>
          </a:lvl7pPr>
          <a:lvl8pPr marL="400050" indent="-57150" algn="ctr">
            <a:defRPr sz="700"/>
          </a:lvl8pPr>
          <a:lvl9pPr marL="457200" indent="-57150" algn="ctr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aseline="0">
              <a:solidFill>
                <a:schemeClr val="dk1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进入面试</a:t>
          </a:r>
          <a:endParaRPr lang="en-US" sz="1000" baseline="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1613002" y="141923"/>
        <a:ext cx="384048" cy="414655"/>
      </dsp:txXfrm>
    </dsp:sp>
    <dsp:sp modelId="{739D0653-20FD-45A7-83A7-5108E141F87F}">
      <dsp:nvSpPr>
        <dsp:cNvPr id="10" name="右箭头 9"/>
        <dsp:cNvSpPr/>
      </dsp:nvSpPr>
      <dsp:spPr bwMode="white">
        <a:xfrm>
          <a:off x="2033150" y="301628"/>
          <a:ext cx="81418" cy="95244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3">
            <a:tint val="60000"/>
          </a:schemeClr>
        </a:lnRef>
        <a:fillRef idx="1">
          <a:schemeClr val="accent3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5500"/>
          </a:lvl1pPr>
          <a:lvl2pPr marL="285750" indent="-285750" algn="ctr">
            <a:defRPr sz="4200"/>
          </a:lvl2pPr>
          <a:lvl3pPr marL="571500" indent="-285750" algn="ctr">
            <a:defRPr sz="4200"/>
          </a:lvl3pPr>
          <a:lvl4pPr marL="857250" indent="-285750" algn="ctr">
            <a:defRPr sz="4200"/>
          </a:lvl4pPr>
          <a:lvl5pPr marL="1143000" indent="-285750" algn="ctr">
            <a:defRPr sz="4200"/>
          </a:lvl5pPr>
          <a:lvl6pPr marL="1428750" indent="-285750" algn="ctr">
            <a:defRPr sz="4200"/>
          </a:lvl6pPr>
          <a:lvl7pPr marL="1714500" indent="-285750" algn="ctr">
            <a:defRPr sz="4200"/>
          </a:lvl7pPr>
          <a:lvl8pPr marL="2000250" indent="-285750" algn="ctr">
            <a:defRPr sz="4200"/>
          </a:lvl8pPr>
          <a:lvl9pPr marL="2286000" indent="-285750" algn="ctr">
            <a:defRPr sz="42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en-US" sz="50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2033150" y="301628"/>
        <a:ext cx="81418" cy="95244"/>
      </dsp:txXfrm>
    </dsp:sp>
    <dsp:sp modelId="{9CF2950C-883F-4A51-99A4-F08232A5AA0F}">
      <dsp:nvSpPr>
        <dsp:cNvPr id="11" name="圆角矩形 10"/>
        <dsp:cNvSpPr/>
      </dsp:nvSpPr>
      <dsp:spPr bwMode="white">
        <a:xfrm>
          <a:off x="2150669" y="141923"/>
          <a:ext cx="384048" cy="414655"/>
        </a:xfrm>
        <a:prstGeom prst="roundRect">
          <a:avLst>
            <a:gd name="adj" fmla="val 10000"/>
          </a:avLst>
        </a:prstGeom>
      </dsp:spPr>
      <dsp:style>
        <a:lnRef idx="2">
          <a:schemeClr val="accent3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1000"/>
          </a:lvl1pPr>
          <a:lvl2pPr marL="57150" indent="-57150" algn="ctr">
            <a:defRPr sz="700"/>
          </a:lvl2pPr>
          <a:lvl3pPr marL="114300" indent="-57150" algn="ctr">
            <a:defRPr sz="700"/>
          </a:lvl3pPr>
          <a:lvl4pPr marL="171450" indent="-57150" algn="ctr">
            <a:defRPr sz="700"/>
          </a:lvl4pPr>
          <a:lvl5pPr marL="228600" indent="-57150" algn="ctr">
            <a:defRPr sz="700"/>
          </a:lvl5pPr>
          <a:lvl6pPr marL="285750" indent="-57150" algn="ctr">
            <a:defRPr sz="700"/>
          </a:lvl6pPr>
          <a:lvl7pPr marL="342900" indent="-57150" algn="ctr">
            <a:defRPr sz="700"/>
          </a:lvl7pPr>
          <a:lvl8pPr marL="400050" indent="-57150" algn="ctr">
            <a:defRPr sz="700"/>
          </a:lvl8pPr>
          <a:lvl9pPr marL="457200" indent="-57150" algn="ctr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aseline="0">
              <a:solidFill>
                <a:schemeClr val="dk1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阅读须知</a:t>
          </a:r>
          <a:endParaRPr lang="en-US" sz="1000" baseline="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2150669" y="141923"/>
        <a:ext cx="384048" cy="414655"/>
      </dsp:txXfrm>
    </dsp:sp>
    <dsp:sp modelId="{4311C56D-44EA-49E7-807C-4D39FBA63E2C}">
      <dsp:nvSpPr>
        <dsp:cNvPr id="12" name="右箭头 11"/>
        <dsp:cNvSpPr/>
      </dsp:nvSpPr>
      <dsp:spPr bwMode="white">
        <a:xfrm>
          <a:off x="2570817" y="301628"/>
          <a:ext cx="81418" cy="95244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3">
            <a:tint val="60000"/>
          </a:schemeClr>
        </a:lnRef>
        <a:fillRef idx="1">
          <a:schemeClr val="accent3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5500"/>
          </a:lvl1pPr>
          <a:lvl2pPr marL="285750" indent="-285750" algn="ctr">
            <a:defRPr sz="4200"/>
          </a:lvl2pPr>
          <a:lvl3pPr marL="571500" indent="-285750" algn="ctr">
            <a:defRPr sz="4200"/>
          </a:lvl3pPr>
          <a:lvl4pPr marL="857250" indent="-285750" algn="ctr">
            <a:defRPr sz="4200"/>
          </a:lvl4pPr>
          <a:lvl5pPr marL="1143000" indent="-285750" algn="ctr">
            <a:defRPr sz="4200"/>
          </a:lvl5pPr>
          <a:lvl6pPr marL="1428750" indent="-285750" algn="ctr">
            <a:defRPr sz="4200"/>
          </a:lvl6pPr>
          <a:lvl7pPr marL="1714500" indent="-285750" algn="ctr">
            <a:defRPr sz="4200"/>
          </a:lvl7pPr>
          <a:lvl8pPr marL="2000250" indent="-285750" algn="ctr">
            <a:defRPr sz="4200"/>
          </a:lvl8pPr>
          <a:lvl9pPr marL="2286000" indent="-285750" algn="ctr">
            <a:defRPr sz="42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en-US" sz="50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2570817" y="301628"/>
        <a:ext cx="81418" cy="95244"/>
      </dsp:txXfrm>
    </dsp:sp>
    <dsp:sp modelId="{679B8A5E-D9E2-4065-8CBD-74F595F08F9D}">
      <dsp:nvSpPr>
        <dsp:cNvPr id="13" name="圆角矩形 12"/>
        <dsp:cNvSpPr/>
      </dsp:nvSpPr>
      <dsp:spPr bwMode="white">
        <a:xfrm>
          <a:off x="2688336" y="141923"/>
          <a:ext cx="384048" cy="414655"/>
        </a:xfrm>
        <a:prstGeom prst="roundRect">
          <a:avLst>
            <a:gd name="adj" fmla="val 10000"/>
          </a:avLst>
        </a:prstGeom>
      </dsp:spPr>
      <dsp:style>
        <a:lnRef idx="2">
          <a:schemeClr val="accent3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1000"/>
          </a:lvl1pPr>
          <a:lvl2pPr marL="57150" indent="-57150" algn="ctr">
            <a:defRPr sz="700"/>
          </a:lvl2pPr>
          <a:lvl3pPr marL="114300" indent="-57150" algn="ctr">
            <a:defRPr sz="700"/>
          </a:lvl3pPr>
          <a:lvl4pPr marL="171450" indent="-57150" algn="ctr">
            <a:defRPr sz="700"/>
          </a:lvl4pPr>
          <a:lvl5pPr marL="228600" indent="-57150" algn="ctr">
            <a:defRPr sz="700"/>
          </a:lvl5pPr>
          <a:lvl6pPr marL="285750" indent="-57150" algn="ctr">
            <a:defRPr sz="700"/>
          </a:lvl6pPr>
          <a:lvl7pPr marL="342900" indent="-57150" algn="ctr">
            <a:defRPr sz="700"/>
          </a:lvl7pPr>
          <a:lvl8pPr marL="400050" indent="-57150" algn="ctr">
            <a:defRPr sz="700"/>
          </a:lvl8pPr>
          <a:lvl9pPr marL="457200" indent="-57150" algn="ctr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>
              <a:solidFill>
                <a:schemeClr val="dk1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确认事项</a:t>
          </a:r>
          <a:endParaRPr>
            <a:solidFill>
              <a:schemeClr val="dk1"/>
            </a:solidFill>
          </a:endParaRPr>
        </a:p>
      </dsp:txBody>
      <dsp:txXfrm>
        <a:off x="2688336" y="141923"/>
        <a:ext cx="384048" cy="414655"/>
      </dsp:txXfrm>
    </dsp:sp>
    <dsp:sp modelId="{9103F61E-0D50-4EA2-9B7A-669CDC10A54E}">
      <dsp:nvSpPr>
        <dsp:cNvPr id="14" name="右箭头 13"/>
        <dsp:cNvSpPr/>
      </dsp:nvSpPr>
      <dsp:spPr bwMode="white">
        <a:xfrm>
          <a:off x="3108485" y="301628"/>
          <a:ext cx="81418" cy="95244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3">
            <a:tint val="60000"/>
          </a:schemeClr>
        </a:lnRef>
        <a:fillRef idx="1">
          <a:schemeClr val="accent3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500"/>
          </a:lvl1pPr>
          <a:lvl2pPr marL="57150" indent="-57150" algn="ctr">
            <a:defRPr sz="400"/>
          </a:lvl2pPr>
          <a:lvl3pPr marL="114300" indent="-57150" algn="ctr">
            <a:defRPr sz="400"/>
          </a:lvl3pPr>
          <a:lvl4pPr marL="171450" indent="-57150" algn="ctr">
            <a:defRPr sz="400"/>
          </a:lvl4pPr>
          <a:lvl5pPr marL="228600" indent="-57150" algn="ctr">
            <a:defRPr sz="400"/>
          </a:lvl5pPr>
          <a:lvl6pPr marL="285750" indent="-57150" algn="ctr">
            <a:defRPr sz="400"/>
          </a:lvl6pPr>
          <a:lvl7pPr marL="342900" indent="-57150" algn="ctr">
            <a:defRPr sz="400"/>
          </a:lvl7pPr>
          <a:lvl8pPr marL="400050" indent="-57150" algn="ctr">
            <a:defRPr sz="400"/>
          </a:lvl8pPr>
          <a:lvl9pPr marL="457200" indent="-57150" algn="ctr">
            <a:defRPr sz="4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>
            <a:solidFill>
              <a:schemeClr val="dk1"/>
            </a:solidFill>
          </a:endParaRPr>
        </a:p>
      </dsp:txBody>
      <dsp:txXfrm>
        <a:off x="3108485" y="301628"/>
        <a:ext cx="81418" cy="95244"/>
      </dsp:txXfrm>
    </dsp:sp>
    <dsp:sp modelId="{256F4DCD-1889-4881-AF14-04170938AD0E}">
      <dsp:nvSpPr>
        <dsp:cNvPr id="15" name="圆角矩形 14"/>
        <dsp:cNvSpPr/>
      </dsp:nvSpPr>
      <dsp:spPr bwMode="white">
        <a:xfrm>
          <a:off x="3226003" y="141923"/>
          <a:ext cx="384048" cy="414655"/>
        </a:xfrm>
        <a:prstGeom prst="roundRect">
          <a:avLst>
            <a:gd name="adj" fmla="val 10000"/>
          </a:avLst>
        </a:prstGeom>
      </dsp:spPr>
      <dsp:style>
        <a:lnRef idx="2">
          <a:schemeClr val="accent3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1000"/>
          </a:lvl1pPr>
          <a:lvl2pPr marL="57150" indent="-57150" algn="ctr">
            <a:defRPr sz="700"/>
          </a:lvl2pPr>
          <a:lvl3pPr marL="114300" indent="-57150" algn="ctr">
            <a:defRPr sz="700"/>
          </a:lvl3pPr>
          <a:lvl4pPr marL="171450" indent="-57150" algn="ctr">
            <a:defRPr sz="700"/>
          </a:lvl4pPr>
          <a:lvl5pPr marL="228600" indent="-57150" algn="ctr">
            <a:defRPr sz="700"/>
          </a:lvl5pPr>
          <a:lvl6pPr marL="285750" indent="-57150" algn="ctr">
            <a:defRPr sz="700"/>
          </a:lvl6pPr>
          <a:lvl7pPr marL="342900" indent="-57150" algn="ctr">
            <a:defRPr sz="700"/>
          </a:lvl7pPr>
          <a:lvl8pPr marL="400050" indent="-57150" algn="ctr">
            <a:defRPr sz="700"/>
          </a:lvl8pPr>
          <a:lvl9pPr marL="457200" indent="-57150" algn="ctr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aseline="0">
              <a:solidFill>
                <a:schemeClr val="dk1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阅读承诺</a:t>
          </a:r>
          <a:endParaRPr lang="en-US" sz="1000" baseline="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3226003" y="141923"/>
        <a:ext cx="384048" cy="414655"/>
      </dsp:txXfrm>
    </dsp:sp>
    <dsp:sp modelId="{E611ED03-C0EB-4B93-B971-64F138F4CBD1}">
      <dsp:nvSpPr>
        <dsp:cNvPr id="16" name="右箭头 15"/>
        <dsp:cNvSpPr/>
      </dsp:nvSpPr>
      <dsp:spPr bwMode="white">
        <a:xfrm>
          <a:off x="3646152" y="301628"/>
          <a:ext cx="81418" cy="95244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3">
            <a:tint val="60000"/>
          </a:schemeClr>
        </a:lnRef>
        <a:fillRef idx="1">
          <a:schemeClr val="accent3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5500"/>
          </a:lvl1pPr>
          <a:lvl2pPr marL="285750" indent="-285750" algn="ctr">
            <a:defRPr sz="4200"/>
          </a:lvl2pPr>
          <a:lvl3pPr marL="571500" indent="-285750" algn="ctr">
            <a:defRPr sz="4200"/>
          </a:lvl3pPr>
          <a:lvl4pPr marL="857250" indent="-285750" algn="ctr">
            <a:defRPr sz="4200"/>
          </a:lvl4pPr>
          <a:lvl5pPr marL="1143000" indent="-285750" algn="ctr">
            <a:defRPr sz="4200"/>
          </a:lvl5pPr>
          <a:lvl6pPr marL="1428750" indent="-285750" algn="ctr">
            <a:defRPr sz="4200"/>
          </a:lvl6pPr>
          <a:lvl7pPr marL="1714500" indent="-285750" algn="ctr">
            <a:defRPr sz="4200"/>
          </a:lvl7pPr>
          <a:lvl8pPr marL="2000250" indent="-285750" algn="ctr">
            <a:defRPr sz="4200"/>
          </a:lvl8pPr>
          <a:lvl9pPr marL="2286000" indent="-285750" algn="ctr">
            <a:defRPr sz="42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en-US" sz="50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3646152" y="301628"/>
        <a:ext cx="81418" cy="95244"/>
      </dsp:txXfrm>
    </dsp:sp>
    <dsp:sp modelId="{71581A57-2A92-4A6F-B524-BABA1AA2EBB0}">
      <dsp:nvSpPr>
        <dsp:cNvPr id="17" name="圆角矩形 16"/>
        <dsp:cNvSpPr/>
      </dsp:nvSpPr>
      <dsp:spPr bwMode="white">
        <a:xfrm>
          <a:off x="3763670" y="141923"/>
          <a:ext cx="384048" cy="414655"/>
        </a:xfrm>
        <a:prstGeom prst="roundRect">
          <a:avLst>
            <a:gd name="adj" fmla="val 10000"/>
          </a:avLst>
        </a:prstGeom>
      </dsp:spPr>
      <dsp:style>
        <a:lnRef idx="2">
          <a:schemeClr val="accent3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1000"/>
          </a:lvl1pPr>
          <a:lvl2pPr marL="57150" indent="-57150" algn="ctr">
            <a:defRPr sz="700"/>
          </a:lvl2pPr>
          <a:lvl3pPr marL="114300" indent="-57150" algn="ctr">
            <a:defRPr sz="700"/>
          </a:lvl3pPr>
          <a:lvl4pPr marL="171450" indent="-57150" algn="ctr">
            <a:defRPr sz="700"/>
          </a:lvl4pPr>
          <a:lvl5pPr marL="228600" indent="-57150" algn="ctr">
            <a:defRPr sz="700"/>
          </a:lvl5pPr>
          <a:lvl6pPr marL="285750" indent="-57150" algn="ctr">
            <a:defRPr sz="700"/>
          </a:lvl6pPr>
          <a:lvl7pPr marL="342900" indent="-57150" algn="ctr">
            <a:defRPr sz="700"/>
          </a:lvl7pPr>
          <a:lvl8pPr marL="400050" indent="-57150" algn="ctr">
            <a:defRPr sz="700"/>
          </a:lvl8pPr>
          <a:lvl9pPr marL="457200" indent="-57150" algn="ctr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aseline="0">
              <a:solidFill>
                <a:schemeClr val="dk1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人脸核验</a:t>
          </a:r>
          <a:endParaRPr lang="en-US" sz="1000" baseline="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3763670" y="141923"/>
        <a:ext cx="384048" cy="414655"/>
      </dsp:txXfrm>
    </dsp:sp>
    <dsp:sp modelId="{6ADA0175-9C5C-4204-968D-14AC9F43E870}">
      <dsp:nvSpPr>
        <dsp:cNvPr id="18" name="右箭头 17"/>
        <dsp:cNvSpPr/>
      </dsp:nvSpPr>
      <dsp:spPr bwMode="white">
        <a:xfrm>
          <a:off x="4183819" y="301628"/>
          <a:ext cx="81418" cy="95244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3">
            <a:tint val="60000"/>
          </a:schemeClr>
        </a:lnRef>
        <a:fillRef idx="1">
          <a:schemeClr val="accent3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5500"/>
          </a:lvl1pPr>
          <a:lvl2pPr marL="285750" indent="-285750" algn="ctr">
            <a:defRPr sz="4200"/>
          </a:lvl2pPr>
          <a:lvl3pPr marL="571500" indent="-285750" algn="ctr">
            <a:defRPr sz="4200"/>
          </a:lvl3pPr>
          <a:lvl4pPr marL="857250" indent="-285750" algn="ctr">
            <a:defRPr sz="4200"/>
          </a:lvl4pPr>
          <a:lvl5pPr marL="1143000" indent="-285750" algn="ctr">
            <a:defRPr sz="4200"/>
          </a:lvl5pPr>
          <a:lvl6pPr marL="1428750" indent="-285750" algn="ctr">
            <a:defRPr sz="4200"/>
          </a:lvl6pPr>
          <a:lvl7pPr marL="1714500" indent="-285750" algn="ctr">
            <a:defRPr sz="4200"/>
          </a:lvl7pPr>
          <a:lvl8pPr marL="2000250" indent="-285750" algn="ctr">
            <a:defRPr sz="4200"/>
          </a:lvl8pPr>
          <a:lvl9pPr marL="2286000" indent="-285750" algn="ctr">
            <a:defRPr sz="42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en-US" sz="50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4183819" y="301628"/>
        <a:ext cx="81418" cy="95244"/>
      </dsp:txXfrm>
    </dsp:sp>
    <dsp:sp modelId="{2BC11641-21F3-4475-A939-DF92F6F42307}">
      <dsp:nvSpPr>
        <dsp:cNvPr id="19" name="圆角矩形 18"/>
        <dsp:cNvSpPr/>
      </dsp:nvSpPr>
      <dsp:spPr bwMode="white">
        <a:xfrm>
          <a:off x="4301338" y="141923"/>
          <a:ext cx="384048" cy="414655"/>
        </a:xfrm>
        <a:prstGeom prst="roundRect">
          <a:avLst>
            <a:gd name="adj" fmla="val 10000"/>
          </a:avLst>
        </a:prstGeom>
      </dsp:spPr>
      <dsp:style>
        <a:lnRef idx="2">
          <a:schemeClr val="accent3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1000"/>
          </a:lvl1pPr>
          <a:lvl2pPr marL="57150" indent="-57150" algn="ctr">
            <a:defRPr sz="700"/>
          </a:lvl2pPr>
          <a:lvl3pPr marL="114300" indent="-57150" algn="ctr">
            <a:defRPr sz="700"/>
          </a:lvl3pPr>
          <a:lvl4pPr marL="171450" indent="-57150" algn="ctr">
            <a:defRPr sz="700"/>
          </a:lvl4pPr>
          <a:lvl5pPr marL="228600" indent="-57150" algn="ctr">
            <a:defRPr sz="700"/>
          </a:lvl5pPr>
          <a:lvl6pPr marL="285750" indent="-57150" algn="ctr">
            <a:defRPr sz="700"/>
          </a:lvl6pPr>
          <a:lvl7pPr marL="342900" indent="-57150" algn="ctr">
            <a:defRPr sz="700"/>
          </a:lvl7pPr>
          <a:lvl8pPr marL="400050" indent="-57150" algn="ctr">
            <a:defRPr sz="700"/>
          </a:lvl8pPr>
          <a:lvl9pPr marL="457200" indent="-57150" algn="ctr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aseline="0">
              <a:solidFill>
                <a:schemeClr val="dk1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等候面试</a:t>
          </a:r>
          <a:endParaRPr lang="en-US" sz="1000" baseline="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4301338" y="141923"/>
        <a:ext cx="384048" cy="414655"/>
      </dsp:txXfrm>
    </dsp:sp>
    <dsp:sp modelId="{AED585F8-CA68-49F8-ADA9-0E4765998D63}">
      <dsp:nvSpPr>
        <dsp:cNvPr id="20" name="右箭头 19"/>
        <dsp:cNvSpPr/>
      </dsp:nvSpPr>
      <dsp:spPr bwMode="white">
        <a:xfrm>
          <a:off x="4721486" y="301628"/>
          <a:ext cx="81418" cy="95244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3">
            <a:tint val="60000"/>
          </a:schemeClr>
        </a:lnRef>
        <a:fillRef idx="1">
          <a:schemeClr val="accent3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5500"/>
          </a:lvl1pPr>
          <a:lvl2pPr marL="285750" indent="-285750" algn="ctr">
            <a:defRPr sz="4200"/>
          </a:lvl2pPr>
          <a:lvl3pPr marL="571500" indent="-285750" algn="ctr">
            <a:defRPr sz="4200"/>
          </a:lvl3pPr>
          <a:lvl4pPr marL="857250" indent="-285750" algn="ctr">
            <a:defRPr sz="4200"/>
          </a:lvl4pPr>
          <a:lvl5pPr marL="1143000" indent="-285750" algn="ctr">
            <a:defRPr sz="4200"/>
          </a:lvl5pPr>
          <a:lvl6pPr marL="1428750" indent="-285750" algn="ctr">
            <a:defRPr sz="4200"/>
          </a:lvl6pPr>
          <a:lvl7pPr marL="1714500" indent="-285750" algn="ctr">
            <a:defRPr sz="4200"/>
          </a:lvl7pPr>
          <a:lvl8pPr marL="2000250" indent="-285750" algn="ctr">
            <a:defRPr sz="4200"/>
          </a:lvl8pPr>
          <a:lvl9pPr marL="2286000" indent="-285750" algn="ctr">
            <a:defRPr sz="42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en-US" sz="50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4721486" y="301628"/>
        <a:ext cx="81418" cy="95244"/>
      </dsp:txXfrm>
    </dsp:sp>
    <dsp:sp modelId="{57F858B9-14A8-44CB-BCFA-82935DBB041A}">
      <dsp:nvSpPr>
        <dsp:cNvPr id="21" name="圆角矩形 20"/>
        <dsp:cNvSpPr/>
      </dsp:nvSpPr>
      <dsp:spPr bwMode="white">
        <a:xfrm>
          <a:off x="4839005" y="141923"/>
          <a:ext cx="384048" cy="414655"/>
        </a:xfrm>
        <a:prstGeom prst="roundRect">
          <a:avLst>
            <a:gd name="adj" fmla="val 10000"/>
          </a:avLst>
        </a:prstGeom>
      </dsp:spPr>
      <dsp:style>
        <a:lnRef idx="2">
          <a:schemeClr val="accent3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1000"/>
          </a:lvl1pPr>
          <a:lvl2pPr marL="57150" indent="-57150" algn="ctr">
            <a:defRPr sz="700"/>
          </a:lvl2pPr>
          <a:lvl3pPr marL="114300" indent="-57150" algn="ctr">
            <a:defRPr sz="700"/>
          </a:lvl3pPr>
          <a:lvl4pPr marL="171450" indent="-57150" algn="ctr">
            <a:defRPr sz="700"/>
          </a:lvl4pPr>
          <a:lvl5pPr marL="228600" indent="-57150" algn="ctr">
            <a:defRPr sz="700"/>
          </a:lvl5pPr>
          <a:lvl6pPr marL="285750" indent="-57150" algn="ctr">
            <a:defRPr sz="700"/>
          </a:lvl6pPr>
          <a:lvl7pPr marL="342900" indent="-57150" algn="ctr">
            <a:defRPr sz="700"/>
          </a:lvl7pPr>
          <a:lvl8pPr marL="400050" indent="-57150" algn="ctr">
            <a:defRPr sz="700"/>
          </a:lvl8pPr>
          <a:lvl9pPr marL="457200" indent="-57150" algn="ctr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aseline="0">
              <a:solidFill>
                <a:schemeClr val="dk1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进行面试</a:t>
          </a:r>
          <a:endParaRPr lang="en-US" sz="1000" baseline="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4839005" y="141923"/>
        <a:ext cx="384048" cy="414655"/>
      </dsp:txXfrm>
    </dsp:sp>
    <dsp:sp modelId="{88C59751-64D0-4CCA-AAE1-C8CCC0B7AF87}">
      <dsp:nvSpPr>
        <dsp:cNvPr id="22" name="右箭头 21"/>
        <dsp:cNvSpPr/>
      </dsp:nvSpPr>
      <dsp:spPr bwMode="white">
        <a:xfrm>
          <a:off x="5259153" y="301628"/>
          <a:ext cx="81418" cy="95244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accent3">
            <a:tint val="60000"/>
          </a:schemeClr>
        </a:lnRef>
        <a:fillRef idx="1">
          <a:schemeClr val="accent3">
            <a:tint val="60000"/>
          </a:schemeClr>
        </a:fillRef>
        <a:effectRef idx="0">
          <a:scrgbClr r="0" g="0" b="0"/>
        </a:effectRef>
        <a:fontRef idx="minor">
          <a:schemeClr val="lt1"/>
        </a:fontRef>
      </dsp:style>
      <dsp:txBody>
        <a:bodyPr lIns="0" tIns="0" rIns="0" bIns="0" anchor="ctr"/>
        <a:lstStyle>
          <a:lvl1pPr algn="ctr">
            <a:defRPr sz="5500"/>
          </a:lvl1pPr>
          <a:lvl2pPr marL="285750" indent="-285750" algn="ctr">
            <a:defRPr sz="4200"/>
          </a:lvl2pPr>
          <a:lvl3pPr marL="571500" indent="-285750" algn="ctr">
            <a:defRPr sz="4200"/>
          </a:lvl3pPr>
          <a:lvl4pPr marL="857250" indent="-285750" algn="ctr">
            <a:defRPr sz="4200"/>
          </a:lvl4pPr>
          <a:lvl5pPr marL="1143000" indent="-285750" algn="ctr">
            <a:defRPr sz="4200"/>
          </a:lvl5pPr>
          <a:lvl6pPr marL="1428750" indent="-285750" algn="ctr">
            <a:defRPr sz="4200"/>
          </a:lvl6pPr>
          <a:lvl7pPr marL="1714500" indent="-285750" algn="ctr">
            <a:defRPr sz="4200"/>
          </a:lvl7pPr>
          <a:lvl8pPr marL="2000250" indent="-285750" algn="ctr">
            <a:defRPr sz="4200"/>
          </a:lvl8pPr>
          <a:lvl9pPr marL="2286000" indent="-285750" algn="ctr">
            <a:defRPr sz="42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en-US" sz="50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5259153" y="301628"/>
        <a:ext cx="81418" cy="95244"/>
      </dsp:txXfrm>
    </dsp:sp>
    <dsp:sp modelId="{BE287DBF-DC99-442F-90AE-0B2DA01B1336}">
      <dsp:nvSpPr>
        <dsp:cNvPr id="23" name="圆角矩形 22"/>
        <dsp:cNvSpPr/>
      </dsp:nvSpPr>
      <dsp:spPr bwMode="white">
        <a:xfrm>
          <a:off x="5376672" y="141923"/>
          <a:ext cx="384048" cy="414655"/>
        </a:xfrm>
        <a:prstGeom prst="roundRect">
          <a:avLst>
            <a:gd name="adj" fmla="val 10000"/>
          </a:avLst>
        </a:prstGeom>
      </dsp:spPr>
      <dsp:style>
        <a:lnRef idx="2">
          <a:schemeClr val="accent3">
            <a:shade val="80000"/>
          </a:schemeClr>
        </a:lnRef>
        <a:fillRef idx="1">
          <a:schemeClr val="lt1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1000"/>
          </a:lvl1pPr>
          <a:lvl2pPr marL="57150" indent="-57150" algn="ctr">
            <a:defRPr sz="700"/>
          </a:lvl2pPr>
          <a:lvl3pPr marL="114300" indent="-57150" algn="ctr">
            <a:defRPr sz="700"/>
          </a:lvl3pPr>
          <a:lvl4pPr marL="171450" indent="-57150" algn="ctr">
            <a:defRPr sz="700"/>
          </a:lvl4pPr>
          <a:lvl5pPr marL="228600" indent="-57150" algn="ctr">
            <a:defRPr sz="700"/>
          </a:lvl5pPr>
          <a:lvl6pPr marL="285750" indent="-57150" algn="ctr">
            <a:defRPr sz="700"/>
          </a:lvl6pPr>
          <a:lvl7pPr marL="342900" indent="-57150" algn="ctr">
            <a:defRPr sz="700"/>
          </a:lvl7pPr>
          <a:lvl8pPr marL="400050" indent="-57150" algn="ctr">
            <a:defRPr sz="700"/>
          </a:lvl8pPr>
          <a:lvl9pPr marL="457200" indent="-57150" algn="ctr">
            <a:defRPr sz="7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aseline="0">
              <a:solidFill>
                <a:schemeClr val="dk1"/>
              </a:solidFill>
              <a:latin typeface="微软雅黑" panose="020B0503020204020204" pitchFamily="2" charset="-122"/>
              <a:ea typeface="微软雅黑" panose="020B0503020204020204" pitchFamily="2" charset="-122"/>
            </a:rPr>
            <a:t>面试结束</a:t>
          </a:r>
          <a:endParaRPr lang="en-US" sz="1000" baseline="0">
            <a:solidFill>
              <a:schemeClr val="dk1"/>
            </a:solidFill>
            <a:latin typeface="微软雅黑" panose="020B0503020204020204" pitchFamily="2" charset="-122"/>
            <a:ea typeface="微软雅黑" panose="020B0503020204020204" pitchFamily="2" charset="-122"/>
          </a:endParaRPr>
        </a:p>
      </dsp:txBody>
      <dsp:txXfrm>
        <a:off x="5376672" y="141923"/>
        <a:ext cx="384048" cy="4146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129934-A8D9-47DB-9F7E-F5620671F0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ATA Inc.</Company>
  <Pages>30</Pages>
  <Words>6938</Words>
  <Characters>7487</Characters>
  <Lines>56</Lines>
  <Paragraphs>15</Paragraphs>
  <TotalTime>23</TotalTime>
  <ScaleCrop>false</ScaleCrop>
  <LinksUpToDate>false</LinksUpToDate>
  <CharactersWithSpaces>7648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2022-06-10T14:10:00Z</dcterms:created>
  <dc:creator>Allen</dc:creator>
  <cp:lastModifiedBy>小时候就不爱学习</cp:lastModifiedBy>
  <cp:lastPrinted>2020-09-21T18:07:00Z</cp:lastPrinted>
  <dcterms:modified xsi:type="dcterms:W3CDTF">2022-10-31T09:48:27Z</dcterms:modified>
  <dc:title>远鉴·候选人使用说明(人机)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5B861248E5BB4CDA8B61B3C47C5EF523</vt:lpwstr>
  </property>
</Properties>
</file>