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distribute"/>
        <w:textAlignment w:val="auto"/>
        <w:rPr>
          <w:rFonts w:hint="default" w:ascii="Times New Roman" w:hAnsi="Times New Roman" w:eastAsia="方正小标宋简体"/>
          <w:color w:val="FF0000"/>
          <w:spacing w:val="-62"/>
          <w:w w:val="65"/>
          <w:sz w:val="144"/>
          <w:szCs w:val="144"/>
          <w:highlight w:val="none"/>
          <w:lang w:val="en-US" w:eastAsia="zh-CN"/>
        </w:rPr>
      </w:pPr>
      <w:r>
        <w:rPr>
          <w:rFonts w:hint="eastAsia" w:ascii="Times New Roman" w:hAnsi="Times New Roman" w:eastAsia="方正小标宋简体" w:cs="Times New Roman"/>
          <w:color w:val="FF0000"/>
          <w:w w:val="34"/>
          <w:kern w:val="0"/>
          <w:sz w:val="144"/>
          <w:szCs w:val="144"/>
          <w:highlight w:val="none"/>
          <w:lang w:val="en-US" w:eastAsia="zh-CN"/>
        </w:rPr>
        <w:t>济宁市兖州</w:t>
      </w:r>
      <w:r>
        <w:rPr>
          <w:rFonts w:hint="eastAsia" w:ascii="Times New Roman" w:hAnsi="Times New Roman" w:eastAsia="方正小标宋简体" w:cs="Times New Roman"/>
          <w:color w:val="FF0000"/>
          <w:w w:val="34"/>
          <w:kern w:val="0"/>
          <w:sz w:val="144"/>
          <w:szCs w:val="144"/>
          <w:highlight w:val="none"/>
          <w:lang w:eastAsia="zh-CN"/>
        </w:rPr>
        <w:t>区地方金融监督管理局文件</w:t>
      </w:r>
    </w:p>
    <w:p>
      <w:pPr>
        <w:spacing w:before="156" w:beforeLines="50" w:line="480" w:lineRule="exact"/>
        <w:jc w:val="both"/>
        <w:rPr>
          <w:rFonts w:eastAsia="方正小标宋简体"/>
          <w:color w:val="auto"/>
          <w:spacing w:val="-20"/>
          <w:sz w:val="28"/>
          <w:szCs w:val="28"/>
        </w:rPr>
      </w:pPr>
    </w:p>
    <w:p>
      <w:pPr>
        <w:adjustRightInd w:val="0"/>
        <w:snapToGrid w:val="0"/>
        <w:spacing w:line="560" w:lineRule="exact"/>
        <w:rPr>
          <w:rFonts w:hint="eastAsia" w:ascii="仿宋_GB2312" w:hAnsi="仿宋_GB2312" w:eastAsia="仿宋_GB2312" w:cs="仿宋_GB2312"/>
          <w:bCs/>
          <w:color w:val="FF0000"/>
          <w:sz w:val="32"/>
          <w:szCs w:val="32"/>
        </w:rPr>
      </w:pPr>
    </w:p>
    <w:p>
      <w:pPr>
        <w:spacing w:before="156" w:line="560" w:lineRule="exact"/>
        <w:jc w:val="center"/>
        <w:rPr>
          <w:rFonts w:hint="eastAsia" w:ascii="仿宋_GB2312" w:hAnsi="仿宋_GB2312" w:eastAsia="仿宋_GB2312" w:cs="仿宋_GB2312"/>
          <w:bCs/>
          <w:color w:val="FF0000"/>
          <w:sz w:val="32"/>
          <w:szCs w:val="32"/>
        </w:rPr>
      </w:pPr>
      <w:r>
        <w:rPr>
          <w:rFonts w:hint="eastAsia" w:ascii="仿宋_GB2312" w:hAnsi="仿宋_GB2312" w:eastAsia="仿宋_GB2312" w:cs="仿宋_GB2312"/>
          <w:color w:val="auto"/>
          <w:sz w:val="32"/>
          <w:szCs w:val="32"/>
        </w:rPr>
        <w:t>济兖</w:t>
      </w:r>
      <w:r>
        <w:rPr>
          <w:rFonts w:hint="eastAsia" w:ascii="仿宋_GB2312" w:hAnsi="仿宋_GB2312" w:eastAsia="仿宋_GB2312" w:cs="仿宋_GB2312"/>
          <w:color w:val="auto"/>
          <w:sz w:val="32"/>
          <w:szCs w:val="32"/>
          <w:lang w:eastAsia="zh-CN"/>
        </w:rPr>
        <w:t>金监字</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号</w:t>
      </w:r>
    </w:p>
    <w:p>
      <w:pPr>
        <w:spacing w:line="560" w:lineRule="exact"/>
        <w:jc w:val="center"/>
        <w:rPr>
          <w:rFonts w:ascii="方正小标宋_GBK" w:hAnsi="方正小标宋_GBK" w:eastAsia="方正小标宋_GBK" w:cs="方正小标宋_GBK"/>
          <w:b/>
          <w:sz w:val="44"/>
          <w:szCs w:val="44"/>
        </w:rPr>
      </w:pPr>
      <w:r>
        <w:rPr>
          <w:rFonts w:hint="eastAsia" w:ascii="仿宋_GB2312" w:hAnsi="仿宋_GB2312" w:eastAsia="仿宋_GB2312" w:cs="仿宋_GB2312"/>
          <w:color w:val="000000" w:themeColor="text1"/>
          <w:sz w:val="44"/>
          <w:szCs w:val="44"/>
        </w:rPr>
        <w:pict>
          <v:line id="直接连接符 1" o:spid="_x0000_s2052" o:spt="20" style="position:absolute;left:0pt;flip:y;margin-left:-0.35pt;margin-top:4.6pt;height:0pt;width:447.95pt;mso-position-horizontal-relative:margin;z-index:251660288;mso-width-relative:page;mso-height-relative:page;" filled="f" stroked="t" coordsize="21600,21600" o:gfxdata="UEsDBAoAAAAAAIdO4kAAAAAAAAAAAAAAAAAEAAAAZHJzL1BLAwQUAAAACACHTuJAC485YtUAAAAH&#10;AQAADwAAAGRycy9kb3ducmV2LnhtbE2OvU7DMBSF90p9B+sisbVOGwptiNOhqAsZEC0DbLfxJYka&#10;X0e205S3x4gBxvOjc758ezWduJDzrWUFi3kCgriyuuVawdtxP1uD8AFZY2eZFHyRh20xneSYaTvy&#10;K10OoRZxhH2GCpoQ+kxKXzVk0M9tTxyzT+sMhihdLbXDMY6bTi6T5F4abDk+NNjTrqHqfBiMAn4+&#10;vn9g6Us7PJ3d/mV8sEtXKnV7s0geQQS6hr8y/OBHdCgi08kOrL3oFKR3sahgla5AxHi92aQgTr+G&#10;LHL5n7/4BlBLAwQUAAAACACHTuJAnZpCRxECAAAJBAAADgAAAGRycy9lMm9Eb2MueG1srVO7jhMx&#10;FO2R+AfLPZlJomST0U622BAaBJF49Dd+zFjyS7aTSX6CH0Cig4qSfv+G5TO4ngmrZWlS4MK6to/P&#10;vef4+vrmaDQ5iBCVszUdj0pKhGWOK9vU9MP7zYsFJTGB5aCdFTU9iUhvVs+fXXe+EhPXOs1FIEhi&#10;Y9X5mrYp+aooImuFgThyXlg8lC4YSLgMTcEDdMhudDEpy3nRucB9cEzEiLvr4ZCeGcMlhE5KxcTa&#10;sb0RNg2sQWhIKCm2yke66quVUrD0VsooEtE1RaWpnzEJxrs8F6trqJoAvlXsXAJcUsITTQaUxaQP&#10;VGtIQPZB/UNlFAsuOplGzJliENI7girG5RNv3rXgRa8FrY7+wfT4/2jZm8M2EMWxEyixYPDB7z//&#10;+Pnp66+7Lzjff/9GxtmkzscKsbd2G86r6LchKz7KYIjUyn/MHHkHVZEjLsrJcjqdUXKq6XRZXo1n&#10;s8FucUyEIWA2XyyWcwQwRPRPUQx0mcSHmF4JZ0gOaqqVzU5ABYfXMWEJCP0Dydvakg5TzhZXmQ+w&#10;LyX2A4bGo7Zom/5ydFrxjdI6X4mh2d3qQA6AvbHZlDhyfUj8FyxnWUNsB1x/NMhoBfCXlpN08uia&#10;xc9Ccw1GcEq0wL+VIySEKoHSlyAxtbb5gug79yw0Wz+YnaOd4yd8sb0PqmnRmP51inyCHdJXf+7m&#10;3IKP1xg//s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uPOWLVAAAABwEAAA8AAAAAAAAAAQAg&#10;AAAAIgAAAGRycy9kb3ducmV2LnhtbFBLAQIUABQAAAAIAIdO4kCdmkJHEQIAAAkEAAAOAAAAAAAA&#10;AAEAIAAAACQBAABkcnMvZTJvRG9jLnhtbFBLBQYAAAAABgAGAFkBAACnBQAAAAA=&#10;">
            <v:path arrowok="t"/>
            <v:fill on="f" focussize="0,0"/>
            <v:stroke weight="1.25pt" color="#FF0000" joinstyle="round"/>
            <v:imagedata o:title=""/>
            <o:lock v:ext="edit" aspectratio="f"/>
          </v:line>
        </w:pic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区地方金融监管局上半年工作总结及下半年工作计划</w:t>
      </w:r>
    </w:p>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一、上半年主要指标进展情况</w:t>
      </w:r>
    </w:p>
    <w:p>
      <w:pPr>
        <w:spacing w:line="540" w:lineRule="exact"/>
        <w:ind w:firstLine="640" w:firstLineChars="200"/>
        <w:rPr>
          <w:rFonts w:hint="eastAsia" w:ascii="仿宋_GB2312" w:hAnsi="仿宋_GB2312" w:eastAsia="仿宋_GB2312" w:cs="仿宋_GB2312"/>
          <w:b w:val="0"/>
          <w:bCs/>
          <w:sz w:val="32"/>
          <w:szCs w:val="32"/>
        </w:rPr>
      </w:pPr>
      <w:r>
        <w:rPr>
          <w:rFonts w:hint="eastAsia" w:ascii="楷体" w:hAnsi="楷体" w:eastAsia="楷体" w:cs="楷体"/>
          <w:b w:val="0"/>
          <w:bCs/>
          <w:sz w:val="32"/>
          <w:szCs w:val="32"/>
        </w:rPr>
        <w:t>（一）新增贷款情况。</w:t>
      </w:r>
      <w:r>
        <w:rPr>
          <w:rFonts w:hint="eastAsia" w:ascii="仿宋_GB2312" w:hAnsi="仿宋_GB2312" w:eastAsia="仿宋_GB2312" w:cs="仿宋_GB2312"/>
          <w:b w:val="0"/>
          <w:bCs/>
          <w:sz w:val="32"/>
          <w:szCs w:val="32"/>
        </w:rPr>
        <w:t>截至5月末，全区贷款余额502.76亿元，较年初增加37.74亿元，增幅8.11%。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楷体"/>
          <w:b w:val="0"/>
          <w:bCs/>
          <w:sz w:val="32"/>
          <w:szCs w:val="32"/>
        </w:rPr>
        <w:t>（二）普惠金融重点领域贷款情况。</w:t>
      </w:r>
      <w:r>
        <w:rPr>
          <w:rFonts w:hint="eastAsia" w:ascii="仿宋_GB2312" w:hAnsi="仿宋_GB2312" w:eastAsia="仿宋_GB2312" w:cs="仿宋_GB2312"/>
          <w:b w:val="0"/>
          <w:bCs/>
          <w:sz w:val="32"/>
          <w:szCs w:val="32"/>
        </w:rPr>
        <w:t>截至5月末，全区普惠金融重点领域贷款余额75.73亿元，较年初增加12.23亿元。</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sz w:val="32"/>
          <w:szCs w:val="32"/>
        </w:rPr>
      </w:pPr>
      <w:r>
        <w:rPr>
          <w:rFonts w:hint="eastAsia" w:ascii="楷体" w:hAnsi="楷体" w:eastAsia="楷体" w:cs="楷体"/>
          <w:b w:val="0"/>
          <w:bCs/>
          <w:sz w:val="32"/>
          <w:szCs w:val="32"/>
        </w:rPr>
        <w:t>（三）政策性银行贷款情况。</w:t>
      </w:r>
      <w:r>
        <w:rPr>
          <w:rFonts w:hint="eastAsia" w:ascii="仿宋_GB2312" w:hAnsi="仿宋_GB2312" w:eastAsia="仿宋_GB2312" w:cs="仿宋_GB2312"/>
          <w:b w:val="0"/>
          <w:bCs/>
          <w:sz w:val="32"/>
          <w:szCs w:val="32"/>
        </w:rPr>
        <w:t>截至5月末，全区政策性银行贷款余额26.54亿元，较年初新增3.65亿元，增幅15.95%，2023年累计发放贷款4.84亿元。</w:t>
      </w:r>
    </w:p>
    <w:p>
      <w:pPr>
        <w:spacing w:line="540" w:lineRule="exact"/>
        <w:ind w:firstLine="640" w:firstLineChars="200"/>
        <w:rPr>
          <w:rFonts w:hint="eastAsia" w:ascii="仿宋_GB2312" w:hAnsi="仿宋_GB2312" w:eastAsia="仿宋_GB2312" w:cs="仿宋_GB2312"/>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四</w:t>
      </w:r>
      <w:r>
        <w:rPr>
          <w:rFonts w:hint="eastAsia" w:ascii="楷体" w:hAnsi="楷体" w:eastAsia="楷体" w:cs="楷体"/>
          <w:b w:val="0"/>
          <w:bCs/>
          <w:sz w:val="32"/>
          <w:szCs w:val="32"/>
        </w:rPr>
        <w:t>）企业上市挂牌情况。</w:t>
      </w:r>
      <w:r>
        <w:rPr>
          <w:rFonts w:hint="eastAsia" w:ascii="仿宋_GB2312" w:hAnsi="仿宋_GB2312" w:eastAsia="仿宋_GB2312" w:cs="仿宋_GB2312"/>
          <w:b w:val="0"/>
          <w:bCs/>
          <w:sz w:val="32"/>
          <w:szCs w:val="32"/>
        </w:rPr>
        <w:t>截至目前，我区重点上市企业金大丰根据券商、会所、律所三方会商方案，进行股改前各项准备工作，计划9月着手开始股改。芯诺科技</w:t>
      </w:r>
      <w:r>
        <w:rPr>
          <w:rFonts w:hint="eastAsia" w:ascii="仿宋_GB2312" w:hAnsi="仿宋_GB2312" w:eastAsia="仿宋_GB2312" w:cs="仿宋_GB2312"/>
          <w:b w:val="0"/>
          <w:bCs/>
          <w:sz w:val="32"/>
          <w:szCs w:val="32"/>
          <w:lang w:val="en-US" w:eastAsia="zh-CN"/>
        </w:rPr>
        <w:t>C轮</w:t>
      </w:r>
      <w:r>
        <w:rPr>
          <w:rFonts w:hint="eastAsia" w:ascii="仿宋_GB2312" w:hAnsi="仿宋_GB2312" w:eastAsia="仿宋_GB2312" w:cs="仿宋_GB2312"/>
          <w:b w:val="0"/>
          <w:bCs/>
          <w:sz w:val="32"/>
          <w:szCs w:val="32"/>
        </w:rPr>
        <w:t>定增计划已获证监会核准批复，</w:t>
      </w:r>
      <w:r>
        <w:rPr>
          <w:rFonts w:hint="eastAsia" w:ascii="仿宋_GB2312" w:hAnsi="仿宋_GB2312" w:eastAsia="仿宋_GB2312" w:cs="仿宋_GB2312"/>
          <w:b w:val="0"/>
          <w:bCs/>
          <w:sz w:val="32"/>
          <w:szCs w:val="32"/>
          <w:lang w:eastAsia="zh-CN"/>
        </w:rPr>
        <w:t>目前正在与外部投资机构进行对接，预计</w:t>
      </w:r>
      <w:r>
        <w:rPr>
          <w:rFonts w:hint="eastAsia" w:ascii="仿宋_GB2312" w:hAnsi="仿宋_GB2312" w:eastAsia="仿宋_GB2312" w:cs="仿宋_GB2312"/>
          <w:b w:val="0"/>
          <w:bCs/>
          <w:sz w:val="32"/>
          <w:szCs w:val="32"/>
          <w:lang w:val="en-US" w:eastAsia="zh-CN"/>
        </w:rPr>
        <w:t>8月底完成本轮融资</w:t>
      </w:r>
      <w:r>
        <w:rPr>
          <w:rFonts w:hint="eastAsia" w:ascii="仿宋_GB2312" w:hAnsi="仿宋_GB2312" w:eastAsia="仿宋_GB2312" w:cs="仿宋_GB2312"/>
          <w:b w:val="0"/>
          <w:bCs/>
          <w:sz w:val="32"/>
          <w:szCs w:val="32"/>
        </w:rPr>
        <w:t>。乐和家以5月31日为股改基准日，已完成股权激励平台有限合伙企业的注册，当前正进行股改工商登记变更准备工作，预计8月底前完成。</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二、上半年工作开展情况</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金融支持实体经济能力显著提升。根据全市金融机构加力助推经济高质量发展座谈会精神以及全年金融工作安排，动员全区金融机构强化地方经济服务职能，抢抓金融政策“窗口期”，持续加大金融支持力度，为全区争先进位和高质量发展注入强大金融动力。1-6月份先后召开全区金融工作座谈会、金融助推经济高质量发展座谈会、金融助力经济高质量发展工作推进会等系列会议，激励金融机构用足用好各类金融政策，积极对上争取资源倾斜，创新信贷产品，确保全区上半年信贷投放“双过半”，为完成全年信贷投放任务目标打好基础。</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持续深化政金企合作对接。聚焦重点领域分类开展精准金融活动，围绕先进制造业、普惠金融、攀登工程企业、农业农村等领域融资需求，分别组织召开专题融资对接会，带领金融机构走进企业、产业园区、乡村振兴示范基地、重点项目建设现场开展 “送金融政策、送信贷产品、送金融知识”活动，一企一策制定融资服务方案，解决企业、项目发展过程中的资金需求，切实提高金企合作对接的实效性。</w:t>
      </w:r>
      <w:r>
        <w:rPr>
          <w:rFonts w:hint="eastAsia" w:ascii="仿宋_GB2312" w:hAnsi="仿宋_GB2312" w:eastAsia="仿宋_GB2312" w:cs="仿宋_GB2312"/>
          <w:b w:val="0"/>
          <w:bCs/>
          <w:sz w:val="32"/>
          <w:szCs w:val="32"/>
          <w:lang w:val="en-US" w:eastAsia="zh-CN"/>
        </w:rPr>
        <w:t>坚持开展金融助企攀登活动，集中优质资源向制造业领域倾斜。</w:t>
      </w:r>
      <w:r>
        <w:rPr>
          <w:rFonts w:hint="eastAsia" w:ascii="仿宋_GB2312" w:hAnsi="仿宋_GB2312" w:eastAsia="仿宋_GB2312" w:cs="仿宋_GB2312"/>
          <w:b w:val="0"/>
          <w:bCs/>
          <w:sz w:val="32"/>
          <w:szCs w:val="32"/>
        </w:rPr>
        <w:t>截至5月末，全区制造业贷款贷款余额139.76亿元，较年初新增16.58亿元，增幅13.46%。</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积极对接政策性银行贷款。区级领导带队定期对接省国开行和省农发行，摸清制约贷款审批的堵点、卡点，及时召开专题推进会，靠上解决问题，争取更多的政策性贷款在我区投放落地。先后邀请省农发行余飞副行长、省国开行三处郑晓东处长来兖州现场调研贷款项目。截至目前，已争取到农发行贷款4.84亿元，2.76亿元颜店镇乡村振兴产业园二期项目和5.4亿元洸府河堤顶路项目已完成贷款审批，办理放款手续，3亿元电子信息产业园项目已到省农发行审查；乡村振兴示范区建设项目、兖州区职业中专教学科研及培训基地建设项目和颜店科技产业园科技孵化中心一期项目根据省行建议进一步完善方案。3.7亿元兖州区馨安家园安置房项目贷款资料全部上报省国开行审核，近期将完成信贷审批。</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积极助推企业对接资本市场。一是持续开展上市挂牌辅导培训，举办资本市场专题培训会、企业上市业务专题培训会等，邀请德邦证券、天风证券、中泰证券专家进行专题授课。助力企业提高规范运作意识，坚定上市信心和决心。二是带领券商团队走访调研重点上市后备企业，帮助企业梳理上市发展规划，为企业提供“一对一”精准辅导服务。三是定期召开企业上市工作推进会，积极帮助企业解决上市过程中的公司治理、生产经营、银行债务等方面难题，助力企业克难解困，缩短企业对接资本</w:t>
      </w:r>
      <w:r>
        <w:rPr>
          <w:rFonts w:hint="eastAsia" w:ascii="仿宋_GB2312" w:hAnsi="仿宋_GB2312" w:eastAsia="仿宋_GB2312" w:cs="仿宋_GB2312"/>
          <w:b w:val="0"/>
          <w:bCs/>
          <w:sz w:val="32"/>
          <w:szCs w:val="32"/>
          <w:lang w:eastAsia="zh-CN"/>
        </w:rPr>
        <w:t>市场</w:t>
      </w:r>
      <w:r>
        <w:rPr>
          <w:rFonts w:hint="eastAsia" w:ascii="仿宋_GB2312" w:hAnsi="仿宋_GB2312" w:eastAsia="仿宋_GB2312" w:cs="仿宋_GB2312"/>
          <w:b w:val="0"/>
          <w:bCs/>
          <w:sz w:val="32"/>
          <w:szCs w:val="32"/>
        </w:rPr>
        <w:t>周期。</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持续优化金融生态环境。一是持续压降银行机构不良贷款，引导银行机构合理谋划全年不良贷款处置计划，积极对上争取不良贷款核销批转政策倾斜，做到应核尽核、能转尽转，维持全年不良率在全市平均水平以下</w:t>
      </w:r>
      <w:bookmarkStart w:id="0" w:name="_GoBack"/>
      <w:bookmarkEnd w:id="0"/>
      <w:r>
        <w:rPr>
          <w:rFonts w:hint="eastAsia" w:ascii="仿宋_GB2312" w:hAnsi="仿宋_GB2312" w:eastAsia="仿宋_GB2312" w:cs="仿宋_GB2312"/>
          <w:b w:val="0"/>
          <w:bCs/>
          <w:sz w:val="32"/>
          <w:szCs w:val="32"/>
        </w:rPr>
        <w:t>。二是积极推动地方法人银行机构改革发展和风险化解，发挥专班职能，积极帮扶地方法人银行化解不良贷款，加大抵债资产推介力度，引荐优质资本壮大规模实力，确保各项经营指标不断优化。三是全力维护区域金融形势稳定，常态化开展防范非法集资宣传活动，利用春节万众返乡、防范非法集资宣传月等有利时机，组织各镇街、金融机构开展防范非法集资宣传活动，通过设置咨询台、悬挂横幅、发放宣传明白纸等向广大群众讲解防范非法集资知识，提醒群众警惕高息利诱，远离非法集资。</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三、下半年工作谋划</w:t>
      </w:r>
    </w:p>
    <w:p>
      <w:pPr>
        <w:pStyle w:val="6"/>
        <w:adjustRightInd w:val="0"/>
        <w:snapToGrid w:val="0"/>
        <w:spacing w:line="54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深化政金企合作对接。聚焦制造业企业和普惠金融重点领域等，多措并举加大融资信息推介力度，举办农机装备、食品产业、涉农小微等系列政金企专题对接会，集中推介重点企业、项目融资信息，引导银行机构精准对接新的有效信贷需求，协调解决影响信贷投放中的梗阻问题，力促政金企交流稳定畅通，力争更多的信贷资源在我区实现早投放、快投放。</w:t>
      </w:r>
    </w:p>
    <w:p>
      <w:pPr>
        <w:pStyle w:val="6"/>
        <w:adjustRightInd w:val="0"/>
        <w:snapToGrid w:val="0"/>
        <w:spacing w:line="54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聚焦金大丰、芯诺两家重点拟上市企业，分别由书记、区长“一对一”建立常态化包保联系机制，对企业反馈问题快速响应，相关部门主要责任人现场办理、限时解决。针对重点企业债务问题，帮助企业与金融机构进行磋商，争取最优价格处置相关资产，尽快完成债务清零。同时，压实拟上市企业主体责任，抢抓全面注册制施行的“窗口期”，积极主动联系辅导机构进场开展工作，按照既定计划加快上市进程。聚焦乐和家、福特尔等明确中介机构的企业，安排专人跟踪服务，根据券商提出的专业意见，帮助企业规范整改，完善上市指标，尽快进入“上市赛道”；对经典科技、六佳药辅、国际陆港等有上市意愿并已展开准备工作的企业，邀请券商现场指导，与企业主要负责人、实控人“面对面”交流，因企施策制定对接资本市场路径。</w:t>
      </w:r>
    </w:p>
    <w:p>
      <w:pPr>
        <w:spacing w:line="54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压实重点银行机构主体责任，积极对上汇报沟通，争取核销批转政策支持，对年内新增不良、存量不良逐笔列出处置计划、明确出表时限，做到不良贷款有序暴露、快速处置。积极推动地方法人银行机构改革发展和风险化解，压实风险化解主体责任，引导督促对上争取政策，通过资产置换、债权转让、自主清收与核销等多种方式实现不良资产批量处置。发挥专班职能，积极帮扶地方法人银行化解不良贷款，加大抵债资产推介力度，引荐优质资本壮大规模实力，确保各项经营指标不断优化。</w:t>
      </w:r>
    </w:p>
    <w:p>
      <w:pPr>
        <w:spacing w:line="540" w:lineRule="exact"/>
        <w:ind w:firstLine="640" w:firstLineChars="200"/>
        <w:rPr>
          <w:rFonts w:hint="eastAsia" w:ascii="仿宋_GB2312" w:hAnsi="仿宋_GB2312" w:eastAsia="仿宋_GB2312" w:cs="仿宋_GB2312"/>
          <w:b w:val="0"/>
          <w:bCs/>
          <w:kern w:val="2"/>
          <w:sz w:val="32"/>
          <w:szCs w:val="32"/>
          <w:lang w:val="en-US" w:eastAsia="zh-CN" w:bidi="ar-SA"/>
        </w:rPr>
      </w:pPr>
    </w:p>
    <w:p>
      <w:pPr>
        <w:spacing w:line="540" w:lineRule="exact"/>
        <w:ind w:firstLine="640" w:firstLineChars="200"/>
        <w:jc w:val="right"/>
        <w:rPr>
          <w:rFonts w:hint="eastAsia" w:ascii="Times New Roman" w:hAnsi="Times New Roman" w:eastAsia="仿宋_GB2312" w:cs="Times New Roman"/>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2023年7月5日</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4ZTYwMTA4NTFjMjRlMmE1OTE1NjYxNmYzYjJjYzEifQ=="/>
  </w:docVars>
  <w:rsids>
    <w:rsidRoot w:val="5E6F35E8"/>
    <w:rsid w:val="00166216"/>
    <w:rsid w:val="006604C8"/>
    <w:rsid w:val="007537F8"/>
    <w:rsid w:val="007634EE"/>
    <w:rsid w:val="00AE3388"/>
    <w:rsid w:val="00E867DA"/>
    <w:rsid w:val="01453C2F"/>
    <w:rsid w:val="01C25065"/>
    <w:rsid w:val="045B392B"/>
    <w:rsid w:val="12686C38"/>
    <w:rsid w:val="16D77703"/>
    <w:rsid w:val="1AA20568"/>
    <w:rsid w:val="1EFA416B"/>
    <w:rsid w:val="1F7A6B27"/>
    <w:rsid w:val="20485E57"/>
    <w:rsid w:val="2156230B"/>
    <w:rsid w:val="245F7A8B"/>
    <w:rsid w:val="25177BA5"/>
    <w:rsid w:val="251C4037"/>
    <w:rsid w:val="268B161A"/>
    <w:rsid w:val="2DA95FD7"/>
    <w:rsid w:val="2F9D3568"/>
    <w:rsid w:val="31DC0F7C"/>
    <w:rsid w:val="330F45EF"/>
    <w:rsid w:val="34965788"/>
    <w:rsid w:val="42452DEA"/>
    <w:rsid w:val="438A66A2"/>
    <w:rsid w:val="449A7AB6"/>
    <w:rsid w:val="45E01239"/>
    <w:rsid w:val="47807E13"/>
    <w:rsid w:val="478F1156"/>
    <w:rsid w:val="47D65BC0"/>
    <w:rsid w:val="4AF263C0"/>
    <w:rsid w:val="4CA84BD1"/>
    <w:rsid w:val="5043693E"/>
    <w:rsid w:val="58701CB6"/>
    <w:rsid w:val="58C67894"/>
    <w:rsid w:val="59F63B8E"/>
    <w:rsid w:val="5E6F35E8"/>
    <w:rsid w:val="5F7428BE"/>
    <w:rsid w:val="65B65064"/>
    <w:rsid w:val="6F8E7885"/>
    <w:rsid w:val="6FEC6E54"/>
    <w:rsid w:val="73BC1989"/>
    <w:rsid w:val="765456C8"/>
    <w:rsid w:val="7BF01CCC"/>
    <w:rsid w:val="7CB836FA"/>
    <w:rsid w:val="7E3E21A0"/>
    <w:rsid w:val="7F9B6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jc w:val="left"/>
    </w:pPr>
    <w:rPr>
      <w:szCs w:val="24"/>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rPr>
      <w:rFonts w:cs="仿宋"/>
      <w:sz w:val="32"/>
      <w:szCs w:val="32"/>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1">
    <w:name w:val="正文首行缩进 21"/>
    <w:basedOn w:val="12"/>
    <w:qFormat/>
    <w:uiPriority w:val="99"/>
    <w:pPr>
      <w:ind w:firstLine="420" w:firstLineChars="200"/>
    </w:pPr>
  </w:style>
  <w:style w:type="paragraph" w:customStyle="1" w:styleId="12">
    <w:name w:val="正文文本缩进1"/>
    <w:basedOn w:val="1"/>
    <w:qFormat/>
    <w:uiPriority w:val="99"/>
    <w:pPr>
      <w:ind w:left="420" w:leftChars="200"/>
    </w:pPr>
  </w:style>
  <w:style w:type="paragraph" w:styleId="13">
    <w:name w:val="List Paragraph"/>
    <w:basedOn w:val="1"/>
    <w:qFormat/>
    <w:uiPriority w:val="34"/>
    <w:pPr>
      <w:ind w:firstLine="420" w:firstLineChars="200"/>
    </w:pPr>
  </w:style>
  <w:style w:type="character" w:customStyle="1" w:styleId="14">
    <w:name w:val="页眉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2463</Words>
  <Characters>2535</Characters>
  <Lines>19</Lines>
  <Paragraphs>5</Paragraphs>
  <TotalTime>26</TotalTime>
  <ScaleCrop>false</ScaleCrop>
  <LinksUpToDate>false</LinksUpToDate>
  <CharactersWithSpaces>2538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2023-06-30T07:07:00Z</dcterms:created>
  <dc:creator>mcy</dc:creator>
  <cp:lastModifiedBy>王旺旺</cp:lastModifiedBy>
  <dcterms:modified xsi:type="dcterms:W3CDTF">2023-07-13T07:38:48Z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1FAEA32287294FD7982119FBCDF3C9FE</vt:lpwstr>
  </property>
  <property fmtid="{D5CDD505-2E9C-101B-9397-08002B2CF9AE}" pid="4" name="commondata">
    <vt:lpwstr>eyJoZGlkIjoiOGNlNzEyNDZmNWY5MDUxZGM4YjM4YWM1MTE3MWExZWMifQ==</vt:lpwstr>
  </property>
</Properties>
</file>