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D52CB">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eastAsia="方正小标宋简体"/>
          <w:b/>
          <w:color w:val="000000"/>
          <w:sz w:val="44"/>
          <w:szCs w:val="44"/>
          <w:lang w:val="en-US" w:eastAsia="zh-CN"/>
        </w:rPr>
      </w:pPr>
      <w:r>
        <w:rPr>
          <w:rFonts w:hint="eastAsia" w:eastAsia="方正小标宋简体"/>
          <w:b/>
          <w:color w:val="000000"/>
          <w:sz w:val="44"/>
          <w:szCs w:val="44"/>
        </w:rPr>
        <w:t>济宁市兖州区</w:t>
      </w:r>
      <w:r>
        <w:rPr>
          <w:rFonts w:hint="eastAsia" w:eastAsia="方正小标宋简体"/>
          <w:b/>
          <w:color w:val="000000"/>
          <w:sz w:val="44"/>
          <w:szCs w:val="44"/>
          <w:lang w:val="en-US" w:eastAsia="zh-CN"/>
        </w:rPr>
        <w:t>兴隆庄街道办事处</w:t>
      </w:r>
    </w:p>
    <w:p w14:paraId="1DF11A4A">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4</w:t>
      </w:r>
      <w:r>
        <w:rPr>
          <w:rFonts w:eastAsia="方正小标宋简体"/>
          <w:b/>
          <w:color w:val="000000"/>
          <w:sz w:val="44"/>
          <w:szCs w:val="44"/>
        </w:rPr>
        <w:t>年政府信息公开工作年度报告</w:t>
      </w:r>
    </w:p>
    <w:p w14:paraId="74337A4E">
      <w:pPr>
        <w:keepNext w:val="0"/>
        <w:keepLines w:val="0"/>
        <w:pageBreakBefore w:val="0"/>
        <w:widowControl w:val="0"/>
        <w:kinsoku/>
        <w:wordWrap/>
        <w:overflowPunct/>
        <w:topLinePunct w:val="0"/>
        <w:autoSpaceDE/>
        <w:autoSpaceDN/>
        <w:bidi w:val="0"/>
        <w:adjustRightInd/>
        <w:snapToGrid/>
        <w:spacing w:line="700" w:lineRule="exact"/>
        <w:ind w:right="-105" w:rightChars="-50" w:firstLine="643" w:firstLineChars="200"/>
        <w:textAlignment w:val="auto"/>
        <w:rPr>
          <w:rFonts w:eastAsia="方正仿宋简体"/>
          <w:b/>
          <w:color w:val="000000"/>
          <w:sz w:val="32"/>
          <w:szCs w:val="32"/>
        </w:rPr>
      </w:pPr>
    </w:p>
    <w:p w14:paraId="77C770E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本报告由济宁市兖州区</w:t>
      </w:r>
      <w:r>
        <w:rPr>
          <w:rFonts w:hint="eastAsia" w:eastAsia="方正仿宋简体"/>
          <w:b/>
          <w:color w:val="000000"/>
          <w:sz w:val="32"/>
          <w:szCs w:val="32"/>
          <w:lang w:val="en-US" w:eastAsia="zh-CN"/>
        </w:rPr>
        <w:t>兴隆庄街道办事处</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14:paraId="7C15832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47D7E28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4</w:t>
      </w:r>
      <w:r>
        <w:rPr>
          <w:rFonts w:eastAsia="方正仿宋简体"/>
          <w:b/>
          <w:color w:val="000000"/>
          <w:sz w:val="32"/>
          <w:szCs w:val="32"/>
        </w:rPr>
        <w:t>年1月1日起至202</w:t>
      </w:r>
      <w:r>
        <w:rPr>
          <w:rFonts w:hint="eastAsia" w:eastAsia="方正仿宋简体"/>
          <w:b/>
          <w:color w:val="000000"/>
          <w:sz w:val="32"/>
          <w:szCs w:val="32"/>
          <w:lang w:val="en-US" w:eastAsia="zh-CN"/>
        </w:rPr>
        <w:t>4</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”政府门户网站（www.yanzhou.gov.cn）查阅或下载。如对本报告有疑问，请与济宁市兖州区</w:t>
      </w:r>
      <w:r>
        <w:rPr>
          <w:rFonts w:hint="eastAsia" w:eastAsia="方正仿宋简体"/>
          <w:b/>
          <w:color w:val="000000"/>
          <w:sz w:val="32"/>
          <w:szCs w:val="32"/>
          <w:lang w:val="en-US" w:eastAsia="zh-CN"/>
        </w:rPr>
        <w:t>兴隆庄街道办事处</w:t>
      </w:r>
      <w:r>
        <w:rPr>
          <w:rFonts w:eastAsia="方正仿宋简体"/>
          <w:b/>
          <w:color w:val="000000"/>
          <w:sz w:val="32"/>
          <w:szCs w:val="32"/>
        </w:rPr>
        <w:t>联系（地址：</w:t>
      </w:r>
      <w:r>
        <w:rPr>
          <w:rFonts w:hint="eastAsia" w:eastAsia="方正仿宋简体"/>
          <w:b/>
          <w:color w:val="000000"/>
          <w:sz w:val="32"/>
          <w:szCs w:val="32"/>
        </w:rPr>
        <w:t>济宁市兖州区兴隆庄街道府前路</w:t>
      </w:r>
      <w:r>
        <w:rPr>
          <w:rFonts w:eastAsia="方正仿宋简体"/>
          <w:b/>
          <w:color w:val="000000"/>
          <w:sz w:val="32"/>
          <w:szCs w:val="32"/>
        </w:rPr>
        <w:t>，联系电话：0537</w:t>
      </w:r>
      <w:r>
        <w:rPr>
          <w:rFonts w:hint="eastAsia" w:eastAsia="方正仿宋简体"/>
          <w:b/>
          <w:color w:val="000000"/>
          <w:sz w:val="32"/>
          <w:szCs w:val="32"/>
        </w:rPr>
        <w:t>—</w:t>
      </w:r>
      <w:r>
        <w:rPr>
          <w:rFonts w:hint="eastAsia" w:eastAsia="方正仿宋简体"/>
          <w:b/>
          <w:color w:val="000000"/>
          <w:sz w:val="32"/>
          <w:szCs w:val="32"/>
          <w:lang w:val="en-US" w:eastAsia="zh-CN"/>
        </w:rPr>
        <w:t>387231</w:t>
      </w:r>
      <w:r>
        <w:rPr>
          <w:rFonts w:eastAsia="方正仿宋简体"/>
          <w:b/>
          <w:color w:val="000000"/>
          <w:sz w:val="32"/>
          <w:szCs w:val="32"/>
        </w:rPr>
        <w:t>）。</w:t>
      </w:r>
    </w:p>
    <w:p w14:paraId="4BBB2C1F">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color w:val="000000"/>
          <w:sz w:val="32"/>
          <w:szCs w:val="32"/>
        </w:rPr>
      </w:pPr>
      <w:r>
        <w:rPr>
          <w:rFonts w:eastAsia="方正黑体简体"/>
          <w:b/>
          <w:color w:val="000000"/>
          <w:sz w:val="32"/>
          <w:szCs w:val="32"/>
        </w:rPr>
        <w:t>一、总体情况</w:t>
      </w:r>
    </w:p>
    <w:p w14:paraId="6949B07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2024年，在区委、区政府的坚强领导下，兴隆庄街道办事处认真贯彻落实《中华人民共和国政府信息公开条例》和政府信息公开工作各项规定，坚持“以公开为常态、不公开为例外”的根本要求，不断完善有关制度，规范政务公开内容和形式，全面提高信息发布质量。具体情况如下：</w:t>
      </w:r>
    </w:p>
    <w:p w14:paraId="6BE584C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val="0"/>
          <w:bCs/>
          <w:i/>
          <w:iCs/>
          <w:color w:val="000000"/>
          <w:sz w:val="32"/>
          <w:szCs w:val="32"/>
          <w:lang w:eastAsia="zh-CN"/>
        </w:rPr>
      </w:pPr>
      <w:r>
        <w:rPr>
          <w:rFonts w:eastAsia="方正楷体简体"/>
          <w:b/>
          <w:color w:val="000000"/>
          <w:sz w:val="32"/>
          <w:szCs w:val="32"/>
        </w:rPr>
        <w:t>（一）</w:t>
      </w:r>
      <w:r>
        <w:rPr>
          <w:rFonts w:hint="eastAsia" w:eastAsia="方正楷体简体"/>
          <w:b/>
          <w:color w:val="000000"/>
          <w:sz w:val="32"/>
          <w:szCs w:val="32"/>
        </w:rPr>
        <w:t>主动公开</w:t>
      </w:r>
      <w:r>
        <w:rPr>
          <w:rFonts w:hint="eastAsia" w:eastAsia="方正楷体简体"/>
          <w:b/>
          <w:color w:val="000000"/>
          <w:sz w:val="32"/>
          <w:szCs w:val="32"/>
          <w:lang w:eastAsia="zh-CN"/>
        </w:rPr>
        <w:t>情况</w:t>
      </w:r>
    </w:p>
    <w:p w14:paraId="2097089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eastAsia="方正仿宋简体"/>
          <w:b/>
          <w:color w:val="000000"/>
          <w:sz w:val="32"/>
          <w:szCs w:val="32"/>
          <w:lang w:val="en-US" w:eastAsia="zh-CN"/>
        </w:rPr>
      </w:pPr>
      <w:r>
        <w:rPr>
          <w:rFonts w:hint="eastAsia" w:eastAsia="方正仿宋简体"/>
          <w:b/>
          <w:color w:val="000000"/>
          <w:sz w:val="32"/>
          <w:szCs w:val="32"/>
          <w:lang w:val="en-US" w:eastAsia="zh-CN"/>
        </w:rPr>
        <w:t>2024年，街道严格按照公开与保密相统一的工作要求，加强组织管理、财政预决算等重点领域信息公开。通过兖州区政府门户网站发布各类政府信息30条，其中组织管理5条；会议公开1条；机构职能信息1条；重大决策执行落实4条；其他类信息19条。</w:t>
      </w:r>
    </w:p>
    <w:p w14:paraId="45A659DF">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r>
        <w:rPr>
          <w:rFonts w:hint="default" w:eastAsia="方正仿宋简体"/>
          <w:b/>
          <w:color w:val="000000"/>
          <w:sz w:val="32"/>
          <w:szCs w:val="32"/>
          <w:lang w:val="en-US" w:eastAsia="zh-CN"/>
        </w:rPr>
        <w:drawing>
          <wp:anchor distT="0" distB="0" distL="114300" distR="114300" simplePos="0" relativeHeight="251661312" behindDoc="0" locked="0" layoutInCell="1" allowOverlap="1">
            <wp:simplePos x="0" y="0"/>
            <wp:positionH relativeFrom="column">
              <wp:posOffset>389255</wp:posOffset>
            </wp:positionH>
            <wp:positionV relativeFrom="paragraph">
              <wp:posOffset>104775</wp:posOffset>
            </wp:positionV>
            <wp:extent cx="4670425" cy="2852420"/>
            <wp:effectExtent l="4445" t="4445" r="11430" b="13335"/>
            <wp:wrapNone/>
            <wp:docPr id="3" name="图表 3" descr="7b0a202020202263686172745265734964223a202232303437363838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1644F774">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6CF40F75">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78F8D369">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0047E136">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685D61C4">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536FCE03">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center"/>
        <w:textAlignment w:val="auto"/>
        <w:rPr>
          <w:rFonts w:hint="eastAsia" w:ascii="Times New Roman" w:hAnsi="Times New Roman" w:eastAsia="方正仿宋简体" w:cs="Times New Roman"/>
          <w:b w:val="0"/>
          <w:bCs w:val="0"/>
          <w:i/>
          <w:iCs/>
          <w:color w:val="000000"/>
          <w:sz w:val="32"/>
          <w:szCs w:val="32"/>
          <w:lang w:val="en-US" w:eastAsia="zh-CN" w:bidi="ar-SA"/>
        </w:rPr>
      </w:pPr>
    </w:p>
    <w:p w14:paraId="5169308C">
      <w:pPr>
        <w:rPr>
          <w:rFonts w:hint="eastAsia"/>
          <w:lang w:val="en-US" w:eastAsia="zh-CN"/>
        </w:rPr>
      </w:pPr>
    </w:p>
    <w:p w14:paraId="6C9D9456">
      <w:pPr>
        <w:rPr>
          <w:rFonts w:hint="eastAsia"/>
          <w:lang w:val="en-US" w:eastAsia="zh-CN"/>
        </w:rPr>
      </w:pPr>
    </w:p>
    <w:p w14:paraId="0A68EB29">
      <w:pPr>
        <w:rPr>
          <w:rFonts w:hint="eastAsia"/>
          <w:lang w:val="en-US" w:eastAsia="zh-CN"/>
        </w:rPr>
      </w:pPr>
    </w:p>
    <w:p w14:paraId="63E81EC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iCs/>
          <w:color w:val="000000"/>
          <w:sz w:val="32"/>
          <w:szCs w:val="32"/>
          <w:lang w:eastAsia="zh-CN"/>
        </w:rPr>
      </w:pPr>
      <w:r>
        <w:rPr>
          <w:rFonts w:eastAsia="方正楷体简体"/>
          <w:b/>
          <w:color w:val="000000"/>
          <w:sz w:val="32"/>
          <w:szCs w:val="32"/>
        </w:rPr>
        <w:t>（二）</w:t>
      </w:r>
      <w:r>
        <w:rPr>
          <w:rFonts w:hint="eastAsia" w:eastAsia="方正楷体简体"/>
          <w:b/>
          <w:color w:val="000000"/>
          <w:sz w:val="32"/>
          <w:szCs w:val="32"/>
          <w:lang w:val="en-US" w:eastAsia="zh-CN"/>
        </w:rPr>
        <w:t>依申请公开情况</w:t>
      </w:r>
    </w:p>
    <w:p w14:paraId="4560736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r>
        <w:rPr>
          <w:rFonts w:hint="eastAsia"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lang w:val="en-US" w:eastAsia="zh-CN"/>
        </w:rPr>
        <w:t>年，街道共收到申请人以书面、邮件等方式提出的政府信息公开申请</w:t>
      </w:r>
      <w:r>
        <w:rPr>
          <w:rFonts w:hint="eastAsia" w:eastAsia="方正仿宋简体" w:cs="Times New Roman"/>
          <w:b/>
          <w:color w:val="000000"/>
          <w:sz w:val="32"/>
          <w:szCs w:val="32"/>
          <w:lang w:val="en-US" w:eastAsia="zh-CN"/>
        </w:rPr>
        <w:t>2</w:t>
      </w:r>
      <w:r>
        <w:rPr>
          <w:rFonts w:hint="eastAsia" w:ascii="Times New Roman" w:hAnsi="Times New Roman" w:eastAsia="方正仿宋简体" w:cs="Times New Roman"/>
          <w:b/>
          <w:color w:val="000000"/>
          <w:sz w:val="32"/>
          <w:szCs w:val="32"/>
          <w:lang w:val="en-US" w:eastAsia="zh-CN"/>
        </w:rPr>
        <w:t>条，其中涉及</w:t>
      </w:r>
      <w:r>
        <w:rPr>
          <w:rFonts w:hint="eastAsia" w:eastAsia="方正仿宋简体" w:cs="Times New Roman"/>
          <w:b/>
          <w:color w:val="000000"/>
          <w:sz w:val="32"/>
          <w:szCs w:val="32"/>
          <w:lang w:val="en-US" w:eastAsia="zh-CN"/>
        </w:rPr>
        <w:t>部门预算、</w:t>
      </w:r>
      <w:r>
        <w:rPr>
          <w:rFonts w:hint="eastAsia" w:ascii="Times New Roman" w:hAnsi="Times New Roman" w:eastAsia="方正仿宋简体" w:cs="Times New Roman"/>
          <w:b/>
          <w:color w:val="000000"/>
          <w:sz w:val="32"/>
          <w:szCs w:val="32"/>
          <w:lang w:val="en-US" w:eastAsia="zh-CN"/>
        </w:rPr>
        <w:t>压煤村庄搬迁等方面，均已按时答复完成，未向申请人收取任何费用。</w:t>
      </w:r>
    </w:p>
    <w:p w14:paraId="1739003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eastAsia="方正楷体简体"/>
          <w:b/>
          <w:color w:val="000000"/>
          <w:sz w:val="32"/>
          <w:szCs w:val="32"/>
        </w:rPr>
      </w:pPr>
      <w:r>
        <w:rPr>
          <w:rFonts w:hint="eastAsia" w:ascii="Times New Roman" w:hAnsi="Times New Roman" w:eastAsia="方正仿宋简体" w:cs="Times New Roman"/>
          <w:b w:val="0"/>
          <w:bCs w:val="0"/>
          <w:i/>
          <w:iCs/>
          <w:color w:val="000000"/>
          <w:sz w:val="32"/>
          <w:szCs w:val="32"/>
          <w:lang w:val="en-US" w:eastAsia="zh-CN" w:bidi="ar-SA"/>
        </w:rPr>
        <w:drawing>
          <wp:anchor distT="0" distB="0" distL="114300" distR="114300" simplePos="0" relativeHeight="251660288" behindDoc="0" locked="0" layoutInCell="1" allowOverlap="1">
            <wp:simplePos x="0" y="0"/>
            <wp:positionH relativeFrom="column">
              <wp:posOffset>525145</wp:posOffset>
            </wp:positionH>
            <wp:positionV relativeFrom="paragraph">
              <wp:posOffset>18415</wp:posOffset>
            </wp:positionV>
            <wp:extent cx="4389120" cy="2437765"/>
            <wp:effectExtent l="4445" t="4445" r="13335" b="8890"/>
            <wp:wrapNone/>
            <wp:docPr id="4" name="图表 4" descr="7b0a202020202263686172745265734964223a202232303437363136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185F2C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14:paraId="4C02B1D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14:paraId="5F6BEEA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14:paraId="2CA3AE7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14:paraId="43DD0A63">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eastAsia="方正楷体简体"/>
          <w:b/>
          <w:color w:val="000000"/>
          <w:sz w:val="32"/>
          <w:szCs w:val="32"/>
        </w:rPr>
      </w:pPr>
    </w:p>
    <w:p w14:paraId="705211E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14:paraId="7FE20EA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iCs/>
          <w:color w:val="000000"/>
          <w:sz w:val="32"/>
          <w:szCs w:val="32"/>
          <w:lang w:eastAsia="zh-CN"/>
        </w:rPr>
      </w:pPr>
      <w:r>
        <w:rPr>
          <w:rFonts w:eastAsia="方正楷体简体"/>
          <w:b/>
          <w:color w:val="000000"/>
          <w:sz w:val="32"/>
          <w:szCs w:val="32"/>
        </w:rPr>
        <w:t>（三）</w:t>
      </w:r>
      <w:r>
        <w:rPr>
          <w:rFonts w:hint="eastAsia" w:eastAsia="方正楷体简体"/>
          <w:b/>
          <w:color w:val="000000"/>
          <w:sz w:val="32"/>
          <w:szCs w:val="32"/>
        </w:rPr>
        <w:t>政府信息管理</w:t>
      </w:r>
      <w:r>
        <w:rPr>
          <w:rFonts w:hint="eastAsia" w:eastAsia="方正楷体简体"/>
          <w:b/>
          <w:color w:val="000000"/>
          <w:sz w:val="32"/>
          <w:szCs w:val="32"/>
          <w:lang w:eastAsia="zh-CN"/>
        </w:rPr>
        <w:t>情况</w:t>
      </w:r>
    </w:p>
    <w:p w14:paraId="0C4415D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一是加强组织领导。明确政务公开的内容、形式和制度，由街道主要领导亲自抓，分管负责人具体抓，经办人员落实</w:t>
      </w:r>
      <w:r>
        <w:rPr>
          <w:rFonts w:hint="eastAsia" w:eastAsia="方正仿宋简体" w:cs="Times New Roman"/>
          <w:b/>
          <w:color w:val="000000"/>
          <w:sz w:val="32"/>
          <w:szCs w:val="32"/>
          <w:lang w:val="en-US" w:eastAsia="zh-CN"/>
        </w:rPr>
        <w:t>，并</w:t>
      </w:r>
      <w:r>
        <w:rPr>
          <w:rFonts w:hint="eastAsia" w:ascii="Times New Roman" w:hAnsi="Times New Roman" w:eastAsia="方正仿宋简体" w:cs="Times New Roman"/>
          <w:b/>
          <w:color w:val="000000"/>
          <w:sz w:val="32"/>
          <w:szCs w:val="32"/>
          <w:lang w:val="en-US" w:eastAsia="zh-CN"/>
        </w:rPr>
        <w:t>对照标准目录，及时</w:t>
      </w:r>
      <w:r>
        <w:rPr>
          <w:rFonts w:hint="eastAsia" w:eastAsia="方正仿宋简体" w:cs="Times New Roman"/>
          <w:b/>
          <w:color w:val="000000"/>
          <w:sz w:val="32"/>
          <w:szCs w:val="32"/>
          <w:lang w:val="en-US" w:eastAsia="zh-CN"/>
        </w:rPr>
        <w:t>更新</w:t>
      </w:r>
      <w:r>
        <w:rPr>
          <w:rFonts w:hint="eastAsia" w:ascii="Times New Roman" w:hAnsi="Times New Roman" w:eastAsia="方正仿宋简体" w:cs="Times New Roman"/>
          <w:b/>
          <w:color w:val="000000"/>
          <w:sz w:val="32"/>
          <w:szCs w:val="32"/>
          <w:lang w:val="en-US" w:eastAsia="zh-CN"/>
        </w:rPr>
        <w:t>相关信息，形成“一级抓一级，层层抓落实”的工作格局。</w:t>
      </w:r>
    </w:p>
    <w:p w14:paraId="1FD5183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二是紧盯重点领域。及时发布</w:t>
      </w:r>
      <w:r>
        <w:rPr>
          <w:rFonts w:hint="eastAsia" w:eastAsia="方正仿宋简体" w:cs="Times New Roman"/>
          <w:b/>
          <w:color w:val="000000"/>
          <w:sz w:val="32"/>
          <w:szCs w:val="32"/>
          <w:lang w:val="en-US" w:eastAsia="zh-CN"/>
        </w:rPr>
        <w:t>并更新</w:t>
      </w:r>
      <w:r>
        <w:rPr>
          <w:rFonts w:hint="eastAsia" w:ascii="Times New Roman" w:hAnsi="Times New Roman" w:eastAsia="方正仿宋简体" w:cs="Times New Roman"/>
          <w:b/>
          <w:color w:val="000000"/>
          <w:sz w:val="32"/>
          <w:szCs w:val="32"/>
          <w:lang w:val="en-US" w:eastAsia="zh-CN"/>
        </w:rPr>
        <w:t>街道年度财政预决算信息、</w:t>
      </w:r>
      <w:r>
        <w:rPr>
          <w:rFonts w:hint="eastAsia" w:eastAsia="方正仿宋简体" w:cs="Times New Roman"/>
          <w:b/>
          <w:color w:val="000000"/>
          <w:sz w:val="32"/>
          <w:szCs w:val="32"/>
          <w:lang w:val="en-US" w:eastAsia="zh-CN"/>
        </w:rPr>
        <w:t>组织管理</w:t>
      </w:r>
      <w:r>
        <w:rPr>
          <w:rFonts w:hint="eastAsia" w:ascii="Times New Roman" w:hAnsi="Times New Roman" w:eastAsia="方正仿宋简体" w:cs="Times New Roman"/>
          <w:b/>
          <w:color w:val="000000"/>
          <w:sz w:val="32"/>
          <w:szCs w:val="32"/>
          <w:lang w:val="en-US" w:eastAsia="zh-CN"/>
        </w:rPr>
        <w:t>、</w:t>
      </w:r>
      <w:r>
        <w:rPr>
          <w:rFonts w:hint="eastAsia" w:eastAsia="方正仿宋简体" w:cs="Times New Roman"/>
          <w:b/>
          <w:color w:val="000000"/>
          <w:sz w:val="32"/>
          <w:szCs w:val="32"/>
          <w:lang w:val="en-US" w:eastAsia="zh-CN"/>
        </w:rPr>
        <w:t>建议提案办理</w:t>
      </w:r>
      <w:r>
        <w:rPr>
          <w:rFonts w:hint="eastAsia" w:ascii="Times New Roman" w:hAnsi="Times New Roman" w:eastAsia="方正仿宋简体" w:cs="Times New Roman"/>
          <w:b/>
          <w:color w:val="000000"/>
          <w:sz w:val="32"/>
          <w:szCs w:val="32"/>
          <w:lang w:val="en-US" w:eastAsia="zh-CN"/>
        </w:rPr>
        <w:t>等重点领域内容，确保权力运行公开透明。</w:t>
      </w:r>
    </w:p>
    <w:p w14:paraId="602E114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val="0"/>
          <w:bCs w:val="0"/>
          <w:i/>
          <w:iCs/>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三是严格把关审查。信息发布严格按照“三审”制度进行，坚持分级审核、先审后发</w:t>
      </w:r>
      <w:r>
        <w:rPr>
          <w:rFonts w:hint="eastAsia" w:eastAsia="方正仿宋简体" w:cs="Times New Roman"/>
          <w:b/>
          <w:color w:val="000000"/>
          <w:sz w:val="32"/>
          <w:szCs w:val="32"/>
          <w:lang w:val="en-US" w:eastAsia="zh-CN"/>
        </w:rPr>
        <w:t>，确保</w:t>
      </w:r>
      <w:r>
        <w:rPr>
          <w:rFonts w:hint="eastAsia" w:ascii="Times New Roman" w:hAnsi="Times New Roman" w:eastAsia="方正仿宋简体" w:cs="Times New Roman"/>
          <w:b/>
          <w:color w:val="000000"/>
          <w:sz w:val="32"/>
          <w:szCs w:val="32"/>
          <w:lang w:val="en-US" w:eastAsia="zh-CN"/>
        </w:rPr>
        <w:t>全年无泄密事件发生。</w:t>
      </w:r>
    </w:p>
    <w:p w14:paraId="7C2E5D1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iCs/>
          <w:color w:val="000000"/>
          <w:sz w:val="32"/>
          <w:szCs w:val="32"/>
          <w:lang w:eastAsia="zh-CN"/>
        </w:rPr>
      </w:pPr>
      <w:r>
        <w:rPr>
          <w:rFonts w:eastAsia="方正楷体简体"/>
          <w:b/>
          <w:color w:val="000000"/>
          <w:sz w:val="32"/>
          <w:szCs w:val="32"/>
        </w:rPr>
        <w:t>（四）政府信息公开平台建设</w:t>
      </w:r>
      <w:r>
        <w:rPr>
          <w:rFonts w:hint="eastAsia" w:eastAsia="方正楷体简体"/>
          <w:b/>
          <w:color w:val="000000"/>
          <w:sz w:val="32"/>
          <w:szCs w:val="32"/>
          <w:lang w:eastAsia="zh-CN"/>
        </w:rPr>
        <w:t>情况</w:t>
      </w:r>
    </w:p>
    <w:p w14:paraId="21A1F84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val="0"/>
          <w:bCs w:val="0"/>
          <w:i/>
          <w:iCs/>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今年以来，街道以</w:t>
      </w:r>
      <w:r>
        <w:rPr>
          <w:rFonts w:hint="eastAsia" w:eastAsia="方正仿宋简体" w:cs="Times New Roman"/>
          <w:b/>
          <w:color w:val="000000"/>
          <w:sz w:val="32"/>
          <w:szCs w:val="32"/>
          <w:lang w:val="en-US" w:eastAsia="zh-CN"/>
        </w:rPr>
        <w:t>高水平政务公开推动</w:t>
      </w:r>
      <w:r>
        <w:rPr>
          <w:rFonts w:hint="eastAsia" w:ascii="Times New Roman" w:hAnsi="Times New Roman" w:eastAsia="方正仿宋简体" w:cs="Times New Roman"/>
          <w:b/>
          <w:color w:val="000000"/>
          <w:sz w:val="32"/>
          <w:szCs w:val="32"/>
          <w:lang w:val="en-US" w:eastAsia="zh-CN"/>
        </w:rPr>
        <w:t>政务公开专区建设，对政务公开专区建设进行规范升级，在政务服务大厅等便民服务场所，积极打造有特色有亮点的品牌专区</w:t>
      </w:r>
      <w:r>
        <w:rPr>
          <w:rFonts w:hint="eastAsia" w:eastAsia="方正仿宋简体" w:cs="Times New Roman"/>
          <w:b/>
          <w:color w:val="000000"/>
          <w:sz w:val="32"/>
          <w:szCs w:val="32"/>
          <w:lang w:val="en-US" w:eastAsia="zh-CN"/>
        </w:rPr>
        <w:t>，不断</w:t>
      </w:r>
      <w:r>
        <w:rPr>
          <w:rFonts w:hint="eastAsia" w:ascii="Times New Roman" w:hAnsi="Times New Roman" w:eastAsia="方正仿宋简体" w:cs="Times New Roman"/>
          <w:b/>
          <w:color w:val="000000"/>
          <w:sz w:val="32"/>
          <w:szCs w:val="32"/>
          <w:lang w:val="en-US" w:eastAsia="zh-CN"/>
        </w:rPr>
        <w:t>推动公开与服务深度融合。</w:t>
      </w:r>
    </w:p>
    <w:p w14:paraId="2570B53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val="0"/>
          <w:bCs/>
          <w:i/>
          <w:iCs/>
          <w:color w:val="000000"/>
          <w:sz w:val="32"/>
          <w:szCs w:val="32"/>
          <w:lang w:eastAsia="zh-CN"/>
        </w:rPr>
      </w:pPr>
      <w:r>
        <w:rPr>
          <w:rFonts w:eastAsia="方正楷体简体"/>
          <w:b/>
          <w:color w:val="000000"/>
          <w:sz w:val="32"/>
          <w:szCs w:val="32"/>
        </w:rPr>
        <w:t>（五）监督保障</w:t>
      </w:r>
      <w:r>
        <w:rPr>
          <w:rFonts w:hint="eastAsia" w:eastAsia="方正楷体简体"/>
          <w:b/>
          <w:color w:val="000000"/>
          <w:sz w:val="32"/>
          <w:szCs w:val="32"/>
          <w:lang w:eastAsia="zh-CN"/>
        </w:rPr>
        <w:t>情况</w:t>
      </w:r>
    </w:p>
    <w:p w14:paraId="72B49DB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一是强化领导、科学部署。街道分管领导高度重视政务公开工作，先后召开多次工作会议，听取政务公开工作情况汇报，并对政务公开工作进行督促部署。</w:t>
      </w:r>
    </w:p>
    <w:p w14:paraId="40AA99B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二是问题销号、立行立改。对反馈问题认真对标对表，逐一整改。做到常态化发布信息，进一步增强公开实效，提升服务水平。</w:t>
      </w:r>
    </w:p>
    <w:p w14:paraId="1E71FF2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sz w:val="32"/>
          <w:szCs w:val="32"/>
        </w:rPr>
      </w:pPr>
      <w:r>
        <w:rPr>
          <w:rFonts w:hint="eastAsia" w:ascii="Times New Roman" w:hAnsi="Times New Roman" w:eastAsia="方正仿宋简体" w:cs="Times New Roman"/>
          <w:b/>
          <w:color w:val="000000"/>
          <w:sz w:val="32"/>
          <w:szCs w:val="32"/>
          <w:lang w:val="en-US" w:eastAsia="zh-CN"/>
        </w:rPr>
        <w:t>三是压实责任，强化保障。</w:t>
      </w:r>
      <w:r>
        <w:rPr>
          <w:rFonts w:hint="eastAsia" w:eastAsia="方正仿宋简体" w:cs="Times New Roman"/>
          <w:b/>
          <w:color w:val="000000"/>
          <w:sz w:val="32"/>
          <w:szCs w:val="32"/>
          <w:lang w:val="en-US" w:eastAsia="zh-CN"/>
        </w:rPr>
        <w:t>对</w:t>
      </w:r>
      <w:r>
        <w:rPr>
          <w:rFonts w:hint="eastAsia" w:ascii="Times New Roman" w:hAnsi="Times New Roman" w:eastAsia="方正仿宋简体" w:cs="Times New Roman"/>
          <w:b/>
          <w:color w:val="000000"/>
          <w:sz w:val="32"/>
          <w:szCs w:val="32"/>
          <w:lang w:val="en-US" w:eastAsia="zh-CN"/>
        </w:rPr>
        <w:t>政务公开工作建立监督评议制度，自觉主动接受</w:t>
      </w:r>
      <w:r>
        <w:rPr>
          <w:rFonts w:hint="eastAsia" w:eastAsia="方正仿宋简体" w:cs="Times New Roman"/>
          <w:b/>
          <w:color w:val="000000"/>
          <w:sz w:val="32"/>
          <w:szCs w:val="32"/>
          <w:lang w:val="en-US" w:eastAsia="zh-CN"/>
        </w:rPr>
        <w:t>业务审核</w:t>
      </w:r>
      <w:r>
        <w:rPr>
          <w:rFonts w:hint="eastAsia" w:ascii="Times New Roman" w:hAnsi="Times New Roman" w:eastAsia="方正仿宋简体" w:cs="Times New Roman"/>
          <w:b/>
          <w:color w:val="000000"/>
          <w:sz w:val="32"/>
          <w:szCs w:val="32"/>
          <w:lang w:val="en-US" w:eastAsia="zh-CN"/>
        </w:rPr>
        <w:t>和社会</w:t>
      </w:r>
      <w:r>
        <w:rPr>
          <w:rFonts w:hint="eastAsia" w:eastAsia="方正仿宋简体" w:cs="Times New Roman"/>
          <w:b/>
          <w:color w:val="000000"/>
          <w:sz w:val="32"/>
          <w:szCs w:val="32"/>
          <w:lang w:val="en-US" w:eastAsia="zh-CN"/>
        </w:rPr>
        <w:t>监督</w:t>
      </w:r>
      <w:r>
        <w:rPr>
          <w:rFonts w:hint="eastAsia" w:ascii="Times New Roman" w:hAnsi="Times New Roman" w:eastAsia="方正仿宋简体" w:cs="Times New Roman"/>
          <w:b/>
          <w:color w:val="000000"/>
          <w:sz w:val="32"/>
          <w:szCs w:val="32"/>
          <w:lang w:val="en-US" w:eastAsia="zh-CN"/>
        </w:rPr>
        <w:t>。</w:t>
      </w:r>
    </w:p>
    <w:p w14:paraId="1C5816C9">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val="0"/>
          <w:bCs/>
          <w:i/>
          <w:iCs/>
          <w:color w:val="000000"/>
          <w:sz w:val="32"/>
          <w:szCs w:val="32"/>
        </w:rPr>
      </w:pPr>
      <w:r>
        <w:rPr>
          <w:rFonts w:eastAsia="方正黑体简体"/>
          <w:b/>
          <w:color w:val="000000"/>
          <w:sz w:val="32"/>
          <w:szCs w:val="32"/>
        </w:rPr>
        <w:t>二、主动公开政府信息情况</w:t>
      </w:r>
    </w:p>
    <w:tbl>
      <w:tblPr>
        <w:tblStyle w:val="5"/>
        <w:tblW w:w="4999" w:type="pct"/>
        <w:tblInd w:w="0" w:type="dxa"/>
        <w:tblLayout w:type="autofit"/>
        <w:tblCellMar>
          <w:top w:w="0" w:type="dxa"/>
          <w:left w:w="108" w:type="dxa"/>
          <w:bottom w:w="0" w:type="dxa"/>
          <w:right w:w="108" w:type="dxa"/>
        </w:tblCellMar>
      </w:tblPr>
      <w:tblGrid>
        <w:gridCol w:w="2238"/>
        <w:gridCol w:w="2240"/>
        <w:gridCol w:w="2240"/>
        <w:gridCol w:w="2250"/>
      </w:tblGrid>
      <w:tr w14:paraId="429C1163">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07D57DC">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5E6398BC">
        <w:tblPrEx>
          <w:tblCellMar>
            <w:top w:w="0" w:type="dxa"/>
            <w:left w:w="108" w:type="dxa"/>
            <w:bottom w:w="0" w:type="dxa"/>
            <w:right w:w="108" w:type="dxa"/>
          </w:tblCellMar>
        </w:tblPrEx>
        <w:trPr>
          <w:trHeight w:val="567" w:hRule="atLeast"/>
        </w:trPr>
        <w:tc>
          <w:tcPr>
            <w:tcW w:w="1248" w:type="pct"/>
            <w:tcBorders>
              <w:top w:val="single" w:color="auto" w:sz="8" w:space="0"/>
              <w:left w:val="single" w:color="auto" w:sz="8" w:space="0"/>
              <w:bottom w:val="single" w:color="auto" w:sz="8" w:space="0"/>
              <w:right w:val="single" w:color="auto" w:sz="4" w:space="0"/>
            </w:tcBorders>
            <w:noWrap w:val="0"/>
            <w:vAlign w:val="center"/>
          </w:tcPr>
          <w:p w14:paraId="1531559E">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tcBorders>
              <w:top w:val="single" w:color="auto" w:sz="8" w:space="0"/>
              <w:left w:val="single" w:color="auto" w:sz="4" w:space="0"/>
              <w:bottom w:val="single" w:color="auto" w:sz="8" w:space="0"/>
              <w:right w:val="single" w:color="auto" w:sz="4" w:space="0"/>
            </w:tcBorders>
            <w:noWrap w:val="0"/>
            <w:vAlign w:val="center"/>
          </w:tcPr>
          <w:p w14:paraId="57D3163B">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tcBorders>
              <w:top w:val="single" w:color="auto" w:sz="8" w:space="0"/>
              <w:left w:val="single" w:color="auto" w:sz="4" w:space="0"/>
              <w:bottom w:val="single" w:color="auto" w:sz="8" w:space="0"/>
              <w:right w:val="single" w:color="auto" w:sz="4" w:space="0"/>
            </w:tcBorders>
            <w:noWrap w:val="0"/>
            <w:vAlign w:val="center"/>
          </w:tcPr>
          <w:p w14:paraId="4C60CA01">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tcBorders>
              <w:top w:val="single" w:color="auto" w:sz="8" w:space="0"/>
              <w:left w:val="single" w:color="auto" w:sz="4" w:space="0"/>
              <w:bottom w:val="single" w:color="auto" w:sz="8" w:space="0"/>
              <w:right w:val="single" w:color="auto" w:sz="8" w:space="0"/>
            </w:tcBorders>
            <w:noWrap w:val="0"/>
            <w:vAlign w:val="center"/>
          </w:tcPr>
          <w:p w14:paraId="0E07A93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14:paraId="1217C250">
        <w:tblPrEx>
          <w:tblCellMar>
            <w:top w:w="0" w:type="dxa"/>
            <w:left w:w="108" w:type="dxa"/>
            <w:bottom w:w="0" w:type="dxa"/>
            <w:right w:w="108" w:type="dxa"/>
          </w:tblCellMar>
        </w:tblPrEx>
        <w:trPr>
          <w:trHeight w:val="567" w:hRule="atLeast"/>
        </w:trPr>
        <w:tc>
          <w:tcPr>
            <w:tcW w:w="1248" w:type="pct"/>
            <w:tcBorders>
              <w:top w:val="single" w:color="auto" w:sz="8" w:space="0"/>
              <w:left w:val="single" w:color="auto" w:sz="8" w:space="0"/>
              <w:bottom w:val="single" w:color="auto" w:sz="8" w:space="0"/>
              <w:right w:val="single" w:color="auto" w:sz="8" w:space="0"/>
            </w:tcBorders>
            <w:noWrap w:val="0"/>
            <w:vAlign w:val="center"/>
          </w:tcPr>
          <w:p w14:paraId="762D0502">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tcBorders>
              <w:top w:val="single" w:color="auto" w:sz="8" w:space="0"/>
              <w:left w:val="nil"/>
              <w:bottom w:val="single" w:color="auto" w:sz="8" w:space="0"/>
              <w:right w:val="single" w:color="auto" w:sz="8" w:space="0"/>
            </w:tcBorders>
            <w:noWrap w:val="0"/>
            <w:vAlign w:val="center"/>
          </w:tcPr>
          <w:p w14:paraId="08E31582">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single" w:color="auto" w:sz="8" w:space="0"/>
              <w:left w:val="nil"/>
              <w:bottom w:val="single" w:color="auto" w:sz="8" w:space="0"/>
              <w:right w:val="single" w:color="auto" w:sz="8" w:space="0"/>
            </w:tcBorders>
            <w:noWrap w:val="0"/>
            <w:vAlign w:val="center"/>
          </w:tcPr>
          <w:p w14:paraId="5A9B64A8">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single" w:color="auto" w:sz="8" w:space="0"/>
              <w:left w:val="nil"/>
              <w:bottom w:val="single" w:color="auto" w:sz="8" w:space="0"/>
              <w:right w:val="single" w:color="auto" w:sz="8" w:space="0"/>
            </w:tcBorders>
            <w:noWrap w:val="0"/>
            <w:vAlign w:val="center"/>
          </w:tcPr>
          <w:p w14:paraId="4B227C44">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0EF7B381">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24F1086D">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14:paraId="13CB4803">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14:paraId="6D9B82EE">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14:paraId="7F6239D8">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14:paraId="630DBF4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587E024">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14:paraId="158BA805">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42B934BC">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2874714C">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0699F20A">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2DEE3994">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14:paraId="5EDD63DA">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14:paraId="73C5879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0BC5642">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14:paraId="521BB6C8">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0B201B1B">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6373E66C">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04F212B8">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13B203C7">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14:paraId="0F51C8C2">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r>
      <w:tr w14:paraId="2EF1EBF0">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4702E126">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14:paraId="03EC7083">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r>
      <w:tr w14:paraId="784F7E9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703BFEC">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14:paraId="74578BAB">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31A60771">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37A63821">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14:paraId="38E961E4">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493E0FC6">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14:paraId="79D75092">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bl>
    <w:p w14:paraId="02AE92FC">
      <w:pPr>
        <w:rPr>
          <w:rFonts w:eastAsia="方正黑体简体"/>
          <w:b/>
          <w:color w:val="000000"/>
          <w:sz w:val="32"/>
          <w:szCs w:val="32"/>
        </w:rPr>
      </w:pPr>
    </w:p>
    <w:p w14:paraId="76C11204">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eastAsia="方正黑体简体"/>
          <w:b w:val="0"/>
          <w:bCs/>
          <w:i/>
          <w:iCs/>
          <w:color w:val="000000"/>
          <w:sz w:val="32"/>
          <w:szCs w:val="32"/>
          <w:lang w:eastAsia="zh-CN"/>
        </w:rPr>
      </w:pPr>
      <w:r>
        <w:rPr>
          <w:rFonts w:eastAsia="方正黑体简体"/>
          <w:b/>
          <w:color w:val="000000"/>
          <w:sz w:val="32"/>
          <w:szCs w:val="32"/>
        </w:rPr>
        <w:t>三、收到和处理政府信息公开申请情况</w:t>
      </w:r>
    </w:p>
    <w:tbl>
      <w:tblPr>
        <w:tblStyle w:val="5"/>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4B81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72080F13">
            <w:pPr>
              <w:widowControl/>
              <w:jc w:val="center"/>
              <w:rPr>
                <w:rFonts w:ascii="Times New Roman" w:hAnsi="Times New Roman" w:eastAsia="楷体_GB2312"/>
                <w:color w:val="000000"/>
                <w:kern w:val="0"/>
                <w:szCs w:val="21"/>
              </w:rPr>
            </w:pPr>
            <w:r>
              <w:rPr>
                <w:rFonts w:hint="eastAsia" w:ascii="Times New Roman" w:hAnsi="Times New Roman" w:eastAsia="楷体_GB2312"/>
                <w:color w:val="000000"/>
                <w:kern w:val="0"/>
                <w:szCs w:val="21"/>
              </w:rPr>
              <w:t>（本列数据的勾稽关系为：第一项加第二项之和，</w:t>
            </w:r>
          </w:p>
          <w:p w14:paraId="7AC9D444">
            <w:pPr>
              <w:widowControl/>
              <w:jc w:val="center"/>
              <w:rPr>
                <w:rFonts w:ascii="Times New Roman" w:hAnsi="Times New Roman" w:eastAsia="仿宋_GB2312"/>
                <w:color w:val="000000"/>
                <w:szCs w:val="21"/>
              </w:rPr>
            </w:pPr>
            <w:r>
              <w:rPr>
                <w:rFonts w:hint="eastAsia" w:ascii="Times New Roman" w:hAnsi="Times New Roman" w:eastAsia="楷体_GB2312"/>
                <w:color w:val="000000"/>
                <w:kern w:val="0"/>
                <w:szCs w:val="21"/>
              </w:rPr>
              <w:t>等于第三项加第四项之和）</w:t>
            </w:r>
          </w:p>
        </w:tc>
        <w:tc>
          <w:tcPr>
            <w:tcW w:w="4820" w:type="dxa"/>
            <w:gridSpan w:val="7"/>
            <w:noWrap w:val="0"/>
            <w:tcMar>
              <w:left w:w="108" w:type="dxa"/>
              <w:right w:w="108" w:type="dxa"/>
            </w:tcMar>
            <w:vAlign w:val="center"/>
          </w:tcPr>
          <w:p w14:paraId="638070A5">
            <w:pPr>
              <w:widowControl/>
              <w:spacing w:line="320" w:lineRule="exact"/>
              <w:jc w:val="center"/>
              <w:rPr>
                <w:rFonts w:ascii="Times New Roman" w:hAnsi="Times New Roman" w:eastAsia="黑体"/>
                <w:color w:val="000000"/>
                <w:szCs w:val="21"/>
              </w:rPr>
            </w:pPr>
            <w:r>
              <w:rPr>
                <w:rFonts w:hint="eastAsia" w:ascii="Times New Roman" w:hAnsi="Times New Roman" w:eastAsia="黑体"/>
                <w:color w:val="000000"/>
                <w:kern w:val="0"/>
                <w:szCs w:val="21"/>
              </w:rPr>
              <w:t>申请人情况</w:t>
            </w:r>
          </w:p>
        </w:tc>
      </w:tr>
      <w:tr w14:paraId="4F949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46DB9950">
            <w:pPr>
              <w:jc w:val="center"/>
              <w:rPr>
                <w:rFonts w:ascii="Times New Roman" w:hAnsi="Times New Roman" w:eastAsia="仿宋_GB2312"/>
                <w:color w:val="000000"/>
                <w:szCs w:val="21"/>
              </w:rPr>
            </w:pPr>
          </w:p>
        </w:tc>
        <w:tc>
          <w:tcPr>
            <w:tcW w:w="829" w:type="dxa"/>
            <w:vMerge w:val="restart"/>
            <w:noWrap w:val="0"/>
            <w:tcMar>
              <w:left w:w="108" w:type="dxa"/>
              <w:right w:w="108" w:type="dxa"/>
            </w:tcMar>
            <w:vAlign w:val="center"/>
          </w:tcPr>
          <w:p w14:paraId="72B92A61">
            <w:pPr>
              <w:widowControl/>
              <w:jc w:val="center"/>
              <w:rPr>
                <w:rFonts w:ascii="Times New Roman" w:hAnsi="Times New Roman" w:eastAsia="黑体"/>
                <w:color w:val="000000"/>
                <w:szCs w:val="21"/>
              </w:rPr>
            </w:pPr>
            <w:r>
              <w:rPr>
                <w:rFonts w:hint="eastAsia" w:ascii="Times New Roman" w:hAnsi="Times New Roman" w:eastAsia="黑体"/>
                <w:color w:val="000000"/>
                <w:kern w:val="0"/>
                <w:szCs w:val="21"/>
              </w:rPr>
              <w:t>自然人</w:t>
            </w:r>
          </w:p>
        </w:tc>
        <w:tc>
          <w:tcPr>
            <w:tcW w:w="3140" w:type="dxa"/>
            <w:gridSpan w:val="5"/>
            <w:noWrap w:val="0"/>
            <w:tcMar>
              <w:left w:w="108" w:type="dxa"/>
              <w:right w:w="108" w:type="dxa"/>
            </w:tcMar>
            <w:vAlign w:val="center"/>
          </w:tcPr>
          <w:p w14:paraId="1869D1FC">
            <w:pPr>
              <w:widowControl/>
              <w:spacing w:line="320" w:lineRule="exact"/>
              <w:jc w:val="center"/>
              <w:rPr>
                <w:rFonts w:ascii="Times New Roman" w:hAnsi="Times New Roman" w:eastAsia="黑体"/>
                <w:color w:val="000000"/>
                <w:szCs w:val="21"/>
              </w:rPr>
            </w:pPr>
            <w:r>
              <w:rPr>
                <w:rFonts w:hint="eastAsia" w:ascii="Times New Roman" w:hAnsi="Times New Roman" w:eastAsia="黑体"/>
                <w:color w:val="000000"/>
                <w:kern w:val="0"/>
                <w:szCs w:val="21"/>
              </w:rPr>
              <w:t>法人或其他组织</w:t>
            </w:r>
          </w:p>
        </w:tc>
        <w:tc>
          <w:tcPr>
            <w:tcW w:w="851" w:type="dxa"/>
            <w:vMerge w:val="restart"/>
            <w:noWrap w:val="0"/>
            <w:tcMar>
              <w:left w:w="108" w:type="dxa"/>
              <w:right w:w="108" w:type="dxa"/>
            </w:tcMar>
            <w:vAlign w:val="center"/>
          </w:tcPr>
          <w:p w14:paraId="091387F6">
            <w:pPr>
              <w:widowControl/>
              <w:jc w:val="center"/>
              <w:rPr>
                <w:rFonts w:ascii="Times New Roman" w:hAnsi="Times New Roman" w:eastAsia="黑体"/>
                <w:color w:val="000000"/>
                <w:szCs w:val="21"/>
              </w:rPr>
            </w:pPr>
            <w:r>
              <w:rPr>
                <w:rFonts w:hint="eastAsia" w:ascii="Times New Roman" w:hAnsi="Times New Roman" w:eastAsia="黑体"/>
                <w:color w:val="000000"/>
                <w:kern w:val="0"/>
                <w:szCs w:val="21"/>
              </w:rPr>
              <w:t>总计</w:t>
            </w:r>
          </w:p>
        </w:tc>
      </w:tr>
      <w:tr w14:paraId="4BC31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7F25FE1A">
            <w:pPr>
              <w:jc w:val="center"/>
              <w:rPr>
                <w:rFonts w:ascii="Times New Roman" w:hAnsi="Times New Roman" w:eastAsia="仿宋_GB2312"/>
                <w:color w:val="000000"/>
                <w:szCs w:val="21"/>
              </w:rPr>
            </w:pPr>
          </w:p>
        </w:tc>
        <w:tc>
          <w:tcPr>
            <w:tcW w:w="829" w:type="dxa"/>
            <w:vMerge w:val="continue"/>
            <w:noWrap w:val="0"/>
            <w:tcMar>
              <w:left w:w="108" w:type="dxa"/>
              <w:right w:w="108" w:type="dxa"/>
            </w:tcMar>
            <w:vAlign w:val="center"/>
          </w:tcPr>
          <w:p w14:paraId="53ED62A3">
            <w:pPr>
              <w:jc w:val="center"/>
              <w:rPr>
                <w:rFonts w:ascii="Times New Roman" w:hAnsi="Times New Roman" w:eastAsia="黑体"/>
                <w:color w:val="000000"/>
                <w:szCs w:val="21"/>
              </w:rPr>
            </w:pPr>
          </w:p>
        </w:tc>
        <w:tc>
          <w:tcPr>
            <w:tcW w:w="567" w:type="dxa"/>
            <w:noWrap w:val="0"/>
            <w:tcMar>
              <w:left w:w="108" w:type="dxa"/>
              <w:right w:w="108" w:type="dxa"/>
            </w:tcMar>
            <w:vAlign w:val="center"/>
          </w:tcPr>
          <w:p w14:paraId="1A0A549C">
            <w:pPr>
              <w:widowControl/>
              <w:spacing w:line="320" w:lineRule="exact"/>
              <w:ind w:left="-106" w:leftChars="-51" w:right="-107" w:rightChars="-51" w:hanging="1"/>
              <w:jc w:val="center"/>
              <w:rPr>
                <w:rFonts w:ascii="Times New Roman" w:hAnsi="Times New Roman" w:eastAsia="黑体"/>
                <w:color w:val="000000"/>
                <w:szCs w:val="21"/>
              </w:rPr>
            </w:pPr>
            <w:r>
              <w:rPr>
                <w:rFonts w:hint="eastAsia" w:ascii="Times New Roman" w:hAnsi="Times New Roman" w:eastAsia="黑体"/>
                <w:color w:val="000000"/>
                <w:kern w:val="0"/>
                <w:szCs w:val="21"/>
              </w:rPr>
              <w:t>商业企业</w:t>
            </w:r>
          </w:p>
        </w:tc>
        <w:tc>
          <w:tcPr>
            <w:tcW w:w="567" w:type="dxa"/>
            <w:noWrap w:val="0"/>
            <w:tcMar>
              <w:left w:w="108" w:type="dxa"/>
              <w:right w:w="108" w:type="dxa"/>
            </w:tcMar>
            <w:vAlign w:val="center"/>
          </w:tcPr>
          <w:p w14:paraId="7EBF1D1E">
            <w:pPr>
              <w:widowControl/>
              <w:spacing w:line="320" w:lineRule="exact"/>
              <w:ind w:left="-107" w:leftChars="-51" w:right="-107" w:rightChars="-51"/>
              <w:jc w:val="center"/>
              <w:rPr>
                <w:rFonts w:ascii="Times New Roman" w:hAnsi="Times New Roman" w:eastAsia="黑体"/>
                <w:color w:val="000000"/>
                <w:szCs w:val="21"/>
              </w:rPr>
            </w:pPr>
            <w:r>
              <w:rPr>
                <w:rFonts w:hint="eastAsia" w:ascii="Times New Roman" w:hAnsi="Times New Roman" w:eastAsia="黑体"/>
                <w:color w:val="000000"/>
                <w:kern w:val="0"/>
                <w:szCs w:val="21"/>
              </w:rPr>
              <w:t>科研机构</w:t>
            </w:r>
          </w:p>
        </w:tc>
        <w:tc>
          <w:tcPr>
            <w:tcW w:w="731" w:type="dxa"/>
            <w:noWrap w:val="0"/>
            <w:tcMar>
              <w:left w:w="108" w:type="dxa"/>
              <w:right w:w="108" w:type="dxa"/>
            </w:tcMar>
            <w:vAlign w:val="center"/>
          </w:tcPr>
          <w:p w14:paraId="2C428C8D">
            <w:pPr>
              <w:widowControl/>
              <w:spacing w:line="320" w:lineRule="exact"/>
              <w:ind w:left="-107" w:leftChars="-51" w:right="-107" w:rightChars="-51"/>
              <w:jc w:val="center"/>
              <w:rPr>
                <w:rFonts w:ascii="Times New Roman" w:hAnsi="Times New Roman" w:eastAsia="黑体"/>
                <w:color w:val="000000"/>
                <w:szCs w:val="21"/>
              </w:rPr>
            </w:pPr>
            <w:r>
              <w:rPr>
                <w:rFonts w:hint="eastAsia" w:ascii="Times New Roman" w:hAnsi="Times New Roman" w:eastAsia="黑体"/>
                <w:color w:val="000000"/>
                <w:kern w:val="0"/>
                <w:szCs w:val="21"/>
              </w:rPr>
              <w:t>社会公益组织</w:t>
            </w:r>
          </w:p>
        </w:tc>
        <w:tc>
          <w:tcPr>
            <w:tcW w:w="708" w:type="dxa"/>
            <w:noWrap w:val="0"/>
            <w:tcMar>
              <w:left w:w="108" w:type="dxa"/>
              <w:right w:w="108" w:type="dxa"/>
            </w:tcMar>
            <w:vAlign w:val="center"/>
          </w:tcPr>
          <w:p w14:paraId="3BED5E59">
            <w:pPr>
              <w:widowControl/>
              <w:spacing w:line="320" w:lineRule="exact"/>
              <w:ind w:left="-106" w:leftChars="-51" w:right="-107" w:rightChars="-51" w:hanging="1"/>
              <w:jc w:val="center"/>
              <w:rPr>
                <w:rFonts w:ascii="Times New Roman" w:hAnsi="Times New Roman" w:eastAsia="黑体"/>
                <w:color w:val="000000"/>
                <w:szCs w:val="21"/>
              </w:rPr>
            </w:pPr>
            <w:r>
              <w:rPr>
                <w:rFonts w:hint="eastAsia" w:ascii="Times New Roman" w:hAnsi="Times New Roman" w:eastAsia="黑体"/>
                <w:color w:val="000000"/>
                <w:kern w:val="0"/>
                <w:szCs w:val="21"/>
              </w:rPr>
              <w:t>法律服务机构</w:t>
            </w:r>
          </w:p>
        </w:tc>
        <w:tc>
          <w:tcPr>
            <w:tcW w:w="567" w:type="dxa"/>
            <w:noWrap w:val="0"/>
            <w:tcMar>
              <w:left w:w="108" w:type="dxa"/>
              <w:right w:w="108" w:type="dxa"/>
            </w:tcMar>
            <w:vAlign w:val="center"/>
          </w:tcPr>
          <w:p w14:paraId="505427C7">
            <w:pPr>
              <w:widowControl/>
              <w:spacing w:line="360" w:lineRule="exact"/>
              <w:ind w:left="-63" w:leftChars="-30" w:right="-134" w:rightChars="-64"/>
              <w:jc w:val="center"/>
              <w:rPr>
                <w:rFonts w:ascii="Times New Roman" w:hAnsi="Times New Roman" w:eastAsia="黑体"/>
                <w:color w:val="000000"/>
                <w:szCs w:val="21"/>
              </w:rPr>
            </w:pPr>
            <w:r>
              <w:rPr>
                <w:rFonts w:hint="eastAsia" w:ascii="Times New Roman" w:hAnsi="Times New Roman" w:eastAsia="黑体"/>
                <w:color w:val="000000"/>
                <w:kern w:val="0"/>
                <w:szCs w:val="21"/>
              </w:rPr>
              <w:t>其他</w:t>
            </w:r>
          </w:p>
        </w:tc>
        <w:tc>
          <w:tcPr>
            <w:tcW w:w="851" w:type="dxa"/>
            <w:vMerge w:val="continue"/>
            <w:noWrap w:val="0"/>
            <w:tcMar>
              <w:left w:w="108" w:type="dxa"/>
              <w:right w:w="108" w:type="dxa"/>
            </w:tcMar>
            <w:vAlign w:val="center"/>
          </w:tcPr>
          <w:p w14:paraId="2A7BA1AC">
            <w:pPr>
              <w:jc w:val="center"/>
              <w:rPr>
                <w:rFonts w:ascii="Times New Roman" w:hAnsi="Times New Roman" w:eastAsia="仿宋_GB2312"/>
                <w:color w:val="000000"/>
                <w:szCs w:val="21"/>
              </w:rPr>
            </w:pPr>
          </w:p>
        </w:tc>
      </w:tr>
      <w:tr w14:paraId="35C73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38D95B7B">
            <w:pPr>
              <w:widowControl/>
              <w:rPr>
                <w:rFonts w:ascii="Times New Roman" w:hAnsi="Times New Roman" w:eastAsia="黑体"/>
                <w:color w:val="000000"/>
                <w:szCs w:val="21"/>
              </w:rPr>
            </w:pPr>
            <w:r>
              <w:rPr>
                <w:rFonts w:hint="eastAsia" w:ascii="Times New Roman" w:hAnsi="Times New Roman" w:eastAsia="黑体"/>
                <w:color w:val="000000"/>
                <w:kern w:val="0"/>
                <w:szCs w:val="21"/>
              </w:rPr>
              <w:t>一、本年新收政府信息公开申请数量</w:t>
            </w:r>
          </w:p>
        </w:tc>
        <w:tc>
          <w:tcPr>
            <w:tcW w:w="829" w:type="dxa"/>
            <w:noWrap w:val="0"/>
            <w:tcMar>
              <w:left w:w="108" w:type="dxa"/>
              <w:right w:w="108" w:type="dxa"/>
            </w:tcMar>
            <w:vAlign w:val="center"/>
          </w:tcPr>
          <w:p w14:paraId="1E07362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c>
          <w:tcPr>
            <w:tcW w:w="567" w:type="dxa"/>
            <w:noWrap w:val="0"/>
            <w:tcMar>
              <w:left w:w="108" w:type="dxa"/>
              <w:right w:w="108" w:type="dxa"/>
            </w:tcMar>
            <w:vAlign w:val="center"/>
          </w:tcPr>
          <w:p w14:paraId="03FF95F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98BA2B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13A78A1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5FFA21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5563DA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7B0F50B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r>
      <w:tr w14:paraId="75262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709FAE06">
            <w:pPr>
              <w:widowControl/>
              <w:rPr>
                <w:rFonts w:ascii="Times New Roman" w:hAnsi="Times New Roman" w:eastAsia="黑体"/>
                <w:color w:val="000000"/>
                <w:szCs w:val="21"/>
              </w:rPr>
            </w:pPr>
            <w:r>
              <w:rPr>
                <w:rFonts w:hint="eastAsia" w:ascii="Times New Roman" w:hAnsi="Times New Roman" w:eastAsia="黑体"/>
                <w:color w:val="000000"/>
                <w:kern w:val="0"/>
                <w:szCs w:val="21"/>
              </w:rPr>
              <w:t>二、上年结转政府信息公开申请数量</w:t>
            </w:r>
          </w:p>
        </w:tc>
        <w:tc>
          <w:tcPr>
            <w:tcW w:w="829" w:type="dxa"/>
            <w:noWrap w:val="0"/>
            <w:tcMar>
              <w:left w:w="108" w:type="dxa"/>
              <w:right w:w="108" w:type="dxa"/>
            </w:tcMar>
            <w:vAlign w:val="center"/>
          </w:tcPr>
          <w:p w14:paraId="6DA9680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3900F9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2D99AE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3B13E5E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567A74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0DD6F4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F81DBD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6E59A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6C1C82AD">
            <w:pPr>
              <w:widowControl/>
              <w:spacing w:after="180"/>
              <w:rPr>
                <w:rFonts w:ascii="Times New Roman" w:hAnsi="Times New Roman" w:eastAsia="黑体"/>
                <w:color w:val="000000"/>
                <w:szCs w:val="21"/>
              </w:rPr>
            </w:pPr>
            <w:r>
              <w:rPr>
                <w:rFonts w:hint="eastAsia" w:ascii="Times New Roman" w:hAnsi="Times New Roman" w:eastAsia="黑体"/>
                <w:color w:val="000000"/>
                <w:kern w:val="0"/>
                <w:szCs w:val="21"/>
              </w:rPr>
              <w:t>三、本年度办理结果</w:t>
            </w:r>
          </w:p>
        </w:tc>
        <w:tc>
          <w:tcPr>
            <w:tcW w:w="4677" w:type="dxa"/>
            <w:gridSpan w:val="2"/>
            <w:noWrap w:val="0"/>
            <w:tcMar>
              <w:left w:w="108" w:type="dxa"/>
              <w:right w:w="108" w:type="dxa"/>
            </w:tcMar>
            <w:vAlign w:val="center"/>
          </w:tcPr>
          <w:p w14:paraId="3DE5315A">
            <w:pPr>
              <w:widowControl/>
              <w:rPr>
                <w:rFonts w:ascii="Times New Roman" w:hAnsi="Times New Roman" w:eastAsia="黑体"/>
                <w:color w:val="000000"/>
                <w:szCs w:val="21"/>
              </w:rPr>
            </w:pPr>
            <w:r>
              <w:rPr>
                <w:rFonts w:hint="eastAsia" w:ascii="Times New Roman" w:hAnsi="Times New Roman" w:eastAsia="黑体"/>
                <w:color w:val="000000"/>
                <w:kern w:val="0"/>
                <w:szCs w:val="21"/>
              </w:rPr>
              <w:t>（一）予以公开</w:t>
            </w:r>
          </w:p>
        </w:tc>
        <w:tc>
          <w:tcPr>
            <w:tcW w:w="829" w:type="dxa"/>
            <w:noWrap w:val="0"/>
            <w:tcMar>
              <w:left w:w="108" w:type="dxa"/>
              <w:right w:w="108" w:type="dxa"/>
            </w:tcMar>
            <w:vAlign w:val="center"/>
          </w:tcPr>
          <w:p w14:paraId="13F1051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c>
          <w:tcPr>
            <w:tcW w:w="567" w:type="dxa"/>
            <w:noWrap w:val="0"/>
            <w:tcMar>
              <w:left w:w="108" w:type="dxa"/>
              <w:right w:w="108" w:type="dxa"/>
            </w:tcMar>
            <w:vAlign w:val="center"/>
          </w:tcPr>
          <w:p w14:paraId="10D5AF2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9DDB65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34AEA15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3AF365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6E1564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6492C1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r>
      <w:tr w14:paraId="6E46B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341386F8">
            <w:pPr>
              <w:rPr>
                <w:rFonts w:ascii="Times New Roman" w:hAnsi="Times New Roman" w:eastAsia="黑体"/>
                <w:color w:val="000000"/>
                <w:szCs w:val="21"/>
              </w:rPr>
            </w:pPr>
          </w:p>
        </w:tc>
        <w:tc>
          <w:tcPr>
            <w:tcW w:w="4677" w:type="dxa"/>
            <w:gridSpan w:val="2"/>
            <w:noWrap w:val="0"/>
            <w:tcMar>
              <w:left w:w="108" w:type="dxa"/>
              <w:right w:w="108" w:type="dxa"/>
            </w:tcMar>
            <w:vAlign w:val="center"/>
          </w:tcPr>
          <w:p w14:paraId="721071D1">
            <w:pPr>
              <w:widowControl/>
              <w:rPr>
                <w:rFonts w:ascii="Times New Roman" w:hAnsi="Times New Roman" w:eastAsia="黑体"/>
                <w:color w:val="000000"/>
                <w:szCs w:val="21"/>
              </w:rPr>
            </w:pPr>
            <w:r>
              <w:rPr>
                <w:rFonts w:hint="eastAsia" w:ascii="Times New Roman" w:hAnsi="Times New Roman" w:eastAsia="黑体"/>
                <w:color w:val="000000"/>
                <w:kern w:val="0"/>
                <w:szCs w:val="21"/>
              </w:rPr>
              <w:t>（二）部分公开（区分处理的，只计这一情形，不计其他情形）</w:t>
            </w:r>
          </w:p>
        </w:tc>
        <w:tc>
          <w:tcPr>
            <w:tcW w:w="829" w:type="dxa"/>
            <w:noWrap w:val="0"/>
            <w:tcMar>
              <w:left w:w="108" w:type="dxa"/>
              <w:right w:w="108" w:type="dxa"/>
            </w:tcMar>
            <w:vAlign w:val="center"/>
          </w:tcPr>
          <w:p w14:paraId="0B67597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24C598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F9D5D1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C43406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60A92B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2D0637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6D520A0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251B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48AC49B">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78598726">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（三）不予公开</w:t>
            </w:r>
          </w:p>
        </w:tc>
        <w:tc>
          <w:tcPr>
            <w:tcW w:w="2976" w:type="dxa"/>
            <w:noWrap w:val="0"/>
            <w:tcMar>
              <w:left w:w="108" w:type="dxa"/>
              <w:right w:w="108" w:type="dxa"/>
            </w:tcMar>
            <w:vAlign w:val="center"/>
          </w:tcPr>
          <w:p w14:paraId="1015270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1.属于国家秘密</w:t>
            </w:r>
          </w:p>
        </w:tc>
        <w:tc>
          <w:tcPr>
            <w:tcW w:w="829" w:type="dxa"/>
            <w:noWrap w:val="0"/>
            <w:tcMar>
              <w:left w:w="108" w:type="dxa"/>
              <w:right w:w="108" w:type="dxa"/>
            </w:tcMar>
            <w:vAlign w:val="center"/>
          </w:tcPr>
          <w:p w14:paraId="58E42BB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908001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C88AB5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0A362D8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6E81ABF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92378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5C084E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2869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2D97209">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33114A4A">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0462B31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2.其他法律行政法规禁止公开</w:t>
            </w:r>
          </w:p>
        </w:tc>
        <w:tc>
          <w:tcPr>
            <w:tcW w:w="829" w:type="dxa"/>
            <w:noWrap w:val="0"/>
            <w:tcMar>
              <w:left w:w="108" w:type="dxa"/>
              <w:right w:w="108" w:type="dxa"/>
            </w:tcMar>
            <w:vAlign w:val="center"/>
          </w:tcPr>
          <w:p w14:paraId="262947D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903CA4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A801A2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1D590E7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43DFDC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E42D2E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DD6964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75B20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B4BB953">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70FFEEAB">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18C65C38">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3.危及“三安全一稳定”</w:t>
            </w:r>
          </w:p>
        </w:tc>
        <w:tc>
          <w:tcPr>
            <w:tcW w:w="829" w:type="dxa"/>
            <w:noWrap w:val="0"/>
            <w:tcMar>
              <w:left w:w="108" w:type="dxa"/>
              <w:right w:w="108" w:type="dxa"/>
            </w:tcMar>
            <w:vAlign w:val="center"/>
          </w:tcPr>
          <w:p w14:paraId="0BD787F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295585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159BFA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0A9DA34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2FDFC40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444CBF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96448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4C0B5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9E7B362">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7069F77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4DC93F7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4.保护第三方合法权益</w:t>
            </w:r>
          </w:p>
        </w:tc>
        <w:tc>
          <w:tcPr>
            <w:tcW w:w="829" w:type="dxa"/>
            <w:noWrap w:val="0"/>
            <w:tcMar>
              <w:left w:w="108" w:type="dxa"/>
              <w:right w:w="108" w:type="dxa"/>
            </w:tcMar>
            <w:vAlign w:val="center"/>
          </w:tcPr>
          <w:p w14:paraId="4BDB97E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235DE9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2D2DD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0FE9CB0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9989C7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C72FFE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68C7B2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38B9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9CFC95C">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42E572C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15CD19F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5.属于三类内部事务信息</w:t>
            </w:r>
          </w:p>
        </w:tc>
        <w:tc>
          <w:tcPr>
            <w:tcW w:w="829" w:type="dxa"/>
            <w:noWrap w:val="0"/>
            <w:tcMar>
              <w:left w:w="108" w:type="dxa"/>
              <w:right w:w="108" w:type="dxa"/>
            </w:tcMar>
            <w:vAlign w:val="center"/>
          </w:tcPr>
          <w:p w14:paraId="2BBB03F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8D882C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1D4425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28E5E54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754EFD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B83F27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A07CB4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51EBC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37F1754">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69EA3081">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15D24BF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6.属于四类过程性信息</w:t>
            </w:r>
          </w:p>
        </w:tc>
        <w:tc>
          <w:tcPr>
            <w:tcW w:w="829" w:type="dxa"/>
            <w:noWrap w:val="0"/>
            <w:tcMar>
              <w:left w:w="108" w:type="dxa"/>
              <w:right w:w="108" w:type="dxa"/>
            </w:tcMar>
            <w:vAlign w:val="center"/>
          </w:tcPr>
          <w:p w14:paraId="141AC15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C6607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D4D73D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112E82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DFAA83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7C2197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297D05E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156A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17A1BDE">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4309420D">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1C72E2A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7.属于行政执法案卷</w:t>
            </w:r>
          </w:p>
        </w:tc>
        <w:tc>
          <w:tcPr>
            <w:tcW w:w="829" w:type="dxa"/>
            <w:noWrap w:val="0"/>
            <w:tcMar>
              <w:left w:w="108" w:type="dxa"/>
              <w:right w:w="108" w:type="dxa"/>
            </w:tcMar>
            <w:vAlign w:val="center"/>
          </w:tcPr>
          <w:p w14:paraId="3441A8F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2DC0E7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AB18B0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BD351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50C0FD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4FADC2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6343012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7454C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7D34131">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5D3A37A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36EF8C4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8.属于行政查询事项</w:t>
            </w:r>
          </w:p>
        </w:tc>
        <w:tc>
          <w:tcPr>
            <w:tcW w:w="829" w:type="dxa"/>
            <w:noWrap w:val="0"/>
            <w:tcMar>
              <w:left w:w="108" w:type="dxa"/>
              <w:right w:w="108" w:type="dxa"/>
            </w:tcMar>
            <w:vAlign w:val="center"/>
          </w:tcPr>
          <w:p w14:paraId="7A91890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C66C66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72B01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350E90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22F2D3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9D5AA4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7AB0C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50995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FEB4A2A">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2BEFCC36">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（四）无法提供</w:t>
            </w:r>
          </w:p>
        </w:tc>
        <w:tc>
          <w:tcPr>
            <w:tcW w:w="2976" w:type="dxa"/>
            <w:noWrap w:val="0"/>
            <w:tcMar>
              <w:left w:w="108" w:type="dxa"/>
              <w:right w:w="108" w:type="dxa"/>
            </w:tcMar>
            <w:vAlign w:val="center"/>
          </w:tcPr>
          <w:p w14:paraId="460D38F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1.本机关不掌握相关政府信息</w:t>
            </w:r>
          </w:p>
        </w:tc>
        <w:tc>
          <w:tcPr>
            <w:tcW w:w="829" w:type="dxa"/>
            <w:noWrap w:val="0"/>
            <w:tcMar>
              <w:left w:w="108" w:type="dxa"/>
              <w:right w:w="108" w:type="dxa"/>
            </w:tcMar>
            <w:vAlign w:val="center"/>
          </w:tcPr>
          <w:p w14:paraId="1908607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C3A908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2BA5F7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5CCB33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067D43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28593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2A7CB48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5698B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A02FD8E">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08E501A7">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02F4F36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2.没有现成信息需要另行制作</w:t>
            </w:r>
          </w:p>
        </w:tc>
        <w:tc>
          <w:tcPr>
            <w:tcW w:w="829" w:type="dxa"/>
            <w:noWrap w:val="0"/>
            <w:tcMar>
              <w:left w:w="108" w:type="dxa"/>
              <w:right w:w="108" w:type="dxa"/>
            </w:tcMar>
            <w:vAlign w:val="center"/>
          </w:tcPr>
          <w:p w14:paraId="216F64F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084F67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7012C8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6422805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6FB5F6C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21A53E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283222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901A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AA49653">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4B938B1A">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0298C9D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3.补正后申请内容仍不明确</w:t>
            </w:r>
          </w:p>
        </w:tc>
        <w:tc>
          <w:tcPr>
            <w:tcW w:w="829" w:type="dxa"/>
            <w:noWrap w:val="0"/>
            <w:tcMar>
              <w:left w:w="108" w:type="dxa"/>
              <w:right w:w="108" w:type="dxa"/>
            </w:tcMar>
            <w:vAlign w:val="center"/>
          </w:tcPr>
          <w:p w14:paraId="55E608C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95DFC2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394913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55D87B9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50CFCD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555BC5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02A693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60A97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5C93CF9">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79CF051F">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（五）不予处理</w:t>
            </w:r>
          </w:p>
        </w:tc>
        <w:tc>
          <w:tcPr>
            <w:tcW w:w="2976" w:type="dxa"/>
            <w:noWrap w:val="0"/>
            <w:tcMar>
              <w:left w:w="108" w:type="dxa"/>
              <w:right w:w="108" w:type="dxa"/>
            </w:tcMar>
            <w:vAlign w:val="center"/>
          </w:tcPr>
          <w:p w14:paraId="64F6FA1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1.信访举报投诉类申请</w:t>
            </w:r>
          </w:p>
        </w:tc>
        <w:tc>
          <w:tcPr>
            <w:tcW w:w="829" w:type="dxa"/>
            <w:noWrap w:val="0"/>
            <w:tcMar>
              <w:left w:w="108" w:type="dxa"/>
              <w:right w:w="108" w:type="dxa"/>
            </w:tcMar>
            <w:vAlign w:val="center"/>
          </w:tcPr>
          <w:p w14:paraId="2E93F4D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8607FB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FC4F0C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274B6FA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2780600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55A2F6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4D1E8F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73CF1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B0338EC">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78C6991D">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70D47BA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2.重复申请</w:t>
            </w:r>
          </w:p>
        </w:tc>
        <w:tc>
          <w:tcPr>
            <w:tcW w:w="829" w:type="dxa"/>
            <w:noWrap w:val="0"/>
            <w:tcMar>
              <w:left w:w="108" w:type="dxa"/>
              <w:right w:w="108" w:type="dxa"/>
            </w:tcMar>
            <w:vAlign w:val="center"/>
          </w:tcPr>
          <w:p w14:paraId="4D48051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883CB3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45F7CB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6BED081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FB4D53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B664C2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18BC58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70C4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789DB3A">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2C681260">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69214B4D">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3.要求提供公开出版物</w:t>
            </w:r>
          </w:p>
        </w:tc>
        <w:tc>
          <w:tcPr>
            <w:tcW w:w="829" w:type="dxa"/>
            <w:noWrap w:val="0"/>
            <w:tcMar>
              <w:left w:w="108" w:type="dxa"/>
              <w:right w:w="108" w:type="dxa"/>
            </w:tcMar>
            <w:vAlign w:val="center"/>
          </w:tcPr>
          <w:p w14:paraId="4835E67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0A436B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E2A6F0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6DE4FB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043C05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952F8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6B80CAA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8B89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14:paraId="6B0E18A1">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351F88CC">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6419313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4.无正当理由大量反复申请</w:t>
            </w:r>
          </w:p>
        </w:tc>
        <w:tc>
          <w:tcPr>
            <w:tcW w:w="829" w:type="dxa"/>
            <w:noWrap w:val="0"/>
            <w:tcMar>
              <w:left w:w="108" w:type="dxa"/>
              <w:right w:w="108" w:type="dxa"/>
            </w:tcMar>
            <w:vAlign w:val="center"/>
          </w:tcPr>
          <w:p w14:paraId="7F0CC18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8C6A91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9BE53E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CB36D2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CEF308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AED573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85D61E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01CC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14:paraId="442EC653">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518E9996">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3234791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5.要求行政机关确认或重新出具已获取信息</w:t>
            </w:r>
          </w:p>
        </w:tc>
        <w:tc>
          <w:tcPr>
            <w:tcW w:w="829" w:type="dxa"/>
            <w:noWrap w:val="0"/>
            <w:tcMar>
              <w:left w:w="108" w:type="dxa"/>
              <w:right w:w="108" w:type="dxa"/>
            </w:tcMar>
            <w:vAlign w:val="center"/>
          </w:tcPr>
          <w:p w14:paraId="0CB095B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A13936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FFCED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6BB2A7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24F8968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EC8A00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6C045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716F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00061C9B">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317E167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color w:val="000000"/>
                <w:kern w:val="0"/>
                <w:szCs w:val="21"/>
              </w:rPr>
            </w:pPr>
            <w:r>
              <w:rPr>
                <w:rFonts w:hint="eastAsia" w:ascii="Times New Roman" w:hAnsi="Times New Roman" w:eastAsia="黑体"/>
                <w:color w:val="000000"/>
                <w:kern w:val="0"/>
                <w:szCs w:val="21"/>
              </w:rPr>
              <w:t>（六）其他处理</w:t>
            </w:r>
          </w:p>
        </w:tc>
        <w:tc>
          <w:tcPr>
            <w:tcW w:w="2976" w:type="dxa"/>
            <w:noWrap w:val="0"/>
            <w:vAlign w:val="center"/>
          </w:tcPr>
          <w:p w14:paraId="0F01A9D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rPr>
            </w:pPr>
            <w:r>
              <w:rPr>
                <w:rFonts w:hint="eastAsia" w:ascii="Times New Roman" w:hAnsi="Times New Roman" w:eastAsia="仿宋_GB2312"/>
                <w:color w:val="000000"/>
              </w:rPr>
              <w:t>1.申请人无正当理由逾期不补正、行政机关不再处理其政府信息公开申请</w:t>
            </w:r>
          </w:p>
        </w:tc>
        <w:tc>
          <w:tcPr>
            <w:tcW w:w="829" w:type="dxa"/>
            <w:noWrap w:val="0"/>
            <w:tcMar>
              <w:left w:w="108" w:type="dxa"/>
              <w:right w:w="108" w:type="dxa"/>
            </w:tcMar>
            <w:vAlign w:val="center"/>
          </w:tcPr>
          <w:p w14:paraId="165AD6F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65593E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43B47E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07A0E4C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3EB4D95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50ADB4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789B816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13CE9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48017C69">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19AB9917">
            <w:pPr>
              <w:widowControl/>
              <w:spacing w:line="300" w:lineRule="exact"/>
              <w:rPr>
                <w:rFonts w:ascii="Times New Roman" w:hAnsi="Times New Roman" w:eastAsia="黑体"/>
                <w:color w:val="000000"/>
                <w:kern w:val="0"/>
                <w:szCs w:val="21"/>
              </w:rPr>
            </w:pPr>
          </w:p>
        </w:tc>
        <w:tc>
          <w:tcPr>
            <w:tcW w:w="2976" w:type="dxa"/>
            <w:noWrap w:val="0"/>
            <w:vAlign w:val="center"/>
          </w:tcPr>
          <w:p w14:paraId="23F204D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rPr>
              <w:t>2.申请人逾期未按收费通知要求缴纳费用、行政机关不再处理其政府信息公开申请</w:t>
            </w:r>
          </w:p>
        </w:tc>
        <w:tc>
          <w:tcPr>
            <w:tcW w:w="829" w:type="dxa"/>
            <w:noWrap w:val="0"/>
            <w:tcMar>
              <w:left w:w="108" w:type="dxa"/>
              <w:right w:w="108" w:type="dxa"/>
            </w:tcMar>
            <w:vAlign w:val="center"/>
          </w:tcPr>
          <w:p w14:paraId="729AF86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E72693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FD5A21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2ED426F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663487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72B9C0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215C30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5C344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72626473">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265A5F05">
            <w:pPr>
              <w:widowControl/>
              <w:spacing w:line="300" w:lineRule="exact"/>
              <w:rPr>
                <w:rFonts w:ascii="Times New Roman" w:hAnsi="Times New Roman" w:eastAsia="黑体"/>
                <w:color w:val="000000"/>
                <w:kern w:val="0"/>
                <w:szCs w:val="21"/>
              </w:rPr>
            </w:pPr>
          </w:p>
        </w:tc>
        <w:tc>
          <w:tcPr>
            <w:tcW w:w="2976" w:type="dxa"/>
            <w:noWrap w:val="0"/>
            <w:vAlign w:val="center"/>
          </w:tcPr>
          <w:p w14:paraId="39A7347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rPr>
              <w:t>3.其他</w:t>
            </w:r>
          </w:p>
        </w:tc>
        <w:tc>
          <w:tcPr>
            <w:tcW w:w="829" w:type="dxa"/>
            <w:noWrap w:val="0"/>
            <w:tcMar>
              <w:left w:w="108" w:type="dxa"/>
              <w:right w:w="108" w:type="dxa"/>
            </w:tcMar>
            <w:vAlign w:val="center"/>
          </w:tcPr>
          <w:p w14:paraId="06FD50F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D10BB0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117F89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8495D3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758CA86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E3CE1F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A920E8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1D04E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31A667FA">
            <w:pPr>
              <w:rPr>
                <w:rFonts w:ascii="Times New Roman" w:hAnsi="Times New Roman" w:eastAsia="黑体"/>
                <w:color w:val="000000"/>
                <w:szCs w:val="21"/>
              </w:rPr>
            </w:pPr>
          </w:p>
        </w:tc>
        <w:tc>
          <w:tcPr>
            <w:tcW w:w="4677" w:type="dxa"/>
            <w:gridSpan w:val="2"/>
            <w:noWrap w:val="0"/>
            <w:tcMar>
              <w:left w:w="108" w:type="dxa"/>
              <w:right w:w="108" w:type="dxa"/>
            </w:tcMar>
            <w:vAlign w:val="center"/>
          </w:tcPr>
          <w:p w14:paraId="5B480AAA">
            <w:pPr>
              <w:widowControl/>
              <w:spacing w:line="300" w:lineRule="exact"/>
              <w:rPr>
                <w:rFonts w:ascii="Times New Roman" w:hAnsi="Times New Roman" w:eastAsia="黑体"/>
                <w:color w:val="000000"/>
                <w:kern w:val="0"/>
                <w:szCs w:val="21"/>
              </w:rPr>
            </w:pPr>
            <w:r>
              <w:rPr>
                <w:rFonts w:hint="eastAsia" w:ascii="Times New Roman" w:hAnsi="Times New Roman" w:eastAsia="黑体"/>
                <w:color w:val="000000"/>
                <w:kern w:val="0"/>
                <w:szCs w:val="21"/>
              </w:rPr>
              <w:t>（七）总计</w:t>
            </w:r>
          </w:p>
        </w:tc>
        <w:tc>
          <w:tcPr>
            <w:tcW w:w="829" w:type="dxa"/>
            <w:noWrap w:val="0"/>
            <w:tcMar>
              <w:left w:w="108" w:type="dxa"/>
              <w:right w:w="108" w:type="dxa"/>
            </w:tcMar>
            <w:vAlign w:val="center"/>
          </w:tcPr>
          <w:p w14:paraId="5BFED9C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c>
          <w:tcPr>
            <w:tcW w:w="567" w:type="dxa"/>
            <w:noWrap w:val="0"/>
            <w:tcMar>
              <w:left w:w="108" w:type="dxa"/>
              <w:right w:w="108" w:type="dxa"/>
            </w:tcMar>
            <w:vAlign w:val="center"/>
          </w:tcPr>
          <w:p w14:paraId="7A16C9E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2899C4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0E9069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B868C0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620146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A93BE2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r>
      <w:tr w14:paraId="03738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726B229B">
            <w:pPr>
              <w:widowControl/>
              <w:spacing w:line="300" w:lineRule="exact"/>
              <w:rPr>
                <w:rFonts w:ascii="Times New Roman" w:hAnsi="Times New Roman" w:eastAsia="黑体"/>
                <w:color w:val="000000"/>
                <w:kern w:val="0"/>
                <w:szCs w:val="21"/>
              </w:rPr>
            </w:pPr>
            <w:r>
              <w:rPr>
                <w:rFonts w:hint="eastAsia" w:ascii="Times New Roman" w:hAnsi="Times New Roman" w:eastAsia="黑体"/>
                <w:color w:val="000000"/>
                <w:kern w:val="0"/>
                <w:szCs w:val="21"/>
              </w:rPr>
              <w:t>四、结转下年度继续办理</w:t>
            </w:r>
          </w:p>
        </w:tc>
        <w:tc>
          <w:tcPr>
            <w:tcW w:w="829" w:type="dxa"/>
            <w:noWrap w:val="0"/>
            <w:tcMar>
              <w:left w:w="108" w:type="dxa"/>
              <w:right w:w="108" w:type="dxa"/>
            </w:tcMar>
            <w:vAlign w:val="center"/>
          </w:tcPr>
          <w:p w14:paraId="3F04285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A7F8C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4178F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516EA33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0AF441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81D4B9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DF9705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bl>
    <w:p w14:paraId="533FD7EE">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黑体简体"/>
          <w:b/>
          <w:color w:val="000000"/>
          <w:sz w:val="32"/>
          <w:szCs w:val="32"/>
        </w:rPr>
      </w:pPr>
    </w:p>
    <w:p w14:paraId="10EACD44">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eastAsia="方正黑体简体" w:cs="Times New Roman"/>
          <w:b w:val="0"/>
          <w:bCs/>
          <w:i/>
          <w:iCs/>
          <w:color w:val="000000"/>
          <w:sz w:val="32"/>
          <w:szCs w:val="32"/>
          <w:lang w:eastAsia="zh-CN"/>
        </w:rPr>
      </w:pPr>
      <w:r>
        <w:rPr>
          <w:rFonts w:eastAsia="方正黑体简体"/>
          <w:b/>
          <w:color w:val="000000"/>
          <w:sz w:val="32"/>
          <w:szCs w:val="32"/>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46256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A4156B">
            <w:pPr>
              <w:widowControl/>
              <w:jc w:val="center"/>
              <w:rPr>
                <w:rFonts w:ascii="黑体" w:hAnsi="黑体" w:eastAsia="黑体"/>
                <w:color w:val="000000"/>
              </w:rPr>
            </w:pPr>
            <w:r>
              <w:rPr>
                <w:rFonts w:ascii="黑体" w:hAnsi="黑体" w:eastAsia="黑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67B676DE">
            <w:pPr>
              <w:widowControl/>
              <w:jc w:val="center"/>
              <w:rPr>
                <w:rFonts w:ascii="黑体" w:hAnsi="黑体" w:eastAsia="黑体"/>
                <w:color w:val="000000"/>
              </w:rPr>
            </w:pPr>
            <w:r>
              <w:rPr>
                <w:rFonts w:ascii="黑体" w:hAnsi="黑体" w:eastAsia="黑体"/>
                <w:color w:val="000000"/>
                <w:kern w:val="0"/>
                <w:sz w:val="20"/>
                <w:szCs w:val="20"/>
              </w:rPr>
              <w:t>行政诉讼</w:t>
            </w:r>
          </w:p>
        </w:tc>
      </w:tr>
      <w:tr w14:paraId="0B377C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EC36BAE">
            <w:pPr>
              <w:widowControl/>
              <w:ind w:left="-149" w:leftChars="-71" w:right="-170" w:rightChars="-81"/>
              <w:jc w:val="center"/>
              <w:rPr>
                <w:rFonts w:ascii="黑体" w:hAnsi="黑体" w:eastAsia="黑体"/>
                <w:color w:val="000000"/>
                <w:kern w:val="0"/>
                <w:sz w:val="20"/>
                <w:szCs w:val="20"/>
              </w:rPr>
            </w:pPr>
            <w:r>
              <w:rPr>
                <w:rFonts w:ascii="黑体" w:hAnsi="黑体" w:eastAsia="黑体"/>
                <w:color w:val="000000"/>
                <w:kern w:val="0"/>
                <w:sz w:val="20"/>
                <w:szCs w:val="20"/>
              </w:rPr>
              <w:t>结果</w:t>
            </w:r>
          </w:p>
          <w:p w14:paraId="3947C1BD">
            <w:pPr>
              <w:widowControl/>
              <w:ind w:left="-149" w:leftChars="-71" w:right="-170" w:rightChars="-81"/>
              <w:jc w:val="center"/>
              <w:rPr>
                <w:rFonts w:ascii="黑体" w:hAnsi="黑体" w:eastAsia="黑体"/>
                <w:color w:val="000000"/>
              </w:rPr>
            </w:pPr>
            <w:r>
              <w:rPr>
                <w:rFonts w:ascii="黑体" w:hAnsi="黑体" w:eastAsia="黑体"/>
                <w:color w:val="000000"/>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75D90C23">
            <w:pPr>
              <w:widowControl/>
              <w:ind w:left="-43" w:leftChars="-21" w:right="-132" w:rightChars="-63" w:hanging="1"/>
              <w:jc w:val="center"/>
              <w:rPr>
                <w:rFonts w:ascii="黑体" w:hAnsi="黑体" w:eastAsia="黑体"/>
                <w:color w:val="000000"/>
              </w:rPr>
            </w:pPr>
            <w:r>
              <w:rPr>
                <w:rFonts w:ascii="黑体" w:hAnsi="黑体" w:eastAsia="黑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5873A6F">
            <w:pPr>
              <w:widowControl/>
              <w:ind w:left="-82" w:leftChars="-39" w:right="-97" w:rightChars="-46"/>
              <w:jc w:val="center"/>
              <w:rPr>
                <w:rFonts w:ascii="黑体" w:hAnsi="黑体" w:eastAsia="黑体"/>
                <w:color w:val="000000"/>
              </w:rPr>
            </w:pPr>
            <w:r>
              <w:rPr>
                <w:rFonts w:ascii="黑体" w:hAnsi="黑体" w:eastAsia="黑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742CE0E">
            <w:pPr>
              <w:widowControl/>
              <w:ind w:left="-118" w:leftChars="-56" w:right="-118" w:rightChars="-56"/>
              <w:jc w:val="center"/>
              <w:rPr>
                <w:rFonts w:ascii="黑体" w:hAnsi="黑体" w:eastAsia="黑体"/>
                <w:color w:val="000000"/>
                <w:kern w:val="0"/>
                <w:sz w:val="20"/>
                <w:szCs w:val="20"/>
              </w:rPr>
            </w:pPr>
            <w:r>
              <w:rPr>
                <w:rFonts w:ascii="黑体" w:hAnsi="黑体" w:eastAsia="黑体"/>
                <w:color w:val="000000"/>
                <w:kern w:val="0"/>
                <w:sz w:val="20"/>
                <w:szCs w:val="20"/>
              </w:rPr>
              <w:t>尚未</w:t>
            </w:r>
          </w:p>
          <w:p w14:paraId="514E69DE">
            <w:pPr>
              <w:widowControl/>
              <w:ind w:left="-118" w:leftChars="-56" w:right="-118" w:rightChars="-56"/>
              <w:jc w:val="center"/>
              <w:rPr>
                <w:rFonts w:ascii="黑体" w:hAnsi="黑体" w:eastAsia="黑体"/>
                <w:color w:val="000000"/>
              </w:rPr>
            </w:pPr>
            <w:r>
              <w:rPr>
                <w:rFonts w:ascii="黑体" w:hAnsi="黑体" w:eastAsia="黑体"/>
                <w:color w:val="000000"/>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FFAAE08">
            <w:pPr>
              <w:widowControl/>
              <w:spacing w:line="320" w:lineRule="exact"/>
              <w:jc w:val="center"/>
              <w:rPr>
                <w:rFonts w:ascii="黑体" w:hAnsi="黑体" w:eastAsia="黑体"/>
                <w:color w:val="000000"/>
                <w:kern w:val="0"/>
                <w:sz w:val="20"/>
                <w:szCs w:val="20"/>
              </w:rPr>
            </w:pPr>
            <w:r>
              <w:rPr>
                <w:rFonts w:ascii="黑体" w:hAnsi="黑体" w:eastAsia="黑体"/>
                <w:color w:val="000000"/>
                <w:kern w:val="0"/>
                <w:sz w:val="20"/>
                <w:szCs w:val="20"/>
              </w:rPr>
              <w:t>总</w:t>
            </w:r>
          </w:p>
          <w:p w14:paraId="4D5AEA89">
            <w:pPr>
              <w:widowControl/>
              <w:spacing w:line="320" w:lineRule="exact"/>
              <w:jc w:val="center"/>
              <w:rPr>
                <w:rFonts w:ascii="黑体" w:hAnsi="黑体" w:eastAsia="黑体"/>
                <w:color w:val="000000"/>
              </w:rPr>
            </w:pPr>
            <w:r>
              <w:rPr>
                <w:rFonts w:ascii="黑体" w:hAnsi="黑体" w:eastAsia="黑体"/>
                <w:color w:val="000000"/>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681E485">
            <w:pPr>
              <w:widowControl/>
              <w:jc w:val="center"/>
              <w:rPr>
                <w:rFonts w:ascii="黑体" w:hAnsi="黑体" w:eastAsia="黑体"/>
                <w:color w:val="000000"/>
              </w:rPr>
            </w:pPr>
            <w:r>
              <w:rPr>
                <w:rFonts w:ascii="黑体" w:hAnsi="黑体" w:eastAsia="黑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07EC040">
            <w:pPr>
              <w:widowControl/>
              <w:jc w:val="center"/>
              <w:rPr>
                <w:rFonts w:ascii="黑体" w:hAnsi="黑体" w:eastAsia="黑体"/>
                <w:color w:val="000000"/>
              </w:rPr>
            </w:pPr>
            <w:bookmarkStart w:id="0" w:name="_Hlk67039688"/>
            <w:r>
              <w:rPr>
                <w:rFonts w:ascii="黑体" w:hAnsi="黑体" w:eastAsia="黑体"/>
                <w:color w:val="000000"/>
                <w:kern w:val="0"/>
                <w:sz w:val="20"/>
                <w:szCs w:val="20"/>
              </w:rPr>
              <w:t>复议后起诉</w:t>
            </w:r>
            <w:bookmarkEnd w:id="0"/>
          </w:p>
        </w:tc>
      </w:tr>
      <w:tr w14:paraId="2EBAB7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2FF3F58">
            <w:pPr>
              <w:rPr>
                <w:rFonts w:ascii="黑体" w:hAnsi="黑体" w:eastAsia="黑体"/>
                <w:color w:val="000000"/>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4CA568E0">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6086D3C">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9037777">
            <w:pPr>
              <w:rPr>
                <w:rFonts w:ascii="黑体" w:hAnsi="黑体" w:eastAsia="黑体"/>
                <w:color w:val="000000"/>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247079F">
            <w:pPr>
              <w:rPr>
                <w:rFonts w:ascii="黑体" w:hAnsi="黑体" w:eastAsia="黑体"/>
                <w:color w:val="000000"/>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C6330DA">
            <w:pPr>
              <w:widowControl/>
              <w:ind w:left="-105" w:leftChars="-50" w:right="-126" w:rightChars="-60"/>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B3C8AD2">
            <w:pPr>
              <w:widowControl/>
              <w:ind w:left="-86" w:leftChars="-41" w:right="-88" w:rightChars="-42"/>
              <w:jc w:val="center"/>
              <w:rPr>
                <w:rFonts w:ascii="黑体" w:hAnsi="黑体" w:eastAsia="黑体"/>
                <w:color w:val="000000"/>
              </w:rPr>
            </w:pPr>
            <w:r>
              <w:rPr>
                <w:rFonts w:ascii="黑体" w:hAnsi="黑体" w:eastAsia="黑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551CE3D">
            <w:pPr>
              <w:widowControl/>
              <w:ind w:left="-126" w:leftChars="-60" w:right="-136" w:rightChars="-65"/>
              <w:jc w:val="center"/>
              <w:rPr>
                <w:rFonts w:ascii="黑体" w:hAnsi="黑体" w:eastAsia="黑体"/>
                <w:color w:val="000000"/>
                <w:kern w:val="0"/>
                <w:sz w:val="20"/>
                <w:szCs w:val="20"/>
              </w:rPr>
            </w:pPr>
            <w:r>
              <w:rPr>
                <w:rFonts w:ascii="黑体" w:hAnsi="黑体" w:eastAsia="黑体"/>
                <w:color w:val="000000"/>
                <w:kern w:val="0"/>
                <w:sz w:val="20"/>
                <w:szCs w:val="20"/>
              </w:rPr>
              <w:t>其他</w:t>
            </w:r>
          </w:p>
          <w:p w14:paraId="6E7DAF91">
            <w:pPr>
              <w:widowControl/>
              <w:ind w:left="-126" w:leftChars="-60" w:right="-136" w:rightChars="-65"/>
              <w:jc w:val="center"/>
              <w:rPr>
                <w:rFonts w:ascii="黑体" w:hAnsi="黑体" w:eastAsia="黑体"/>
                <w:color w:val="000000"/>
              </w:rPr>
            </w:pPr>
            <w:r>
              <w:rPr>
                <w:rFonts w:ascii="黑体" w:hAnsi="黑体" w:eastAsia="黑体"/>
                <w:color w:val="000000"/>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ACCC5A5">
            <w:pPr>
              <w:widowControl/>
              <w:ind w:left="-164" w:leftChars="-78" w:right="-153" w:rightChars="-73"/>
              <w:jc w:val="center"/>
              <w:rPr>
                <w:rFonts w:ascii="黑体" w:hAnsi="黑体" w:eastAsia="黑体"/>
                <w:color w:val="000000"/>
                <w:kern w:val="0"/>
                <w:sz w:val="20"/>
                <w:szCs w:val="20"/>
              </w:rPr>
            </w:pPr>
            <w:r>
              <w:rPr>
                <w:rFonts w:ascii="黑体" w:hAnsi="黑体" w:eastAsia="黑体"/>
                <w:color w:val="000000"/>
                <w:kern w:val="0"/>
                <w:sz w:val="20"/>
                <w:szCs w:val="20"/>
              </w:rPr>
              <w:t>尚未</w:t>
            </w:r>
          </w:p>
          <w:p w14:paraId="02E75923">
            <w:pPr>
              <w:widowControl/>
              <w:ind w:left="-164" w:leftChars="-78" w:right="-153" w:rightChars="-73"/>
              <w:jc w:val="center"/>
              <w:rPr>
                <w:rFonts w:ascii="黑体" w:hAnsi="黑体" w:eastAsia="黑体"/>
                <w:color w:val="000000"/>
              </w:rPr>
            </w:pPr>
            <w:r>
              <w:rPr>
                <w:rFonts w:ascii="黑体" w:hAnsi="黑体" w:eastAsia="黑体"/>
                <w:color w:val="000000"/>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8CED311">
            <w:pPr>
              <w:widowControl/>
              <w:jc w:val="center"/>
              <w:rPr>
                <w:rFonts w:ascii="黑体" w:hAnsi="黑体" w:eastAsia="黑体"/>
                <w:color w:val="000000"/>
              </w:rPr>
            </w:pPr>
            <w:r>
              <w:rPr>
                <w:rFonts w:ascii="黑体" w:hAnsi="黑体" w:eastAsia="黑体"/>
                <w:color w:val="000000"/>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A96565A">
            <w:pPr>
              <w:widowControl/>
              <w:ind w:left="-99" w:leftChars="-47" w:right="-78" w:rightChars="-37"/>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E1EC423">
            <w:pPr>
              <w:widowControl/>
              <w:ind w:left="-136" w:leftChars="-65" w:right="-124" w:rightChars="-59"/>
              <w:jc w:val="center"/>
              <w:rPr>
                <w:rFonts w:ascii="黑体" w:hAnsi="黑体" w:eastAsia="黑体"/>
                <w:color w:val="000000"/>
                <w:kern w:val="0"/>
                <w:sz w:val="20"/>
                <w:szCs w:val="20"/>
              </w:rPr>
            </w:pPr>
            <w:r>
              <w:rPr>
                <w:rFonts w:ascii="黑体" w:hAnsi="黑体" w:eastAsia="黑体"/>
                <w:color w:val="000000"/>
                <w:kern w:val="0"/>
                <w:sz w:val="20"/>
                <w:szCs w:val="20"/>
              </w:rPr>
              <w:t>结果</w:t>
            </w:r>
          </w:p>
          <w:p w14:paraId="649102EB">
            <w:pPr>
              <w:widowControl/>
              <w:ind w:left="-136" w:leftChars="-65" w:right="-124" w:rightChars="-59"/>
              <w:jc w:val="center"/>
              <w:rPr>
                <w:rFonts w:ascii="黑体" w:hAnsi="黑体" w:eastAsia="黑体"/>
                <w:color w:val="000000"/>
              </w:rPr>
            </w:pPr>
            <w:r>
              <w:rPr>
                <w:rFonts w:ascii="黑体" w:hAnsi="黑体" w:eastAsia="黑体"/>
                <w:color w:val="00000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24C5719">
            <w:pPr>
              <w:widowControl/>
              <w:ind w:left="-173" w:leftChars="-83" w:right="-134" w:rightChars="-64" w:hanging="1"/>
              <w:jc w:val="center"/>
              <w:rPr>
                <w:rFonts w:ascii="黑体" w:hAnsi="黑体" w:eastAsia="黑体"/>
                <w:color w:val="000000"/>
                <w:kern w:val="0"/>
                <w:sz w:val="20"/>
                <w:szCs w:val="20"/>
              </w:rPr>
            </w:pPr>
            <w:r>
              <w:rPr>
                <w:rFonts w:ascii="黑体" w:hAnsi="黑体" w:eastAsia="黑体"/>
                <w:color w:val="000000"/>
                <w:kern w:val="0"/>
                <w:sz w:val="20"/>
                <w:szCs w:val="20"/>
              </w:rPr>
              <w:t>其他</w:t>
            </w:r>
          </w:p>
          <w:p w14:paraId="65BD6CEB">
            <w:pPr>
              <w:widowControl/>
              <w:ind w:left="-173" w:leftChars="-83" w:right="-134" w:rightChars="-64" w:hanging="1"/>
              <w:jc w:val="center"/>
              <w:rPr>
                <w:rFonts w:ascii="黑体" w:hAnsi="黑体" w:eastAsia="黑体"/>
                <w:color w:val="000000"/>
              </w:rPr>
            </w:pPr>
            <w:r>
              <w:rPr>
                <w:rFonts w:ascii="黑体" w:hAnsi="黑体" w:eastAsia="黑体"/>
                <w:color w:val="000000"/>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D64E093">
            <w:pPr>
              <w:widowControl/>
              <w:ind w:left="-67" w:leftChars="-33" w:right="-105" w:rightChars="-50" w:hanging="2" w:hangingChars="1"/>
              <w:jc w:val="center"/>
              <w:rPr>
                <w:rFonts w:ascii="黑体" w:hAnsi="黑体" w:eastAsia="黑体"/>
                <w:color w:val="000000"/>
              </w:rPr>
            </w:pPr>
            <w:r>
              <w:rPr>
                <w:rFonts w:ascii="黑体" w:hAnsi="黑体" w:eastAsia="黑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871EB83">
            <w:pPr>
              <w:widowControl/>
              <w:jc w:val="center"/>
              <w:rPr>
                <w:rFonts w:ascii="黑体" w:hAnsi="黑体" w:eastAsia="黑体"/>
                <w:color w:val="000000"/>
              </w:rPr>
            </w:pPr>
            <w:r>
              <w:rPr>
                <w:rFonts w:ascii="黑体" w:hAnsi="黑体" w:eastAsia="黑体"/>
                <w:color w:val="000000"/>
                <w:kern w:val="0"/>
                <w:sz w:val="20"/>
                <w:szCs w:val="20"/>
              </w:rPr>
              <w:t>总计</w:t>
            </w:r>
          </w:p>
        </w:tc>
      </w:tr>
      <w:tr w14:paraId="175B19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B66A5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98AB48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56D760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EEEFA2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81ABD2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A80697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B898EF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725239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1D8CF7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CAD5E3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16DAD8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4B992B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796F5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56D77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27342F1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r>
    </w:tbl>
    <w:p w14:paraId="32C7DA4A">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color w:val="000000"/>
          <w:sz w:val="32"/>
          <w:szCs w:val="32"/>
        </w:rPr>
      </w:pPr>
    </w:p>
    <w:p w14:paraId="0C0050A2">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color w:val="000000"/>
          <w:sz w:val="32"/>
          <w:szCs w:val="32"/>
        </w:rPr>
      </w:pPr>
      <w:r>
        <w:rPr>
          <w:rFonts w:eastAsia="方正黑体简体"/>
          <w:b/>
          <w:color w:val="000000"/>
          <w:sz w:val="32"/>
          <w:szCs w:val="32"/>
        </w:rPr>
        <w:t>五、存在的主要问题及改进情况</w:t>
      </w:r>
    </w:p>
    <w:p w14:paraId="08FCB6F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highlight w:val="yellow"/>
          <w:lang w:val="en-US" w:eastAsia="zh-CN"/>
        </w:rPr>
      </w:pPr>
      <w:r>
        <w:rPr>
          <w:rFonts w:hint="eastAsia" w:ascii="Times New Roman" w:hAnsi="Times New Roman" w:eastAsia="方正楷体简体" w:cs="Times New Roman"/>
          <w:b/>
          <w:color w:val="000000"/>
          <w:sz w:val="32"/>
          <w:szCs w:val="32"/>
          <w:lang w:val="en-US" w:eastAsia="zh-CN"/>
        </w:rPr>
        <w:t>存在问题：</w:t>
      </w:r>
      <w:r>
        <w:rPr>
          <w:rFonts w:hint="eastAsia" w:ascii="Times New Roman" w:hAnsi="Times New Roman" w:eastAsia="方正仿宋简体" w:cs="Times New Roman"/>
          <w:b/>
          <w:color w:val="000000"/>
          <w:sz w:val="32"/>
          <w:szCs w:val="32"/>
          <w:highlight w:val="none"/>
          <w:lang w:val="en-US" w:eastAsia="zh-CN"/>
        </w:rPr>
        <w:t>202</w:t>
      </w:r>
      <w:r>
        <w:rPr>
          <w:rFonts w:hint="eastAsia" w:eastAsia="方正仿宋简体" w:cs="Times New Roman"/>
          <w:b/>
          <w:color w:val="000000"/>
          <w:sz w:val="32"/>
          <w:szCs w:val="32"/>
          <w:highlight w:val="none"/>
          <w:lang w:val="en-US" w:eastAsia="zh-CN"/>
        </w:rPr>
        <w:t>4</w:t>
      </w:r>
      <w:r>
        <w:rPr>
          <w:rFonts w:hint="eastAsia" w:ascii="Times New Roman" w:hAnsi="Times New Roman" w:eastAsia="方正仿宋简体" w:cs="Times New Roman"/>
          <w:b/>
          <w:color w:val="000000"/>
          <w:sz w:val="32"/>
          <w:szCs w:val="32"/>
          <w:highlight w:val="none"/>
          <w:lang w:val="en-US" w:eastAsia="zh-CN"/>
        </w:rPr>
        <w:t>年，街道积极落实</w:t>
      </w:r>
      <w:r>
        <w:rPr>
          <w:rFonts w:hint="eastAsia" w:eastAsia="方正仿宋简体" w:cs="Times New Roman"/>
          <w:b/>
          <w:color w:val="000000"/>
          <w:sz w:val="32"/>
          <w:szCs w:val="32"/>
          <w:highlight w:val="none"/>
          <w:lang w:val="en-US" w:eastAsia="zh-CN"/>
        </w:rPr>
        <w:t>区委、区政府关于</w:t>
      </w:r>
      <w:r>
        <w:rPr>
          <w:rFonts w:hint="eastAsia" w:ascii="Times New Roman" w:hAnsi="Times New Roman" w:eastAsia="方正仿宋简体" w:cs="Times New Roman"/>
          <w:b/>
          <w:color w:val="000000"/>
          <w:sz w:val="32"/>
          <w:szCs w:val="32"/>
          <w:highlight w:val="none"/>
          <w:lang w:val="en-US" w:eastAsia="zh-CN"/>
        </w:rPr>
        <w:t>政务公开</w:t>
      </w:r>
      <w:r>
        <w:rPr>
          <w:rFonts w:hint="eastAsia" w:eastAsia="方正仿宋简体" w:cs="Times New Roman"/>
          <w:b/>
          <w:color w:val="000000"/>
          <w:sz w:val="32"/>
          <w:szCs w:val="32"/>
          <w:highlight w:val="none"/>
          <w:lang w:val="en-US" w:eastAsia="zh-CN"/>
        </w:rPr>
        <w:t>决策</w:t>
      </w:r>
      <w:r>
        <w:rPr>
          <w:rFonts w:hint="eastAsia" w:ascii="Times New Roman" w:hAnsi="Times New Roman" w:eastAsia="方正仿宋简体" w:cs="Times New Roman"/>
          <w:b/>
          <w:color w:val="000000"/>
          <w:sz w:val="32"/>
          <w:szCs w:val="32"/>
          <w:highlight w:val="none"/>
          <w:lang w:val="en-US" w:eastAsia="zh-CN"/>
        </w:rPr>
        <w:t>部署，不断完善机制，强化措施，优化平台，狠抓落实，虽然取得了一定的成效，但还存在不足之处，一是政府信息公开的内容不尽全面</w:t>
      </w:r>
      <w:bookmarkStart w:id="1" w:name="_GoBack"/>
      <w:bookmarkEnd w:id="1"/>
      <w:r>
        <w:rPr>
          <w:rFonts w:hint="eastAsia" w:ascii="Times New Roman" w:hAnsi="Times New Roman" w:eastAsia="方正仿宋简体" w:cs="Times New Roman"/>
          <w:b/>
          <w:color w:val="000000"/>
          <w:sz w:val="32"/>
          <w:szCs w:val="32"/>
          <w:highlight w:val="none"/>
          <w:lang w:val="en-US" w:eastAsia="zh-CN"/>
        </w:rPr>
        <w:t>；二是公开形式不够多样。虽然积极探索创新公开形式，但受到技术和资源等方面的限制，公开形式仍需进一步丰富和完善；三是政务公开队伍建设</w:t>
      </w:r>
      <w:r>
        <w:rPr>
          <w:rFonts w:hint="eastAsia" w:eastAsia="方正仿宋简体" w:cs="Times New Roman"/>
          <w:b/>
          <w:color w:val="000000"/>
          <w:sz w:val="32"/>
          <w:szCs w:val="32"/>
          <w:highlight w:val="none"/>
          <w:lang w:val="en-US" w:eastAsia="zh-CN"/>
        </w:rPr>
        <w:t>不够优</w:t>
      </w:r>
      <w:r>
        <w:rPr>
          <w:rFonts w:hint="eastAsia" w:ascii="Times New Roman" w:hAnsi="Times New Roman" w:eastAsia="方正仿宋简体" w:cs="Times New Roman"/>
          <w:b/>
          <w:color w:val="000000"/>
          <w:sz w:val="32"/>
          <w:szCs w:val="32"/>
          <w:highlight w:val="none"/>
          <w:lang w:val="en-US" w:eastAsia="zh-CN"/>
        </w:rPr>
        <w:t>，</w:t>
      </w:r>
      <w:r>
        <w:rPr>
          <w:rFonts w:hint="eastAsia" w:eastAsia="方正仿宋简体" w:cs="Times New Roman"/>
          <w:b/>
          <w:color w:val="000000"/>
          <w:sz w:val="32"/>
          <w:szCs w:val="32"/>
          <w:highlight w:val="none"/>
          <w:lang w:val="en-US" w:eastAsia="zh-CN"/>
        </w:rPr>
        <w:t>业务</w:t>
      </w:r>
      <w:r>
        <w:rPr>
          <w:rFonts w:hint="eastAsia" w:ascii="Times New Roman" w:hAnsi="Times New Roman" w:eastAsia="方正仿宋简体" w:cs="Times New Roman"/>
          <w:b/>
          <w:color w:val="000000"/>
          <w:sz w:val="32"/>
          <w:szCs w:val="32"/>
          <w:highlight w:val="none"/>
          <w:lang w:val="en-US" w:eastAsia="zh-CN"/>
        </w:rPr>
        <w:t>人员缺乏系统、专业的培训和学习</w:t>
      </w:r>
      <w:r>
        <w:rPr>
          <w:rFonts w:hint="eastAsia" w:eastAsia="方正仿宋简体" w:cs="Times New Roman"/>
          <w:b/>
          <w:color w:val="000000"/>
          <w:sz w:val="32"/>
          <w:szCs w:val="32"/>
          <w:highlight w:val="none"/>
          <w:lang w:val="en-US" w:eastAsia="zh-CN"/>
        </w:rPr>
        <w:t>，</w:t>
      </w:r>
      <w:r>
        <w:rPr>
          <w:rFonts w:hint="eastAsia" w:ascii="Times New Roman" w:hAnsi="Times New Roman" w:eastAsia="方正仿宋简体" w:cs="Times New Roman"/>
          <w:b/>
          <w:color w:val="000000"/>
          <w:sz w:val="32"/>
          <w:szCs w:val="32"/>
          <w:highlight w:val="none"/>
          <w:lang w:val="en-US" w:eastAsia="zh-CN"/>
        </w:rPr>
        <w:t>业务能力和水平有待提升</w:t>
      </w:r>
      <w:r>
        <w:rPr>
          <w:rFonts w:hint="eastAsia" w:eastAsia="方正仿宋简体" w:cs="Times New Roman"/>
          <w:b/>
          <w:color w:val="000000"/>
          <w:sz w:val="32"/>
          <w:szCs w:val="32"/>
          <w:highlight w:val="none"/>
          <w:lang w:val="en-US" w:eastAsia="zh-CN"/>
        </w:rPr>
        <w:t>。</w:t>
      </w:r>
    </w:p>
    <w:p w14:paraId="6F4BE12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color w:val="000000"/>
          <w:sz w:val="32"/>
          <w:szCs w:val="32"/>
          <w:highlight w:val="yellow"/>
          <w:lang w:val="en-US" w:eastAsia="zh-CN"/>
        </w:rPr>
      </w:pPr>
      <w:r>
        <w:rPr>
          <w:rFonts w:hint="eastAsia" w:ascii="Times New Roman" w:hAnsi="Times New Roman" w:eastAsia="方正楷体简体" w:cs="Times New Roman"/>
          <w:b/>
          <w:color w:val="000000"/>
          <w:sz w:val="32"/>
          <w:szCs w:val="32"/>
          <w:highlight w:val="none"/>
          <w:lang w:val="en-US" w:eastAsia="zh-CN"/>
        </w:rPr>
        <w:t>2025年，将从以下几个方面重点改进：</w:t>
      </w:r>
    </w:p>
    <w:p w14:paraId="287392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highlight w:val="none"/>
          <w:lang w:val="en-US" w:eastAsia="zh-CN"/>
        </w:rPr>
      </w:pPr>
      <w:r>
        <w:rPr>
          <w:rFonts w:hint="eastAsia" w:ascii="Times New Roman" w:hAnsi="Times New Roman" w:eastAsia="方正仿宋简体" w:cs="Times New Roman"/>
          <w:b/>
          <w:color w:val="000000"/>
          <w:kern w:val="2"/>
          <w:sz w:val="32"/>
          <w:szCs w:val="32"/>
          <w:lang w:val="en-US" w:eastAsia="zh-CN" w:bidi="ar-SA"/>
        </w:rPr>
        <w:t>一、</w:t>
      </w:r>
      <w:r>
        <w:rPr>
          <w:rFonts w:hint="eastAsia" w:ascii="Times New Roman" w:hAnsi="Times New Roman" w:eastAsia="方正仿宋简体" w:cs="Times New Roman"/>
          <w:b/>
          <w:color w:val="000000"/>
          <w:sz w:val="32"/>
          <w:szCs w:val="32"/>
          <w:highlight w:val="none"/>
          <w:lang w:val="en-US" w:eastAsia="zh-CN"/>
        </w:rPr>
        <w:t>完善工作机制</w:t>
      </w:r>
      <w:r>
        <w:rPr>
          <w:rFonts w:hint="eastAsia" w:eastAsia="方正仿宋简体" w:cs="Times New Roman"/>
          <w:b/>
          <w:color w:val="000000"/>
          <w:sz w:val="32"/>
          <w:szCs w:val="32"/>
          <w:highlight w:val="none"/>
          <w:lang w:val="en-US" w:eastAsia="zh-CN"/>
        </w:rPr>
        <w:t>。</w:t>
      </w:r>
      <w:r>
        <w:rPr>
          <w:rFonts w:hint="eastAsia" w:ascii="Times New Roman" w:hAnsi="Times New Roman" w:eastAsia="方正仿宋简体" w:cs="Times New Roman"/>
          <w:b/>
          <w:color w:val="000000"/>
          <w:sz w:val="32"/>
          <w:szCs w:val="32"/>
          <w:highlight w:val="none"/>
          <w:lang w:val="en-US" w:eastAsia="zh-CN"/>
        </w:rPr>
        <w:t>不断细化政务公开责任分工、加强政务公开平台建设，确保政府门户网站信息及时准确更新。</w:t>
      </w:r>
    </w:p>
    <w:p w14:paraId="3A88F1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t>二、</w:t>
      </w:r>
      <w:r>
        <w:rPr>
          <w:rFonts w:hint="eastAsia" w:ascii="Times New Roman" w:hAnsi="Times New Roman" w:eastAsia="方正仿宋简体" w:cs="Times New Roman"/>
          <w:b/>
          <w:color w:val="000000"/>
          <w:sz w:val="32"/>
          <w:szCs w:val="32"/>
          <w:highlight w:val="none"/>
          <w:lang w:val="en-US" w:eastAsia="zh-CN"/>
        </w:rPr>
        <w:t>加强培训学习</w:t>
      </w:r>
      <w:r>
        <w:rPr>
          <w:rFonts w:hint="eastAsia" w:eastAsia="方正仿宋简体" w:cs="Times New Roman"/>
          <w:b/>
          <w:color w:val="000000"/>
          <w:sz w:val="32"/>
          <w:szCs w:val="32"/>
          <w:highlight w:val="none"/>
          <w:lang w:val="en-US" w:eastAsia="zh-CN"/>
        </w:rPr>
        <w:t>。加强科室负责人和科室业务人员的公开意识和业务知识培训，积极从内部对政府信息公开工作的宣传引导，进一步提高认识、转变观念，增强推进政务公开工作的自觉性和责任感。</w:t>
      </w:r>
    </w:p>
    <w:p w14:paraId="5310A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t>三、</w:t>
      </w:r>
      <w:r>
        <w:rPr>
          <w:rFonts w:hint="eastAsia" w:ascii="Times New Roman" w:hAnsi="Times New Roman" w:eastAsia="方正仿宋简体" w:cs="Times New Roman"/>
          <w:b/>
          <w:color w:val="000000"/>
          <w:sz w:val="32"/>
          <w:szCs w:val="32"/>
          <w:highlight w:val="none"/>
          <w:lang w:val="en-US" w:eastAsia="zh-CN"/>
        </w:rPr>
        <w:t>规范信息发布</w:t>
      </w:r>
      <w:r>
        <w:rPr>
          <w:rFonts w:hint="eastAsia" w:eastAsia="方正仿宋简体" w:cs="Times New Roman"/>
          <w:b/>
          <w:color w:val="000000"/>
          <w:sz w:val="32"/>
          <w:szCs w:val="32"/>
          <w:highlight w:val="none"/>
          <w:lang w:val="en-US" w:eastAsia="zh-CN"/>
        </w:rPr>
        <w:t>。全面梳理细化相关领域政务公开事项，优化细化《政务公开任务分解》，明确工作任务、业务部门、具体要求，重点指导督促落实。</w:t>
      </w:r>
    </w:p>
    <w:p w14:paraId="43B1AF8A">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hint="eastAsia" w:ascii="Times New Roman" w:hAnsi="Times New Roman" w:eastAsia="方正仿宋简体" w:cs="Times New Roman"/>
          <w:b w:val="0"/>
          <w:bCs w:val="0"/>
          <w:i/>
          <w:iCs/>
          <w:color w:val="000000"/>
          <w:sz w:val="32"/>
          <w:szCs w:val="32"/>
          <w:lang w:val="en-US" w:eastAsia="zh-CN"/>
        </w:rPr>
      </w:pPr>
      <w:r>
        <w:rPr>
          <w:rFonts w:eastAsia="方正黑体简体"/>
          <w:b/>
          <w:color w:val="000000"/>
          <w:sz w:val="32"/>
          <w:szCs w:val="32"/>
        </w:rPr>
        <w:t>六、其他需要报告的事项</w:t>
      </w:r>
    </w:p>
    <w:p w14:paraId="7F91E3D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14:paraId="6AAEFC1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hint="eastAsia" w:ascii="Times New Roman" w:hAnsi="Times New Roman" w:eastAsia="方正仿宋简体" w:cs="Times New Roman"/>
          <w:b/>
          <w:color w:val="000000"/>
          <w:sz w:val="32"/>
          <w:szCs w:val="32"/>
          <w:lang w:val="en-US" w:eastAsia="zh-CN"/>
        </w:rPr>
        <w:t>本年度兴隆庄街道无收取信息处理费的情况。</w:t>
      </w:r>
    </w:p>
    <w:p w14:paraId="00F5594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14:paraId="404E46F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兴隆庄街道认真贯彻落实区政府有关政府信息公开工作</w:t>
      </w:r>
      <w:r>
        <w:rPr>
          <w:rFonts w:hint="eastAsia" w:eastAsia="方正仿宋简体" w:cs="Times New Roman"/>
          <w:b/>
          <w:color w:val="000000"/>
          <w:sz w:val="32"/>
          <w:szCs w:val="32"/>
          <w:lang w:val="en-US" w:eastAsia="zh-CN"/>
        </w:rPr>
        <w:t>的决策</w:t>
      </w:r>
      <w:r>
        <w:rPr>
          <w:rFonts w:hint="eastAsia" w:ascii="Times New Roman" w:hAnsi="Times New Roman" w:eastAsia="方正仿宋简体" w:cs="Times New Roman"/>
          <w:b/>
          <w:color w:val="000000"/>
          <w:sz w:val="32"/>
          <w:szCs w:val="32"/>
          <w:lang w:val="en-US" w:eastAsia="zh-CN"/>
        </w:rPr>
        <w:t>部署，</w:t>
      </w:r>
      <w:r>
        <w:rPr>
          <w:rFonts w:hint="eastAsia" w:eastAsia="方正仿宋简体" w:cs="Times New Roman"/>
          <w:b/>
          <w:color w:val="000000"/>
          <w:sz w:val="32"/>
          <w:szCs w:val="32"/>
          <w:lang w:val="en-US" w:eastAsia="zh-CN"/>
        </w:rPr>
        <w:t>结合政府机构改革和职能优化，做好机构职能信息的调整和公开工作；对依申请公开事项加强会商，通过强化温情服务，主动跨前与申请人沟通，解决申请人合理诉求的2件。加强对已公开政策的信息管理，根据立改废情况动态更新，确保了政府信息公开的准确性。</w:t>
      </w:r>
    </w:p>
    <w:p w14:paraId="5BEC808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14:paraId="61B32A4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lang w:val="en-US" w:eastAsia="zh-CN"/>
        </w:rPr>
        <w:t>年，兖州区兴隆庄街道共承办</w:t>
      </w:r>
      <w:r>
        <w:rPr>
          <w:rFonts w:hint="eastAsia" w:eastAsia="方正仿宋简体" w:cs="Times New Roman"/>
          <w:b/>
          <w:color w:val="000000"/>
          <w:sz w:val="32"/>
          <w:szCs w:val="32"/>
          <w:lang w:val="en-US" w:eastAsia="zh-CN"/>
        </w:rPr>
        <w:t>市</w:t>
      </w:r>
      <w:r>
        <w:rPr>
          <w:rFonts w:hint="eastAsia" w:ascii="Times New Roman" w:hAnsi="Times New Roman" w:eastAsia="方正仿宋简体" w:cs="Times New Roman"/>
          <w:b/>
          <w:color w:val="000000"/>
          <w:sz w:val="32"/>
          <w:szCs w:val="32"/>
          <w:lang w:val="en-US" w:eastAsia="zh-CN"/>
        </w:rPr>
        <w:t>级人大建议</w:t>
      </w:r>
      <w:r>
        <w:rPr>
          <w:rFonts w:hint="eastAsia" w:eastAsia="方正仿宋简体" w:cs="Times New Roman"/>
          <w:b/>
          <w:color w:val="000000"/>
          <w:sz w:val="32"/>
          <w:szCs w:val="32"/>
          <w:lang w:val="en-US" w:eastAsia="zh-CN"/>
        </w:rPr>
        <w:t>1</w:t>
      </w:r>
      <w:r>
        <w:rPr>
          <w:rFonts w:hint="eastAsia" w:ascii="Times New Roman" w:hAnsi="Times New Roman" w:eastAsia="方正仿宋简体" w:cs="Times New Roman"/>
          <w:b/>
          <w:color w:val="000000"/>
          <w:sz w:val="32"/>
          <w:szCs w:val="32"/>
          <w:lang w:val="en-US" w:eastAsia="zh-CN"/>
        </w:rPr>
        <w:t>件，已按期办结，吸收采纳建议1件</w:t>
      </w:r>
      <w:r>
        <w:rPr>
          <w:rFonts w:hint="eastAsia" w:eastAsia="方正仿宋简体" w:cs="Times New Roman"/>
          <w:b/>
          <w:color w:val="000000"/>
          <w:sz w:val="32"/>
          <w:szCs w:val="32"/>
          <w:lang w:val="en-US" w:eastAsia="zh-CN"/>
        </w:rPr>
        <w:t>，承办</w:t>
      </w:r>
      <w:r>
        <w:rPr>
          <w:rFonts w:hint="eastAsia" w:ascii="Times New Roman" w:hAnsi="Times New Roman" w:eastAsia="方正仿宋简体" w:cs="Times New Roman"/>
          <w:b/>
          <w:color w:val="000000"/>
          <w:sz w:val="32"/>
          <w:szCs w:val="32"/>
          <w:lang w:val="en-US" w:eastAsia="zh-CN"/>
        </w:rPr>
        <w:t>政协提案</w:t>
      </w:r>
      <w:r>
        <w:rPr>
          <w:rFonts w:hint="eastAsia" w:eastAsia="方正仿宋简体" w:cs="Times New Roman"/>
          <w:b/>
          <w:color w:val="000000"/>
          <w:sz w:val="32"/>
          <w:szCs w:val="32"/>
          <w:lang w:val="en-US" w:eastAsia="zh-CN"/>
        </w:rPr>
        <w:t>0</w:t>
      </w:r>
      <w:r>
        <w:rPr>
          <w:rFonts w:hint="eastAsia" w:ascii="Times New Roman" w:hAnsi="Times New Roman" w:eastAsia="方正仿宋简体" w:cs="Times New Roman"/>
          <w:b/>
          <w:color w:val="000000"/>
          <w:sz w:val="32"/>
          <w:szCs w:val="32"/>
          <w:lang w:val="en-US" w:eastAsia="zh-CN"/>
        </w:rPr>
        <w:t>件。通过区政府门户网站建议提案办理结果公开专栏发布相关办理情况。</w:t>
      </w:r>
    </w:p>
    <w:p w14:paraId="1785B25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（四）本行政机关年度政务公开工作创新情况</w:t>
      </w:r>
      <w:r>
        <w:rPr>
          <w:rFonts w:hint="eastAsia" w:eastAsia="方正楷体简体"/>
          <w:b/>
          <w:color w:val="000000"/>
          <w:sz w:val="32"/>
          <w:szCs w:val="32"/>
        </w:rPr>
        <w:t>：</w:t>
      </w:r>
    </w:p>
    <w:p w14:paraId="0A0C5F1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一是聚焦</w:t>
      </w:r>
      <w:r>
        <w:rPr>
          <w:rFonts w:hint="eastAsia" w:ascii="Times New Roman" w:hAnsi="Times New Roman" w:eastAsia="方正仿宋简体" w:cs="Times New Roman"/>
          <w:b/>
          <w:color w:val="000000"/>
          <w:sz w:val="32"/>
          <w:szCs w:val="32"/>
          <w:lang w:val="en-US" w:eastAsia="zh-CN"/>
        </w:rPr>
        <w:t>强化需求导向</w:t>
      </w:r>
      <w:r>
        <w:rPr>
          <w:rFonts w:hint="eastAsia" w:eastAsia="方正仿宋简体" w:cs="Times New Roman"/>
          <w:b/>
          <w:color w:val="000000"/>
          <w:sz w:val="32"/>
          <w:szCs w:val="32"/>
          <w:lang w:val="en-US" w:eastAsia="zh-CN"/>
        </w:rPr>
        <w:t>，街道创新实施“政策共享茶话会”活动，邀请辖区群众、企业家代表、社会人士等共聚一堂，做好政策解读，搭建起政府信息交流平台，推动政务公开工作走深走实</w:t>
      </w:r>
      <w:r>
        <w:rPr>
          <w:rFonts w:hint="eastAsia" w:ascii="Times New Roman" w:hAnsi="Times New Roman" w:eastAsia="方正仿宋简体" w:cs="Times New Roman"/>
          <w:b/>
          <w:color w:val="000000"/>
          <w:sz w:val="32"/>
          <w:szCs w:val="32"/>
          <w:lang w:val="en-US" w:eastAsia="zh-CN"/>
        </w:rPr>
        <w:t>。</w:t>
      </w:r>
    </w:p>
    <w:p w14:paraId="5DC94F8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二是聚焦</w:t>
      </w:r>
      <w:r>
        <w:rPr>
          <w:rFonts w:hint="eastAsia" w:ascii="Times New Roman" w:hAnsi="Times New Roman" w:eastAsia="方正仿宋简体" w:cs="Times New Roman"/>
          <w:b/>
          <w:color w:val="000000"/>
          <w:sz w:val="32"/>
          <w:szCs w:val="32"/>
          <w:lang w:val="en-US" w:eastAsia="zh-CN"/>
        </w:rPr>
        <w:t>强化政策引领</w:t>
      </w:r>
      <w:r>
        <w:rPr>
          <w:rFonts w:hint="eastAsia" w:eastAsia="方正仿宋简体" w:cs="Times New Roman"/>
          <w:b/>
          <w:color w:val="000000"/>
          <w:sz w:val="32"/>
          <w:szCs w:val="32"/>
          <w:lang w:val="en-US" w:eastAsia="zh-CN"/>
        </w:rPr>
        <w:t>，充分发挥兖州区政府门户网站“主流”作用，紧密围绕街道最新工作动态，及时发布政府信息，打造为民服务大厅和政务公开专区双融双促的政务公开服务一张网，畅通“线上+线下”双载体，促进政务公开、政务服务不断优化。</w:t>
      </w:r>
    </w:p>
    <w:p w14:paraId="0CF8DDA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二是聚焦强化机制保障，街道坚持以制度保障促政策落实，不断优化政务公开的形式和手段，推动服务效能由短期向长效转变。</w:t>
      </w:r>
    </w:p>
    <w:p w14:paraId="38882B9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p>
    <w:p w14:paraId="2A64B00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无</w:t>
      </w:r>
    </w:p>
    <w:p w14:paraId="0E2A22D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eastAsia="方正楷体简体"/>
          <w:b/>
          <w:color w:val="000000"/>
          <w:sz w:val="32"/>
          <w:szCs w:val="32"/>
        </w:rPr>
        <w:t>（六）本行政机关认为需要报告的其他事项</w:t>
      </w:r>
      <w:r>
        <w:rPr>
          <w:rFonts w:hint="eastAsia" w:eastAsia="方正楷体简体"/>
          <w:b/>
          <w:color w:val="000000"/>
          <w:sz w:val="32"/>
          <w:szCs w:val="32"/>
        </w:rPr>
        <w:t>：</w:t>
      </w:r>
      <w:r>
        <w:rPr>
          <w:rFonts w:hint="eastAsia" w:eastAsia="方正仿宋简体"/>
          <w:b/>
          <w:color w:val="000000"/>
          <w:sz w:val="32"/>
          <w:szCs w:val="32"/>
        </w:rPr>
        <w:t>无</w:t>
      </w:r>
    </w:p>
    <w:p w14:paraId="196008D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eastAsia="方正楷体简体"/>
          <w:b/>
          <w:color w:val="000000"/>
          <w:sz w:val="32"/>
          <w:szCs w:val="32"/>
        </w:rPr>
        <w:t>（七）其他有关文件专门要求通过政府信息公开工作年度报告予以报告的事项</w:t>
      </w:r>
      <w:r>
        <w:rPr>
          <w:rFonts w:hint="eastAsia" w:eastAsia="方正楷体简体"/>
          <w:b/>
          <w:color w:val="000000"/>
          <w:sz w:val="32"/>
          <w:szCs w:val="32"/>
        </w:rPr>
        <w:t>：</w:t>
      </w:r>
      <w:r>
        <w:rPr>
          <w:rFonts w:hint="eastAsia" w:eastAsia="方正仿宋简体"/>
          <w:b/>
          <w:color w:val="000000"/>
          <w:sz w:val="32"/>
          <w:szCs w:val="32"/>
        </w:rPr>
        <w:t>无</w:t>
      </w:r>
    </w:p>
    <w:p w14:paraId="3CFE7E82">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方正仿宋简体" w:cs="Times New Roman"/>
          <w:b w:val="0"/>
          <w:bCs w:val="0"/>
          <w:color w:val="000000"/>
          <w:sz w:val="30"/>
          <w:szCs w:val="30"/>
          <w:lang w:val="en-US" w:eastAsia="zh-CN"/>
        </w:rPr>
      </w:pPr>
    </w:p>
    <w:p w14:paraId="17DB4864"/>
    <w:sectPr>
      <w:footerReference r:id="rId3" w:type="default"/>
      <w:pgSz w:w="11906" w:h="16838"/>
      <w:pgMar w:top="1383" w:right="1576" w:bottom="1383" w:left="1576" w:header="851" w:footer="992" w:gutter="0"/>
      <w:pgBorders>
        <w:top w:val="none" w:sz="0" w:space="0"/>
        <w:left w:val="none" w:sz="0" w:space="0"/>
        <w:bottom w:val="none" w:sz="0" w:space="0"/>
        <w:right w:val="none" w:sz="0" w:space="0"/>
      </w:pgBorders>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B99A1DB2-7B2A-49BB-9E06-EF63A4400D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6226B7F-AC4D-429C-B08D-E114C02E0D5C}"/>
  </w:font>
  <w:font w:name="方正小标宋简体">
    <w:panose1 w:val="03000509000000000000"/>
    <w:charset w:val="86"/>
    <w:family w:val="script"/>
    <w:pitch w:val="default"/>
    <w:sig w:usb0="00000001" w:usb1="080E0000" w:usb2="00000000" w:usb3="00000000" w:csb0="00040000" w:csb1="00000000"/>
    <w:embedRegular r:id="rId3" w:fontKey="{C89F3BC1-E6A2-4E25-8613-66357A1AC354}"/>
  </w:font>
  <w:font w:name="方正仿宋简体">
    <w:panose1 w:val="02000000000000000000"/>
    <w:charset w:val="86"/>
    <w:family w:val="auto"/>
    <w:pitch w:val="default"/>
    <w:sig w:usb0="A00002BF" w:usb1="184F6CFA" w:usb2="00000012" w:usb3="00000000" w:csb0="00040001" w:csb1="00000000"/>
    <w:embedRegular r:id="rId4" w:fontKey="{8B9881F2-DA9C-430F-A52E-1CB621F13E70}"/>
  </w:font>
  <w:font w:name="方正黑体简体">
    <w:panose1 w:val="02000000000000000000"/>
    <w:charset w:val="86"/>
    <w:family w:val="auto"/>
    <w:pitch w:val="default"/>
    <w:sig w:usb0="A00002BF" w:usb1="184F6CFA" w:usb2="00000012" w:usb3="00000000" w:csb0="00040001" w:csb1="00000000"/>
    <w:embedRegular r:id="rId5" w:fontKey="{BB0A7744-06A0-4C49-ABCF-B6206E0D3F5A}"/>
  </w:font>
  <w:font w:name="方正楷体简体">
    <w:panose1 w:val="03000509000000000000"/>
    <w:charset w:val="86"/>
    <w:family w:val="auto"/>
    <w:pitch w:val="default"/>
    <w:sig w:usb0="00000001" w:usb1="080E0000" w:usb2="00000000" w:usb3="00000000" w:csb0="00040000" w:csb1="00000000"/>
    <w:embedRegular r:id="rId6" w:fontKey="{35A54568-3DE8-4375-AE8F-CC04C604193C}"/>
  </w:font>
  <w:font w:name="仿宋_GB2312">
    <w:panose1 w:val="02010609030101010101"/>
    <w:charset w:val="86"/>
    <w:family w:val="modern"/>
    <w:pitch w:val="default"/>
    <w:sig w:usb0="00000001" w:usb1="080E0000" w:usb2="00000000" w:usb3="00000000" w:csb0="00040000" w:csb1="00000000"/>
    <w:embedRegular r:id="rId7" w:fontKey="{F2CA70E8-124A-4F66-932B-41DE55A12144}"/>
  </w:font>
  <w:font w:name="楷体_GB2312">
    <w:panose1 w:val="02010609030101010101"/>
    <w:charset w:val="86"/>
    <w:family w:val="modern"/>
    <w:pitch w:val="default"/>
    <w:sig w:usb0="00000001" w:usb1="080E0000" w:usb2="00000000" w:usb3="00000000" w:csb0="00040000" w:csb1="00000000"/>
    <w:embedRegular r:id="rId8" w:fontKey="{C04C081A-FCB9-4974-B6F5-EF432D641B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BA5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BCAAB6">
                          <w:pPr>
                            <w:pStyle w:val="3"/>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2</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56BCAAB6">
                    <w:pPr>
                      <w:pStyle w:val="3"/>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2</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ZWIyMTI0NTY3MjE5MGY5ZTUwYzVkYTNlNzJjZTMifQ=="/>
    <w:docVar w:name="KSO_WPS_MARK_KEY" w:val="289651fe-eb04-4d7d-8f1d-194c41563a0f"/>
  </w:docVars>
  <w:rsids>
    <w:rsidRoot w:val="00000000"/>
    <w:rsid w:val="1D8C2DE8"/>
    <w:rsid w:val="26DB4692"/>
    <w:rsid w:val="2D1A39FF"/>
    <w:rsid w:val="2FEC35F9"/>
    <w:rsid w:val="31903C75"/>
    <w:rsid w:val="3BDF5B14"/>
    <w:rsid w:val="3DEF25B3"/>
    <w:rsid w:val="3E372A74"/>
    <w:rsid w:val="4C1C0180"/>
    <w:rsid w:val="4DE938D9"/>
    <w:rsid w:val="5F033155"/>
    <w:rsid w:val="626D57A9"/>
    <w:rsid w:val="632F0832"/>
    <w:rsid w:val="687D63AD"/>
    <w:rsid w:val="68CC22D3"/>
    <w:rsid w:val="6E4D5409"/>
    <w:rsid w:val="FEDF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eastAsia="宋体" w:cs="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政府信息公开图例</a:t>
            </a:r>
          </a:p>
        </c:rich>
      </c:tx>
      <c:layout/>
      <c:overlay val="0"/>
      <c:spPr>
        <a:noFill/>
        <a:ln>
          <a:noFill/>
        </a:ln>
        <a:effectLst/>
      </c:spPr>
    </c:title>
    <c:autoTitleDeleted val="0"/>
    <c:plotArea>
      <c:layout/>
      <c:pieChart>
        <c:varyColors val="1"/>
        <c:ser>
          <c:idx val="0"/>
          <c:order val="0"/>
          <c:tx>
            <c:strRef>
              <c:f>Sheet1!$B$1</c:f>
              <c:strCache>
                <c:ptCount val="1"/>
                <c:pt idx="0">
                  <c:v>政府信息公开图例</c:v>
                </c:pt>
              </c:strCache>
            </c:strRef>
          </c:tx>
          <c:spPr>
            <a:scene3d>
              <a:camera prst="orthographicFront"/>
              <a:lightRig rig="threePt" dir="t"/>
            </a:scene3d>
            <a:sp3d contourW="9525"/>
          </c:spPr>
          <c:explosion val="0"/>
          <c:dPt>
            <c:idx val="0"/>
            <c:bubble3D val="0"/>
            <c:spPr>
              <a:gradFill>
                <a:gsLst>
                  <a:gs pos="0">
                    <a:schemeClr val="accent1">
                      <a:lumMod val="40000"/>
                      <a:lumOff val="60000"/>
                    </a:schemeClr>
                  </a:gs>
                  <a:gs pos="90000">
                    <a:schemeClr val="accent1"/>
                  </a:gs>
                </a:gsLst>
                <a:lin ang="5400000" scaled="0"/>
              </a:gradFill>
              <a:ln w="19050">
                <a:gradFill>
                  <a:gsLst>
                    <a:gs pos="0">
                      <a:schemeClr val="accent1"/>
                    </a:gs>
                    <a:gs pos="100000">
                      <a:schemeClr val="accent1">
                        <a:lumMod val="75000"/>
                      </a:schemeClr>
                    </a:gs>
                  </a:gsLst>
                  <a:lin ang="5400000" scaled="1"/>
                </a:gradFill>
              </a:ln>
              <a:effectLst>
                <a:outerShdw blurRad="76200" dist="25400" dir="2700000" algn="tl" rotWithShape="0">
                  <a:srgbClr val="000000">
                    <a:lumMod val="50000"/>
                    <a:alpha val="30000"/>
                  </a:srgbClr>
                </a:outerShdw>
              </a:effectLst>
            </c:spPr>
          </c:dPt>
          <c:dPt>
            <c:idx val="1"/>
            <c:bubble3D val="0"/>
            <c:spPr>
              <a:gradFill>
                <a:gsLst>
                  <a:gs pos="0">
                    <a:schemeClr val="accent3">
                      <a:lumMod val="40000"/>
                      <a:lumOff val="60000"/>
                    </a:schemeClr>
                  </a:gs>
                  <a:gs pos="90000">
                    <a:schemeClr val="accent3"/>
                  </a:gs>
                </a:gsLst>
                <a:lin ang="5400000" scaled="0"/>
              </a:gradFill>
              <a:ln w="19050">
                <a:gradFill>
                  <a:gsLst>
                    <a:gs pos="0">
                      <a:schemeClr val="accent3"/>
                    </a:gs>
                    <a:gs pos="100000">
                      <a:schemeClr val="accent3">
                        <a:lumMod val="75000"/>
                      </a:schemeClr>
                    </a:gs>
                  </a:gsLst>
                  <a:lin ang="5400000" scaled="1"/>
                </a:gradFill>
              </a:ln>
              <a:effectLst>
                <a:outerShdw blurRad="76200" dist="25400" dir="2700000" algn="tl" rotWithShape="0">
                  <a:srgbClr val="000000">
                    <a:lumMod val="50000"/>
                    <a:alpha val="30000"/>
                  </a:srgbClr>
                </a:outerShdw>
              </a:effectLst>
            </c:spPr>
          </c:dPt>
          <c:dPt>
            <c:idx val="2"/>
            <c:bubble3D val="0"/>
            <c:spPr>
              <a:gradFill>
                <a:gsLst>
                  <a:gs pos="0">
                    <a:schemeClr val="accent5">
                      <a:lumMod val="40000"/>
                      <a:lumOff val="60000"/>
                    </a:schemeClr>
                  </a:gs>
                  <a:gs pos="90000">
                    <a:schemeClr val="accent5"/>
                  </a:gs>
                </a:gsLst>
                <a:lin ang="5400000" scaled="0"/>
              </a:gradFill>
              <a:ln w="19050">
                <a:gradFill>
                  <a:gsLst>
                    <a:gs pos="0">
                      <a:schemeClr val="accent5"/>
                    </a:gs>
                    <a:gs pos="100000">
                      <a:schemeClr val="accent5">
                        <a:lumMod val="75000"/>
                      </a:schemeClr>
                    </a:gs>
                  </a:gsLst>
                  <a:lin ang="5400000" scaled="1"/>
                </a:gradFill>
              </a:ln>
              <a:effectLst>
                <a:outerShdw blurRad="76200" dist="25400" dir="2700000" algn="tl" rotWithShape="0">
                  <a:srgbClr val="000000">
                    <a:lumMod val="50000"/>
                    <a:alpha val="30000"/>
                  </a:srgbClr>
                </a:outerShdw>
              </a:effectLst>
            </c:spPr>
          </c:dPt>
          <c:dPt>
            <c:idx val="3"/>
            <c:bubble3D val="0"/>
            <c:spPr>
              <a:gradFill>
                <a:gsLst>
                  <a:gs pos="0">
                    <a:schemeClr val="accent1">
                      <a:lumMod val="60000"/>
                      <a:lumMod val="40000"/>
                      <a:lumOff val="60000"/>
                    </a:schemeClr>
                  </a:gs>
                  <a:gs pos="90000">
                    <a:schemeClr val="accent1">
                      <a:lumMod val="60000"/>
                    </a:schemeClr>
                  </a:gs>
                </a:gsLst>
                <a:lin ang="5400000" scaled="0"/>
              </a:gradFill>
              <a:ln w="19050">
                <a:gradFill>
                  <a:gsLst>
                    <a:gs pos="0">
                      <a:schemeClr val="accent1">
                        <a:lumMod val="60000"/>
                      </a:schemeClr>
                    </a:gs>
                    <a:gs pos="100000">
                      <a:schemeClr val="accent1">
                        <a:lumMod val="60000"/>
                        <a:lumMod val="75000"/>
                      </a:schemeClr>
                    </a:gs>
                  </a:gsLst>
                  <a:lin ang="5400000" scaled="1"/>
                </a:gradFill>
              </a:ln>
              <a:effectLst>
                <a:outerShdw blurRad="76200" dist="25400" dir="2700000" algn="tl" rotWithShape="0">
                  <a:srgbClr val="000000">
                    <a:lumMod val="50000"/>
                    <a:alpha val="30000"/>
                  </a:srgbClr>
                </a:outerShdw>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组织管理19%</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会议公开4%</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机构职能4%</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其他73%</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组织管理</c:v>
                </c:pt>
                <c:pt idx="1">
                  <c:v>会议公开</c:v>
                </c:pt>
                <c:pt idx="2">
                  <c:v>机构职能</c:v>
                </c:pt>
                <c:pt idx="3">
                  <c:v>其他</c:v>
                </c:pt>
              </c:strCache>
            </c:strRef>
          </c:cat>
          <c:val>
            <c:numRef>
              <c:f>Sheet1!$B$2:$B$5</c:f>
              <c:numCache>
                <c:formatCode>General</c:formatCode>
                <c:ptCount val="4"/>
                <c:pt idx="0">
                  <c:v>5</c:v>
                </c:pt>
                <c:pt idx="1">
                  <c:v>1</c:v>
                </c:pt>
                <c:pt idx="2">
                  <c:v>1</c:v>
                </c:pt>
                <c:pt idx="3">
                  <c:v>19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依申请公开办理数量</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数量</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往年</c:v>
                </c:pt>
                <c:pt idx="1">
                  <c:v>今年</c:v>
                </c:pt>
              </c:strCache>
            </c:strRef>
          </c:cat>
          <c:val>
            <c:numRef>
              <c:f>Sheet1!$B$2:$B$3</c:f>
              <c:numCache>
                <c:formatCode>General</c:formatCode>
                <c:ptCount val="2"/>
                <c:pt idx="0">
                  <c:v>3</c:v>
                </c:pt>
                <c:pt idx="1">
                  <c:v>2</c:v>
                </c:pt>
              </c:numCache>
            </c:numRef>
          </c:val>
        </c:ser>
        <c:ser>
          <c:idx val="1"/>
          <c:order val="1"/>
          <c:tx>
            <c:strRef>
              <c:f>Sheet1!$C$1</c:f>
              <c:strCache>
                <c:ptCount val="1"/>
                <c:pt idx="0">
                  <c:v>按时办结</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往年</c:v>
                </c:pt>
                <c:pt idx="1">
                  <c:v>今年</c:v>
                </c:pt>
              </c:strCache>
            </c:strRef>
          </c:cat>
          <c:val>
            <c:numRef>
              <c:f>Sheet1!$C$2:$C$3</c:f>
              <c:numCache>
                <c:formatCode>0%</c:formatCode>
                <c:ptCount val="2"/>
                <c:pt idx="0">
                  <c:v>1</c:v>
                </c:pt>
                <c:pt idx="1">
                  <c:v>1</c:v>
                </c:pt>
              </c:numCache>
            </c:numRef>
          </c:val>
        </c:ser>
        <c:ser>
          <c:idx val="2"/>
          <c:order val="2"/>
          <c:tx>
            <c:strRef>
              <c:f>Sheet1!$D$1</c:f>
              <c:strCache>
                <c:ptCount val="1"/>
                <c:pt idx="0">
                  <c:v>满意度</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往年</c:v>
                </c:pt>
                <c:pt idx="1">
                  <c:v>今年</c:v>
                </c:pt>
              </c:strCache>
            </c:strRef>
          </c:cat>
          <c:val>
            <c:numRef>
              <c:f>Sheet1!$D$2:$D$3</c:f>
              <c:numCache>
                <c:formatCode>0%</c:formatCode>
                <c:ptCount val="2"/>
                <c:pt idx="0">
                  <c:v>1</c:v>
                </c:pt>
                <c:pt idx="1">
                  <c:v>1</c:v>
                </c:pt>
              </c:numCache>
            </c:numRef>
          </c:val>
        </c:ser>
        <c:dLbls>
          <c:showLegendKey val="0"/>
          <c:showVal val="1"/>
          <c:showCatName val="0"/>
          <c:showSerName val="0"/>
          <c:showPercent val="0"/>
          <c:showBubbleSize val="0"/>
        </c:dLbls>
        <c:gapWidth val="260"/>
        <c:overlap val="-32"/>
        <c:axId val="97737248"/>
        <c:axId val="749436779"/>
      </c:barChart>
      <c:catAx>
        <c:axId val="9773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9436779"/>
        <c:crosses val="autoZero"/>
        <c:auto val="1"/>
        <c:lblAlgn val="ctr"/>
        <c:lblOffset val="100"/>
        <c:noMultiLvlLbl val="0"/>
      </c:catAx>
      <c:valAx>
        <c:axId val="74943677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73724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styleClr val="auto"/>
    </cs:effectRef>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3157</Words>
  <Characters>3236</Characters>
  <Lines>0</Lines>
  <Paragraphs>0</Paragraphs>
  <TotalTime>142</TotalTime>
  <ScaleCrop>false</ScaleCrop>
  <LinksUpToDate>false</LinksUpToDate>
  <CharactersWithSpaces>3236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2025-01-06T13:58:00Z</dcterms:created>
  <dc:creator>1</dc:creator>
  <cp:lastModifiedBy>1415716621</cp:lastModifiedBy>
  <dcterms:modified xsi:type="dcterms:W3CDTF">2025-01-24T12:53:49Z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TemplateDocerSaveRecord">
    <vt:lpwstr>eyJoZGlkIjoiOWQ0NDdkM2Q5MWVjYzJjMDFiZmE2NzJlOWYwZTk0ZmYifQ==</vt:lpwstr>
  </property>
  <property fmtid="{D5CDD505-2E9C-101B-9397-08002B2CF9AE}" pid="4" name="ICV">
    <vt:lpwstr>BEDF2D7ED1654754BDFCA7767FA3C0EE_13</vt:lpwstr>
  </property>
</Properties>
</file>