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eastAsia="方正小标宋简体"/>
          <w:b w:val="0"/>
          <w:bCs/>
          <w:color w:val="000000"/>
          <w:sz w:val="44"/>
          <w:szCs w:val="44"/>
        </w:rPr>
      </w:pPr>
      <w:r>
        <w:rPr>
          <w:rFonts w:hint="eastAsia" w:eastAsia="方正小标宋简体"/>
          <w:b w:val="0"/>
          <w:bCs/>
          <w:color w:val="000000"/>
          <w:sz w:val="44"/>
          <w:szCs w:val="44"/>
        </w:rPr>
        <w:t>济宁市公共资源交易服务中心兖州分中心</w:t>
      </w:r>
    </w:p>
    <w:p>
      <w:pPr>
        <w:spacing w:line="590" w:lineRule="exact"/>
        <w:ind w:right="-105" w:rightChars="-50"/>
        <w:jc w:val="center"/>
        <w:rPr>
          <w:rFonts w:eastAsia="方正小标宋简体"/>
          <w:b/>
          <w:color w:val="000000"/>
          <w:sz w:val="44"/>
          <w:szCs w:val="44"/>
        </w:rPr>
      </w:pPr>
      <w:r>
        <w:rPr>
          <w:rFonts w:eastAsia="方正小标宋简体"/>
          <w:b w:val="0"/>
          <w:bCs/>
          <w:color w:val="000000"/>
          <w:sz w:val="44"/>
          <w:szCs w:val="44"/>
        </w:rPr>
        <w:t>202</w:t>
      </w:r>
      <w:r>
        <w:rPr>
          <w:rFonts w:hint="eastAsia" w:eastAsia="方正小标宋简体"/>
          <w:b w:val="0"/>
          <w:bCs/>
          <w:color w:val="000000"/>
          <w:sz w:val="44"/>
          <w:szCs w:val="44"/>
        </w:rPr>
        <w:t>2</w:t>
      </w:r>
      <w:r>
        <w:rPr>
          <w:rFonts w:eastAsia="方正小标宋简体"/>
          <w:b w:val="0"/>
          <w:bCs/>
          <w:color w:val="000000"/>
          <w:sz w:val="44"/>
          <w:szCs w:val="44"/>
        </w:rPr>
        <w:t>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本报告由</w:t>
      </w:r>
      <w:r>
        <w:rPr>
          <w:rFonts w:hint="eastAsia" w:ascii="仿宋" w:hAnsi="仿宋" w:eastAsia="仿宋" w:cs="仿宋"/>
          <w:i w:val="0"/>
          <w:iCs w:val="0"/>
          <w:caps w:val="0"/>
          <w:color w:val="000000"/>
          <w:spacing w:val="0"/>
          <w:sz w:val="32"/>
          <w:szCs w:val="32"/>
          <w:lang w:eastAsia="zh-CN"/>
        </w:rPr>
        <w:t>济宁市公共资源交易服务中心兖州分中心</w:t>
      </w:r>
      <w:r>
        <w:rPr>
          <w:rFonts w:hint="eastAsia" w:ascii="仿宋" w:hAnsi="仿宋" w:eastAsia="仿宋" w:cs="仿宋"/>
          <w:i w:val="0"/>
          <w:iCs w:val="0"/>
          <w:caps w:val="0"/>
          <w:color w:val="000000"/>
          <w:spacing w:val="0"/>
          <w:sz w:val="32"/>
          <w:szCs w:val="32"/>
        </w:rPr>
        <w:t>按照《中华人民共和国政府信息公开条例》（以下简称《条例》）和《中华人民共和国政府信息公开工作年度报告格式》（国办公开办函〔2021〕30号）要求编制。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本报告所列数据的统计期限自2022年1月1日起至2022年12月31日止。本报告电子版可在“中国·兖州”政府门户网站（具体网址）查阅或下载。如对本报告有疑问，请与</w:t>
      </w:r>
      <w:r>
        <w:rPr>
          <w:rFonts w:hint="eastAsia" w:ascii="仿宋" w:hAnsi="仿宋" w:eastAsia="仿宋" w:cs="仿宋"/>
          <w:i w:val="0"/>
          <w:iCs w:val="0"/>
          <w:caps w:val="0"/>
          <w:color w:val="000000"/>
          <w:spacing w:val="0"/>
          <w:sz w:val="32"/>
          <w:szCs w:val="32"/>
          <w:lang w:eastAsia="zh-CN"/>
        </w:rPr>
        <w:t>济宁市公共资源交易服务中心兖州分中心</w:t>
      </w:r>
      <w:r>
        <w:rPr>
          <w:rFonts w:hint="eastAsia" w:ascii="仿宋" w:hAnsi="仿宋" w:eastAsia="仿宋" w:cs="仿宋"/>
          <w:i w:val="0"/>
          <w:iCs w:val="0"/>
          <w:caps w:val="0"/>
          <w:color w:val="000000"/>
          <w:spacing w:val="0"/>
          <w:sz w:val="32"/>
          <w:szCs w:val="32"/>
        </w:rPr>
        <w:t>联系（地址：</w:t>
      </w:r>
      <w:r>
        <w:rPr>
          <w:rFonts w:hint="eastAsia" w:ascii="仿宋" w:hAnsi="仿宋" w:eastAsia="仿宋" w:cs="仿宋"/>
          <w:i w:val="0"/>
          <w:iCs w:val="0"/>
          <w:caps w:val="0"/>
          <w:color w:val="000000"/>
          <w:spacing w:val="0"/>
          <w:sz w:val="32"/>
          <w:szCs w:val="32"/>
          <w:lang w:eastAsia="zh-CN"/>
        </w:rPr>
        <w:t>兖州区</w:t>
      </w:r>
      <w:r>
        <w:rPr>
          <w:rFonts w:hint="eastAsia" w:ascii="仿宋" w:hAnsi="仿宋" w:eastAsia="仿宋" w:cs="仿宋"/>
          <w:i w:val="0"/>
          <w:iCs w:val="0"/>
          <w:caps w:val="0"/>
          <w:color w:val="000000"/>
          <w:spacing w:val="0"/>
          <w:sz w:val="32"/>
          <w:szCs w:val="32"/>
          <w:lang w:val="en-US" w:eastAsia="zh-CN"/>
        </w:rPr>
        <w:t>为民服务中心北4楼</w:t>
      </w:r>
      <w:r>
        <w:rPr>
          <w:rFonts w:hint="eastAsia" w:ascii="仿宋" w:hAnsi="仿宋" w:eastAsia="仿宋" w:cs="仿宋"/>
          <w:i w:val="0"/>
          <w:iCs w:val="0"/>
          <w:caps w:val="0"/>
          <w:color w:val="000000"/>
          <w:spacing w:val="0"/>
          <w:sz w:val="32"/>
          <w:szCs w:val="32"/>
        </w:rPr>
        <w:t>，联系电话：0537—</w:t>
      </w:r>
      <w:r>
        <w:rPr>
          <w:rFonts w:hint="eastAsia" w:ascii="仿宋" w:hAnsi="仿宋" w:eastAsia="仿宋" w:cs="仿宋"/>
          <w:i w:val="0"/>
          <w:iCs w:val="0"/>
          <w:caps w:val="0"/>
          <w:color w:val="000000"/>
          <w:spacing w:val="0"/>
          <w:sz w:val="32"/>
          <w:szCs w:val="32"/>
          <w:lang w:val="en-US" w:eastAsia="zh-CN"/>
        </w:rPr>
        <w:t>3499079</w:t>
      </w:r>
      <w:r>
        <w:rPr>
          <w:rFonts w:hint="eastAsia" w:ascii="仿宋" w:hAnsi="仿宋" w:eastAsia="仿宋" w:cs="仿宋"/>
          <w:i w:val="0"/>
          <w:iCs w:val="0"/>
          <w:caps w:val="0"/>
          <w:color w:val="000000"/>
          <w:spacing w:val="0"/>
          <w:sz w:val="32"/>
          <w:szCs w:val="32"/>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年，济宁市公共资源交易服务中心兖州分中心持续深入贯彻落实《条例》和国家、省、市、区关于政务公开工作的系列部署，紧紧围绕区委、区政府中心工作及群众关注关切，以提升政务公开质量为</w:t>
      </w:r>
      <w:r>
        <w:rPr>
          <w:rFonts w:hint="eastAsia" w:ascii="仿宋" w:hAnsi="仿宋" w:eastAsia="仿宋" w:cs="仿宋"/>
          <w:i w:val="0"/>
          <w:iCs w:val="0"/>
          <w:caps w:val="0"/>
          <w:color w:val="000000"/>
          <w:spacing w:val="0"/>
          <w:sz w:val="32"/>
          <w:szCs w:val="32"/>
          <w:lang w:eastAsia="zh-CN"/>
        </w:rPr>
        <w:t>主导</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大</w:t>
      </w:r>
      <w:r>
        <w:rPr>
          <w:rFonts w:hint="eastAsia" w:ascii="仿宋" w:hAnsi="仿宋" w:eastAsia="仿宋" w:cs="仿宋"/>
          <w:i w:val="0"/>
          <w:iCs w:val="0"/>
          <w:caps w:val="0"/>
          <w:color w:val="000000"/>
          <w:spacing w:val="0"/>
          <w:sz w:val="32"/>
          <w:szCs w:val="32"/>
        </w:rPr>
        <w:t>力推动行政权力全过程公开、公共服务全流程公开、社会关切全方位回应，完善政务公开制度规范，为加快兖州高质量发展发挥积极作用。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按照上级关于全面推进政务公开工作的要求，结合公共资源交易服务工作实际，不断加强对政府信息公开工作的组织领导，进一步完善政府信息公开制度落实。结合单位工作实际，坚持以公开透明、公平公正为主线，深入推进政府信息公开工作，不断规范政府信息公开，提高政府信息公开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年通过“兖州公共资源交易网”页面依法依规公开各类公共资源交易的招标（采购、出让）公告、更正公告、中标成交信息</w:t>
      </w:r>
      <w:r>
        <w:rPr>
          <w:rFonts w:hint="eastAsia" w:ascii="仿宋" w:hAnsi="仿宋" w:eastAsia="仿宋" w:cs="仿宋"/>
          <w:i w:val="0"/>
          <w:iCs w:val="0"/>
          <w:caps w:val="0"/>
          <w:color w:val="000000"/>
          <w:spacing w:val="0"/>
          <w:sz w:val="32"/>
          <w:szCs w:val="32"/>
          <w:lang w:val="en-US" w:eastAsia="zh-CN"/>
        </w:rPr>
        <w:t>780</w:t>
      </w:r>
      <w:r>
        <w:rPr>
          <w:rFonts w:hint="eastAsia" w:ascii="仿宋" w:hAnsi="仿宋" w:eastAsia="仿宋" w:cs="仿宋"/>
          <w:i w:val="0"/>
          <w:iCs w:val="0"/>
          <w:caps w:val="0"/>
          <w:color w:val="000000"/>
          <w:spacing w:val="0"/>
          <w:sz w:val="32"/>
          <w:szCs w:val="32"/>
        </w:rPr>
        <w:t>条，其中建设工程招投标</w:t>
      </w:r>
      <w:r>
        <w:rPr>
          <w:rFonts w:hint="eastAsia" w:ascii="仿宋" w:hAnsi="仿宋" w:eastAsia="仿宋" w:cs="仿宋"/>
          <w:i w:val="0"/>
          <w:iCs w:val="0"/>
          <w:caps w:val="0"/>
          <w:color w:val="000000"/>
          <w:spacing w:val="0"/>
          <w:sz w:val="32"/>
          <w:szCs w:val="32"/>
          <w:lang w:val="en-US" w:eastAsia="zh-CN"/>
        </w:rPr>
        <w:t>203</w:t>
      </w:r>
      <w:r>
        <w:rPr>
          <w:rFonts w:hint="eastAsia" w:ascii="仿宋" w:hAnsi="仿宋" w:eastAsia="仿宋" w:cs="仿宋"/>
          <w:i w:val="0"/>
          <w:iCs w:val="0"/>
          <w:caps w:val="0"/>
          <w:color w:val="000000"/>
          <w:spacing w:val="0"/>
          <w:sz w:val="32"/>
          <w:szCs w:val="32"/>
        </w:rPr>
        <w:t>条，政府采购</w:t>
      </w:r>
      <w:r>
        <w:rPr>
          <w:rFonts w:hint="eastAsia" w:ascii="仿宋" w:hAnsi="仿宋" w:eastAsia="仿宋" w:cs="仿宋"/>
          <w:i w:val="0"/>
          <w:iCs w:val="0"/>
          <w:caps w:val="0"/>
          <w:color w:val="000000"/>
          <w:spacing w:val="0"/>
          <w:sz w:val="32"/>
          <w:szCs w:val="32"/>
          <w:lang w:val="en-US" w:eastAsia="zh-CN"/>
        </w:rPr>
        <w:t>361</w:t>
      </w:r>
      <w:r>
        <w:rPr>
          <w:rFonts w:hint="eastAsia" w:ascii="仿宋" w:hAnsi="仿宋" w:eastAsia="仿宋" w:cs="仿宋"/>
          <w:i w:val="0"/>
          <w:iCs w:val="0"/>
          <w:caps w:val="0"/>
          <w:color w:val="000000"/>
          <w:spacing w:val="0"/>
          <w:sz w:val="32"/>
          <w:szCs w:val="32"/>
        </w:rPr>
        <w:t>条，国有建设用地使用权出让</w:t>
      </w:r>
      <w:r>
        <w:rPr>
          <w:rFonts w:hint="eastAsia" w:ascii="仿宋" w:hAnsi="仿宋" w:eastAsia="仿宋" w:cs="仿宋"/>
          <w:i w:val="0"/>
          <w:iCs w:val="0"/>
          <w:caps w:val="0"/>
          <w:color w:val="000000"/>
          <w:spacing w:val="0"/>
          <w:sz w:val="32"/>
          <w:szCs w:val="32"/>
          <w:lang w:val="en-US" w:eastAsia="zh-CN"/>
        </w:rPr>
        <w:t>128</w:t>
      </w:r>
      <w:r>
        <w:rPr>
          <w:rFonts w:hint="eastAsia" w:ascii="仿宋" w:hAnsi="仿宋" w:eastAsia="仿宋" w:cs="仿宋"/>
          <w:i w:val="0"/>
          <w:iCs w:val="0"/>
          <w:caps w:val="0"/>
          <w:color w:val="000000"/>
          <w:spacing w:val="0"/>
          <w:sz w:val="32"/>
          <w:szCs w:val="32"/>
        </w:rPr>
        <w:t>条，综合交易</w:t>
      </w:r>
      <w:r>
        <w:rPr>
          <w:rFonts w:hint="eastAsia" w:ascii="仿宋" w:hAnsi="仿宋" w:eastAsia="仿宋" w:cs="仿宋"/>
          <w:i w:val="0"/>
          <w:iCs w:val="0"/>
          <w:caps w:val="0"/>
          <w:color w:val="000000"/>
          <w:spacing w:val="0"/>
          <w:sz w:val="32"/>
          <w:szCs w:val="32"/>
          <w:lang w:val="en-US" w:eastAsia="zh-CN"/>
        </w:rPr>
        <w:t>88</w:t>
      </w:r>
      <w:r>
        <w:rPr>
          <w:rFonts w:hint="eastAsia" w:ascii="仿宋" w:hAnsi="仿宋" w:eastAsia="仿宋" w:cs="仿宋"/>
          <w:i w:val="0"/>
          <w:iCs w:val="0"/>
          <w:caps w:val="0"/>
          <w:color w:val="000000"/>
          <w:spacing w:val="0"/>
          <w:sz w:val="32"/>
          <w:szCs w:val="32"/>
        </w:rPr>
        <w:t>条；通过“兖州区政府门户网站”主动公开信息2</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条；通过“兖州公共资源交易”微信公众号发布信息</w:t>
      </w:r>
      <w:r>
        <w:rPr>
          <w:rFonts w:hint="eastAsia" w:ascii="仿宋" w:hAnsi="仿宋" w:eastAsia="仿宋" w:cs="仿宋"/>
          <w:i w:val="0"/>
          <w:iCs w:val="0"/>
          <w:caps w:val="0"/>
          <w:color w:val="000000"/>
          <w:spacing w:val="0"/>
          <w:sz w:val="32"/>
          <w:szCs w:val="32"/>
          <w:lang w:val="en-US" w:eastAsia="zh-CN"/>
        </w:rPr>
        <w:t>62</w:t>
      </w:r>
      <w:r>
        <w:rPr>
          <w:rFonts w:hint="eastAsia" w:ascii="仿宋" w:hAnsi="仿宋" w:eastAsia="仿宋" w:cs="仿宋"/>
          <w:i w:val="0"/>
          <w:iCs w:val="0"/>
          <w:caps w:val="0"/>
          <w:color w:val="000000"/>
          <w:spacing w:val="0"/>
          <w:sz w:val="32"/>
          <w:szCs w:val="32"/>
        </w:rPr>
        <w:t>条。</w:t>
      </w:r>
    </w:p>
    <w:p>
      <w:pPr>
        <w:pStyle w:val="2"/>
        <w:keepNext w:val="0"/>
        <w:keepLines w:val="0"/>
        <w:widowControl/>
        <w:suppressLineNumbers w:val="0"/>
        <w:spacing w:before="0" w:beforeAutospacing="0" w:after="0" w:afterAutospacing="0" w:line="420" w:lineRule="atLeast"/>
        <w:ind w:left="0" w:right="0" w:firstLine="0"/>
        <w:jc w:val="center"/>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eastAsia="zh-CN"/>
        </w:rPr>
        <w:drawing>
          <wp:inline distT="0" distB="0" distL="114300" distR="114300">
            <wp:extent cx="5273675" cy="3321685"/>
            <wp:effectExtent l="0" t="0" r="3175" b="12065"/>
            <wp:docPr id="3" name="图片 3" descr="各渠道公开信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各渠道公开信息"/>
                    <pic:cNvPicPr>
                      <a:picLocks noChangeAspect="1"/>
                    </pic:cNvPicPr>
                  </pic:nvPicPr>
                  <pic:blipFill>
                    <a:blip r:embed="rId4"/>
                    <a:stretch>
                      <a:fillRect/>
                    </a:stretch>
                  </pic:blipFill>
                  <pic:spPr>
                    <a:xfrm>
                      <a:off x="0" y="0"/>
                      <a:ext cx="5273675" cy="332168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年度，济宁市公共资源交易服务中心兖州分中心收到政府信息公开申请</w:t>
      </w:r>
      <w:r>
        <w:rPr>
          <w:rFonts w:hint="eastAsia" w:ascii="仿宋" w:hAnsi="仿宋" w:eastAsia="仿宋" w:cs="仿宋"/>
          <w:i w:val="0"/>
          <w:iCs w:val="0"/>
          <w:caps w:val="0"/>
          <w:color w:val="000000"/>
          <w:spacing w:val="0"/>
          <w:sz w:val="32"/>
          <w:szCs w:val="32"/>
          <w:lang w:val="en-US" w:eastAsia="zh-CN"/>
        </w:rPr>
        <w:t>1条，申请内容非本机关制作或保存，根据要求已建议申请人向相关部门咨询了解。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年，济宁市公共资源交易服务中心兖州分中心进一步完善政府信息常态化管理机制，不断</w:t>
      </w:r>
      <w:r>
        <w:rPr>
          <w:rFonts w:hint="eastAsia" w:ascii="仿宋" w:hAnsi="仿宋" w:eastAsia="仿宋" w:cs="仿宋"/>
          <w:i w:val="0"/>
          <w:iCs w:val="0"/>
          <w:caps w:val="0"/>
          <w:color w:val="000000"/>
          <w:spacing w:val="0"/>
          <w:sz w:val="32"/>
          <w:szCs w:val="32"/>
          <w:lang w:eastAsia="zh-CN"/>
        </w:rPr>
        <w:t>优化</w:t>
      </w:r>
      <w:r>
        <w:rPr>
          <w:rFonts w:hint="eastAsia" w:ascii="仿宋" w:hAnsi="仿宋" w:eastAsia="仿宋" w:cs="仿宋"/>
          <w:i w:val="0"/>
          <w:iCs w:val="0"/>
          <w:caps w:val="0"/>
          <w:color w:val="000000"/>
          <w:spacing w:val="0"/>
          <w:sz w:val="32"/>
          <w:szCs w:val="32"/>
        </w:rPr>
        <w:t>健全政府信息制作、公开等制度。</w:t>
      </w:r>
      <w:r>
        <w:rPr>
          <w:rFonts w:hint="eastAsia" w:ascii="仿宋" w:hAnsi="仿宋" w:eastAsia="仿宋" w:cs="仿宋"/>
          <w:i w:val="0"/>
          <w:iCs w:val="0"/>
          <w:caps w:val="0"/>
          <w:color w:val="000000"/>
          <w:spacing w:val="0"/>
          <w:sz w:val="32"/>
          <w:szCs w:val="32"/>
          <w:lang w:eastAsia="zh-CN"/>
        </w:rPr>
        <w:t>同时，中心</w:t>
      </w:r>
      <w:r>
        <w:rPr>
          <w:rFonts w:hint="eastAsia" w:ascii="仿宋" w:hAnsi="仿宋" w:eastAsia="仿宋" w:cs="仿宋"/>
          <w:i w:val="0"/>
          <w:iCs w:val="0"/>
          <w:caps w:val="0"/>
          <w:color w:val="000000"/>
          <w:spacing w:val="0"/>
          <w:sz w:val="32"/>
          <w:szCs w:val="32"/>
        </w:rPr>
        <w:t>高度重视信息管理工作，明确了政务公开分管领导、负责科室和工作人员，并认真组织实施。修订完善公开审查流程，建立完善逐级审查制度。推进依申请公开标准化建设，健全完善登记、审核、办理、答复、归档等工作制度，严格依法依规办理。严格政府信息管理，建立健全政务信息公开审批制度，严格遵循政府信息公开保密审查制度，坚持“先审查后公开”和“谁提供、谁审核、谁负责”。</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年，中心充分发挥兖州区政府门户网站政府信息公开专栏和兖州公共资源交易网的主平台和主阵地作用，及时将有关公共资源交易信息和政务信息公开发布。同时，</w:t>
      </w:r>
      <w:r>
        <w:rPr>
          <w:rFonts w:hint="eastAsia" w:ascii="仿宋" w:hAnsi="仿宋" w:eastAsia="仿宋" w:cs="仿宋"/>
          <w:i w:val="0"/>
          <w:iCs w:val="0"/>
          <w:caps w:val="0"/>
          <w:color w:val="000000"/>
          <w:spacing w:val="0"/>
          <w:sz w:val="32"/>
          <w:szCs w:val="32"/>
          <w:lang w:eastAsia="zh-CN"/>
        </w:rPr>
        <w:t>利用</w:t>
      </w:r>
      <w:r>
        <w:rPr>
          <w:rFonts w:hint="eastAsia" w:ascii="仿宋" w:hAnsi="仿宋" w:eastAsia="仿宋" w:cs="仿宋"/>
          <w:i w:val="0"/>
          <w:iCs w:val="0"/>
          <w:caps w:val="0"/>
          <w:color w:val="000000"/>
          <w:spacing w:val="0"/>
          <w:sz w:val="32"/>
          <w:szCs w:val="32"/>
        </w:rPr>
        <w:t>“兖州公共资源交易”微信公众号，进一步推进公共资源交易信息公开力度，强化各方交易主体获取公共资源交易信息的便利性和实效性，实现公共资源交易信息“掌上阅”，</w:t>
      </w:r>
      <w:r>
        <w:rPr>
          <w:rFonts w:hint="eastAsia" w:ascii="仿宋" w:hAnsi="仿宋" w:eastAsia="仿宋" w:cs="仿宋"/>
          <w:i w:val="0"/>
          <w:iCs w:val="0"/>
          <w:caps w:val="0"/>
          <w:color w:val="000000"/>
          <w:spacing w:val="0"/>
          <w:sz w:val="32"/>
          <w:szCs w:val="32"/>
          <w:lang w:eastAsia="zh-CN"/>
        </w:rPr>
        <w:t>持续</w:t>
      </w:r>
      <w:r>
        <w:rPr>
          <w:rFonts w:hint="eastAsia" w:ascii="仿宋" w:hAnsi="仿宋" w:eastAsia="仿宋" w:cs="仿宋"/>
          <w:i w:val="0"/>
          <w:iCs w:val="0"/>
          <w:caps w:val="0"/>
          <w:color w:val="000000"/>
          <w:spacing w:val="0"/>
          <w:sz w:val="32"/>
          <w:szCs w:val="32"/>
        </w:rPr>
        <w:t>拓展公共资源交易信息公开的发布渠道，</w:t>
      </w:r>
      <w:r>
        <w:rPr>
          <w:rFonts w:hint="eastAsia" w:ascii="仿宋" w:hAnsi="仿宋" w:eastAsia="仿宋" w:cs="仿宋"/>
          <w:i w:val="0"/>
          <w:iCs w:val="0"/>
          <w:caps w:val="0"/>
          <w:color w:val="000000"/>
          <w:spacing w:val="0"/>
          <w:sz w:val="32"/>
          <w:szCs w:val="32"/>
          <w:lang w:eastAsia="zh-CN"/>
        </w:rPr>
        <w:t>有效</w:t>
      </w:r>
      <w:r>
        <w:rPr>
          <w:rFonts w:hint="eastAsia" w:ascii="仿宋" w:hAnsi="仿宋" w:eastAsia="仿宋" w:cs="仿宋"/>
          <w:i w:val="0"/>
          <w:iCs w:val="0"/>
          <w:caps w:val="0"/>
          <w:color w:val="000000"/>
          <w:spacing w:val="0"/>
          <w:sz w:val="32"/>
          <w:szCs w:val="32"/>
        </w:rPr>
        <w:t>降低交易成本，增强政府信息公开的透明度和公信力。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000000"/>
          <w:spacing w:val="0"/>
          <w:sz w:val="32"/>
          <w:szCs w:val="32"/>
          <w:highlight w:val="none"/>
        </w:rPr>
        <w:t>成立了政务公开工作领导小组，由</w:t>
      </w:r>
      <w:r>
        <w:rPr>
          <w:rFonts w:hint="eastAsia" w:ascii="仿宋" w:hAnsi="仿宋" w:eastAsia="仿宋" w:cs="仿宋"/>
          <w:i w:val="0"/>
          <w:iCs w:val="0"/>
          <w:caps w:val="0"/>
          <w:color w:val="000000"/>
          <w:spacing w:val="0"/>
          <w:sz w:val="32"/>
          <w:szCs w:val="32"/>
          <w:highlight w:val="none"/>
          <w:lang w:eastAsia="zh-CN"/>
        </w:rPr>
        <w:t>中心</w:t>
      </w:r>
      <w:r>
        <w:rPr>
          <w:rFonts w:hint="eastAsia" w:ascii="仿宋" w:hAnsi="仿宋" w:eastAsia="仿宋" w:cs="仿宋"/>
          <w:i w:val="0"/>
          <w:iCs w:val="0"/>
          <w:caps w:val="0"/>
          <w:color w:val="000000"/>
          <w:spacing w:val="0"/>
          <w:sz w:val="32"/>
          <w:szCs w:val="32"/>
          <w:highlight w:val="none"/>
        </w:rPr>
        <w:t>主要负责人任组长，分管负责人任副组长，各科室负责人任成员，指定专人负责政府信息公开日常工作。坚持对政府信息公开进行督查考核，日常做好了信息及时性、有效性的审查，年度坚持在机关年度考核中添加政府信息公开工作。年内依据培训计划，上下半年分别开展了一次政务公开培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二、主动公开政府信息情况</w:t>
      </w:r>
    </w:p>
    <w:tbl>
      <w:tblPr>
        <w:tblStyle w:val="3"/>
        <w:tblW w:w="986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725"/>
        <w:gridCol w:w="2390"/>
        <w:gridCol w:w="2491"/>
        <w:gridCol w:w="22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9860" w:type="dxa"/>
            <w:gridSpan w:val="4"/>
            <w:tcBorders>
              <w:top w:val="single" w:color="auto" w:sz="6" w:space="0"/>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23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本年制发件数</w:t>
            </w:r>
          </w:p>
        </w:tc>
        <w:tc>
          <w:tcPr>
            <w:tcW w:w="2491"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本年废止件数</w:t>
            </w:r>
          </w:p>
        </w:tc>
        <w:tc>
          <w:tcPr>
            <w:tcW w:w="225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规章</w:t>
            </w:r>
          </w:p>
        </w:tc>
        <w:tc>
          <w:tcPr>
            <w:tcW w:w="23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2491"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225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行政规范性文件</w:t>
            </w:r>
          </w:p>
        </w:tc>
        <w:tc>
          <w:tcPr>
            <w:tcW w:w="2390"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2491"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2254" w:type="dxa"/>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86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行政许可</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86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行政处罚</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行政强制</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860" w:type="dxa"/>
            <w:gridSpan w:val="4"/>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信息内容</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2725" w:type="dxa"/>
            <w:tcBorders>
              <w:top w:val="nil"/>
              <w:left w:val="single" w:color="auto" w:sz="6" w:space="0"/>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行政事业性收费</w:t>
            </w:r>
          </w:p>
        </w:tc>
        <w:tc>
          <w:tcPr>
            <w:tcW w:w="7135" w:type="dxa"/>
            <w:gridSpan w:val="3"/>
            <w:tcBorders>
              <w:top w:val="nil"/>
              <w:left w:val="nil"/>
              <w:bottom w:val="single" w:color="auto" w:sz="6" w:space="0"/>
              <w:right w:val="single" w:color="auto" w:sz="6" w:space="0"/>
            </w:tcBorders>
            <w:shd w:val="clear" w:color="auto" w:fill="FFFFFF"/>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bl>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left="0" w:right="0" w:firstLine="42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right="0" w:firstLine="640" w:firstLineChars="200"/>
        <w:jc w:val="left"/>
        <w:rPr>
          <w:rFonts w:hint="eastAsia" w:ascii="仿宋" w:hAnsi="仿宋" w:eastAsia="黑体" w:cs="仿宋"/>
          <w:i w:val="0"/>
          <w:iCs w:val="0"/>
          <w:caps w:val="0"/>
          <w:color w:val="000000"/>
          <w:spacing w:val="0"/>
          <w:sz w:val="32"/>
          <w:szCs w:val="32"/>
          <w:highlight w:val="yellow"/>
          <w:lang w:eastAsia="zh-CN"/>
        </w:rPr>
      </w:pPr>
      <w:r>
        <w:rPr>
          <w:rFonts w:hint="eastAsia" w:ascii="黑体" w:hAnsi="黑体" w:eastAsia="黑体" w:cs="黑体"/>
          <w:i w:val="0"/>
          <w:iCs w:val="0"/>
          <w:caps w:val="0"/>
          <w:color w:val="000000"/>
          <w:spacing w:val="0"/>
          <w:sz w:val="32"/>
          <w:szCs w:val="32"/>
        </w:rPr>
        <w:t>三、收到和处理政府信息公开申请情况</w:t>
      </w:r>
    </w:p>
    <w:tbl>
      <w:tblPr>
        <w:tblStyle w:val="3"/>
        <w:tblW w:w="903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7"/>
        <w:gridCol w:w="1119"/>
        <w:gridCol w:w="2854"/>
        <w:gridCol w:w="797"/>
        <w:gridCol w:w="606"/>
        <w:gridCol w:w="592"/>
        <w:gridCol w:w="606"/>
        <w:gridCol w:w="577"/>
        <w:gridCol w:w="565"/>
        <w:gridCol w:w="5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4760"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（本列数据的勾稽关系为：第一项加第二项之和，等于第三项加第四项之和）</w:t>
            </w:r>
          </w:p>
        </w:tc>
        <w:tc>
          <w:tcPr>
            <w:tcW w:w="4279" w:type="dxa"/>
            <w:gridSpan w:val="7"/>
            <w:tcBorders>
              <w:top w:val="single" w:color="auto" w:sz="6" w:space="0"/>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476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仿宋" w:hAnsi="仿宋" w:eastAsia="仿宋" w:cs="仿宋"/>
                <w:sz w:val="32"/>
                <w:szCs w:val="32"/>
              </w:rPr>
            </w:pPr>
          </w:p>
        </w:tc>
        <w:tc>
          <w:tcPr>
            <w:tcW w:w="797"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自然人</w:t>
            </w:r>
          </w:p>
        </w:tc>
        <w:tc>
          <w:tcPr>
            <w:tcW w:w="2946" w:type="dxa"/>
            <w:gridSpan w:val="5"/>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法人或其他组织</w:t>
            </w:r>
          </w:p>
        </w:tc>
        <w:tc>
          <w:tcPr>
            <w:tcW w:w="536"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8" w:hRule="atLeast"/>
          <w:jc w:val="center"/>
        </w:trPr>
        <w:tc>
          <w:tcPr>
            <w:tcW w:w="4760"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jc w:val="center"/>
              <w:rPr>
                <w:rFonts w:hint="eastAsia" w:ascii="仿宋" w:hAnsi="仿宋" w:eastAsia="仿宋" w:cs="仿宋"/>
                <w:sz w:val="32"/>
                <w:szCs w:val="32"/>
              </w:rPr>
            </w:pPr>
          </w:p>
        </w:tc>
        <w:tc>
          <w:tcPr>
            <w:tcW w:w="797"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企业</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机构</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社会公益组织</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法律服务机构</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w:t>
            </w:r>
          </w:p>
        </w:tc>
        <w:tc>
          <w:tcPr>
            <w:tcW w:w="536"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476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一、本年新收政府信息公开申请数量</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476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二、上年结转政府信息公开申请数量</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787"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三、本年度办理结果</w:t>
            </w:r>
          </w:p>
        </w:tc>
        <w:tc>
          <w:tcPr>
            <w:tcW w:w="3973"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（一）予以公开</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37"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3973"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（二）部分公开（区分处理的，只计这一情形，不计其他情形）</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（三）不予公开</w:t>
            </w: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1.属于国家秘密</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2.其他法律行政法规禁止公开</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3.危及“三安全一稳定”</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4.保护第三方合法权益</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5.属于三类内部事务信息</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6.属于四类过程性信息</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7.属于行政执法案卷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8.属于行政查询事项</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（四）无法提供</w:t>
            </w: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1.本机关不掌握相关政府信息</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2.没有现成信息需要另行制作</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3.补正后申请内容仍不明确</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restart"/>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keepNext w:val="0"/>
              <w:keepLines w:val="0"/>
              <w:widowControl/>
              <w:suppressLineNumbers w:val="0"/>
              <w:jc w:val="center"/>
              <w:rPr>
                <w:rFonts w:hint="eastAsia" w:ascii="仿宋" w:hAnsi="仿宋" w:eastAsia="仿宋" w:cs="仿宋"/>
                <w:sz w:val="32"/>
                <w:szCs w:val="32"/>
              </w:rPr>
            </w:pPr>
          </w:p>
        </w:tc>
        <w:tc>
          <w:tcPr>
            <w:tcW w:w="1119"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（五）不予处理</w:t>
            </w: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1.信访举报投诉类申请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3"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2.重复申请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3.要求提供公开出版物</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430"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4.无正当理由大量反复申请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37"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5.要求行政机关确认或重新出具已获取信息</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44"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restart"/>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（六）其他处理</w:t>
            </w: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1.申请人无正当理由逾期不补正、行政机关不再处理其政府信息公开申请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51"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2.申请人逾期未按收费通知要求缴纳费用、行政机关不再处理其政府信息公开申请</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1119" w:type="dxa"/>
            <w:vMerge w:val="continue"/>
            <w:tcBorders>
              <w:top w:val="nil"/>
              <w:left w:val="nil"/>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2854"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3.其他</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3" w:hRule="atLeast"/>
          <w:jc w:val="center"/>
        </w:trPr>
        <w:tc>
          <w:tcPr>
            <w:tcW w:w="787" w:type="dxa"/>
            <w:vMerge w:val="continue"/>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jc w:val="center"/>
              <w:rPr>
                <w:rFonts w:hint="eastAsia" w:ascii="仿宋" w:hAnsi="仿宋" w:eastAsia="仿宋" w:cs="仿宋"/>
                <w:sz w:val="32"/>
                <w:szCs w:val="32"/>
              </w:rPr>
            </w:pPr>
          </w:p>
        </w:tc>
        <w:tc>
          <w:tcPr>
            <w:tcW w:w="3973" w:type="dxa"/>
            <w:gridSpan w:val="2"/>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（七）总计</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0" w:hRule="atLeast"/>
          <w:jc w:val="center"/>
        </w:trPr>
        <w:tc>
          <w:tcPr>
            <w:tcW w:w="4760" w:type="dxa"/>
            <w:gridSpan w:val="3"/>
            <w:tcBorders>
              <w:top w:val="nil"/>
              <w:left w:val="single" w:color="auto" w:sz="6" w:space="0"/>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四、结转下年度继续办理</w:t>
            </w:r>
          </w:p>
        </w:tc>
        <w:tc>
          <w:tcPr>
            <w:tcW w:w="79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92"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77"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65"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36" w:type="dxa"/>
            <w:tcBorders>
              <w:top w:val="nil"/>
              <w:left w:val="nil"/>
              <w:bottom w:val="single" w:color="auto" w:sz="6" w:space="0"/>
              <w:right w:val="single" w:color="auto" w:sz="6" w:space="0"/>
            </w:tcBorders>
            <w:shd w:val="clear" w:color="auto" w:fill="auto"/>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bl>
    <w:p>
      <w:pPr>
        <w:pStyle w:val="2"/>
        <w:keepNext w:val="0"/>
        <w:keepLines w:val="0"/>
        <w:widowControl/>
        <w:suppressLineNumbers w:val="0"/>
        <w:spacing w:before="0" w:beforeAutospacing="0" w:after="0" w:afterAutospacing="0" w:line="420" w:lineRule="atLeast"/>
        <w:ind w:right="0" w:firstLine="640" w:firstLineChars="20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right="0" w:firstLine="640" w:firstLineChars="200"/>
        <w:jc w:val="left"/>
        <w:rPr>
          <w:rFonts w:hint="eastAsia" w:ascii="黑体" w:hAnsi="黑体" w:eastAsia="黑体" w:cs="黑体"/>
          <w:i w:val="0"/>
          <w:iCs w:val="0"/>
          <w:caps w:val="0"/>
          <w:color w:val="000000"/>
          <w:spacing w:val="0"/>
          <w:sz w:val="32"/>
          <w:szCs w:val="32"/>
        </w:rPr>
      </w:pPr>
    </w:p>
    <w:p>
      <w:pPr>
        <w:pStyle w:val="2"/>
        <w:keepNext w:val="0"/>
        <w:keepLines w:val="0"/>
        <w:widowControl/>
        <w:suppressLineNumbers w:val="0"/>
        <w:spacing w:before="0" w:beforeAutospacing="0" w:after="0" w:afterAutospacing="0" w:line="420" w:lineRule="atLeast"/>
        <w:ind w:right="0" w:firstLine="640" w:firstLineChars="200"/>
        <w:jc w:val="left"/>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四、政府信息公开行政复议、行政诉讼情况</w:t>
      </w:r>
    </w:p>
    <w:tbl>
      <w:tblPr>
        <w:tblStyle w:val="3"/>
        <w:tblW w:w="88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09"/>
        <w:gridCol w:w="409"/>
        <w:gridCol w:w="863"/>
        <w:gridCol w:w="863"/>
        <w:gridCol w:w="409"/>
        <w:gridCol w:w="863"/>
        <w:gridCol w:w="863"/>
        <w:gridCol w:w="863"/>
        <w:gridCol w:w="863"/>
        <w:gridCol w:w="409"/>
        <w:gridCol w:w="863"/>
        <w:gridCol w:w="863"/>
        <w:gridCol w:w="863"/>
        <w:gridCol w:w="863"/>
        <w:gridCol w:w="4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2895" w:type="dxa"/>
            <w:gridSpan w:val="5"/>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行政复议</w:t>
            </w:r>
          </w:p>
        </w:tc>
        <w:tc>
          <w:tcPr>
            <w:tcW w:w="5925" w:type="dxa"/>
            <w:gridSpan w:val="10"/>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结果维持</w:t>
            </w:r>
          </w:p>
        </w:tc>
        <w:tc>
          <w:tcPr>
            <w:tcW w:w="61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纠正</w:t>
            </w:r>
          </w:p>
        </w:tc>
        <w:tc>
          <w:tcPr>
            <w:tcW w:w="600"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   结果</w:t>
            </w:r>
          </w:p>
        </w:tc>
        <w:tc>
          <w:tcPr>
            <w:tcW w:w="58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   审结</w:t>
            </w:r>
          </w:p>
        </w:tc>
        <w:tc>
          <w:tcPr>
            <w:tcW w:w="465" w:type="dxa"/>
            <w:vMerge w:val="restart"/>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总计</w:t>
            </w:r>
          </w:p>
        </w:tc>
        <w:tc>
          <w:tcPr>
            <w:tcW w:w="3015"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未经复议直接起诉</w:t>
            </w:r>
          </w:p>
        </w:tc>
        <w:tc>
          <w:tcPr>
            <w:tcW w:w="2910" w:type="dxa"/>
            <w:gridSpan w:val="5"/>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rPr>
                <w:rFonts w:hint="eastAsia" w:ascii="仿宋" w:hAnsi="仿宋" w:eastAsia="仿宋" w:cs="仿宋"/>
                <w:sz w:val="32"/>
                <w:szCs w:val="32"/>
              </w:rPr>
            </w:pPr>
          </w:p>
        </w:tc>
        <w:tc>
          <w:tcPr>
            <w:tcW w:w="61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 w:hAnsi="仿宋" w:eastAsia="仿宋" w:cs="仿宋"/>
                <w:sz w:val="32"/>
                <w:szCs w:val="32"/>
              </w:rPr>
            </w:pPr>
          </w:p>
        </w:tc>
        <w:tc>
          <w:tcPr>
            <w:tcW w:w="600"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 w:hAnsi="仿宋" w:eastAsia="仿宋" w:cs="仿宋"/>
                <w:sz w:val="32"/>
                <w:szCs w:val="32"/>
              </w:rPr>
            </w:pPr>
          </w:p>
        </w:tc>
        <w:tc>
          <w:tcPr>
            <w:tcW w:w="58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 w:hAnsi="仿宋" w:eastAsia="仿宋" w:cs="仿宋"/>
                <w:sz w:val="32"/>
                <w:szCs w:val="32"/>
              </w:rPr>
            </w:pPr>
          </w:p>
        </w:tc>
        <w:tc>
          <w:tcPr>
            <w:tcW w:w="465" w:type="dxa"/>
            <w:vMerge w:val="continue"/>
            <w:tcBorders>
              <w:top w:val="nil"/>
              <w:left w:val="nil"/>
              <w:bottom w:val="single" w:color="auto" w:sz="6" w:space="0"/>
              <w:right w:val="single" w:color="auto" w:sz="6" w:space="0"/>
            </w:tcBorders>
            <w:shd w:val="clear" w:color="auto" w:fill="auto"/>
            <w:tcMar>
              <w:left w:w="105" w:type="dxa"/>
              <w:right w:w="105" w:type="dxa"/>
            </w:tcMar>
            <w:vAlign w:val="center"/>
          </w:tcPr>
          <w:p>
            <w:pPr>
              <w:rPr>
                <w:rFonts w:hint="eastAsia" w:ascii="仿宋" w:hAnsi="仿宋" w:eastAsia="仿宋" w:cs="仿宋"/>
                <w:sz w:val="32"/>
                <w:szCs w:val="32"/>
              </w:rPr>
            </w:pP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   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   纠正</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   结果</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   审结</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总计</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   维持</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结果   纠正</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其他   结果</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尚未   审结</w:t>
            </w:r>
          </w:p>
        </w:tc>
        <w:tc>
          <w:tcPr>
            <w:tcW w:w="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615"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1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0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8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46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3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420"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64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55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c>
          <w:tcPr>
            <w:tcW w:w="405"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Fonts w:hint="eastAsia" w:ascii="仿宋" w:hAnsi="仿宋" w:eastAsia="仿宋" w:cs="仿宋"/>
                <w:sz w:val="32"/>
                <w:szCs w:val="32"/>
              </w:rPr>
            </w:pPr>
            <w:r>
              <w:rPr>
                <w:rFonts w:hint="eastAsia" w:ascii="仿宋" w:hAnsi="仿宋" w:eastAsia="仿宋" w:cs="仿宋"/>
                <w:sz w:val="32"/>
                <w:szCs w:val="32"/>
              </w:rPr>
              <w:t>0</w:t>
            </w:r>
          </w:p>
        </w:tc>
      </w:tr>
    </w:tbl>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202</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年，中心政务公开工作取得一定成效，仍然存在主动公开的责任需要进一步压实，主动公开的力度有待提高，政务公开工作人员业务能力还需进一步提升等问题。对此，我们将继续按照区政府关于推进政务公开工作的部署要求，</w:t>
      </w:r>
      <w:r>
        <w:rPr>
          <w:rFonts w:hint="eastAsia" w:ascii="仿宋" w:hAnsi="仿宋" w:eastAsia="仿宋" w:cs="仿宋"/>
          <w:i w:val="0"/>
          <w:iCs w:val="0"/>
          <w:caps w:val="0"/>
          <w:color w:val="000000"/>
          <w:spacing w:val="0"/>
          <w:sz w:val="32"/>
          <w:szCs w:val="32"/>
          <w:lang w:eastAsia="zh-CN"/>
        </w:rPr>
        <w:t>继续</w:t>
      </w:r>
      <w:r>
        <w:rPr>
          <w:rFonts w:hint="eastAsia" w:ascii="仿宋" w:hAnsi="仿宋" w:eastAsia="仿宋" w:cs="仿宋"/>
          <w:i w:val="0"/>
          <w:iCs w:val="0"/>
          <w:caps w:val="0"/>
          <w:color w:val="000000"/>
          <w:spacing w:val="0"/>
          <w:sz w:val="32"/>
          <w:szCs w:val="32"/>
        </w:rPr>
        <w:t>提升公开水平。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一是强化责任落实。严格按照</w:t>
      </w:r>
      <w:r>
        <w:rPr>
          <w:rFonts w:hint="eastAsia" w:ascii="仿宋" w:hAnsi="仿宋" w:eastAsia="仿宋" w:cs="仿宋"/>
          <w:i w:val="0"/>
          <w:iCs w:val="0"/>
          <w:caps w:val="0"/>
          <w:color w:val="000000"/>
          <w:spacing w:val="0"/>
          <w:sz w:val="32"/>
          <w:szCs w:val="32"/>
          <w:lang w:eastAsia="zh-CN"/>
        </w:rPr>
        <w:t>中心</w:t>
      </w:r>
      <w:r>
        <w:rPr>
          <w:rFonts w:hint="eastAsia" w:ascii="仿宋" w:hAnsi="仿宋" w:eastAsia="仿宋" w:cs="仿宋"/>
          <w:i w:val="0"/>
          <w:iCs w:val="0"/>
          <w:caps w:val="0"/>
          <w:color w:val="000000"/>
          <w:spacing w:val="0"/>
          <w:sz w:val="32"/>
          <w:szCs w:val="32"/>
        </w:rPr>
        <w:t>主动公开目录确定的分工，明确科室信息公开的主体责任，强化“谁主管、谁负责，谁制作、谁发布”的信息公开工作机制。确定信息公开专职工作人员，负责做好日常信息公开工作，进一步提高信息公开时效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二是加强业务培训学习。组织开展政务公开培训活动，不断加强政务公开工作人员政策理论学习和业务研究，增强专业素养，提高政务公开工作的能力和水平。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中心依据《政府信息公开信息处理费管理办法》，没有收取任何信息处理费用。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（二）落实上级年度政务公开工作要点情况：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中心</w:t>
      </w:r>
      <w:r>
        <w:rPr>
          <w:rFonts w:hint="eastAsia" w:ascii="仿宋" w:hAnsi="仿宋" w:eastAsia="仿宋" w:cs="仿宋"/>
          <w:i w:val="0"/>
          <w:iCs w:val="0"/>
          <w:caps w:val="0"/>
          <w:color w:val="000000"/>
          <w:spacing w:val="0"/>
          <w:sz w:val="32"/>
          <w:szCs w:val="32"/>
        </w:rPr>
        <w:t>高度重视政府信息公开工作，为更好地提供政府信息公开服务，方便公民、法人和其他组织获得相关政府信息，明确了专门人员具体负责政府信息公开的日常工作。紧紧围绕</w:t>
      </w:r>
      <w:r>
        <w:rPr>
          <w:rFonts w:hint="eastAsia" w:ascii="仿宋" w:hAnsi="仿宋" w:eastAsia="仿宋" w:cs="仿宋"/>
          <w:i w:val="0"/>
          <w:iCs w:val="0"/>
          <w:caps w:val="0"/>
          <w:color w:val="000000"/>
          <w:spacing w:val="0"/>
          <w:sz w:val="32"/>
          <w:szCs w:val="32"/>
          <w:lang w:eastAsia="zh-CN"/>
        </w:rPr>
        <w:t>公共资源交易</w:t>
      </w:r>
      <w:r>
        <w:rPr>
          <w:rFonts w:hint="eastAsia" w:ascii="仿宋" w:hAnsi="仿宋" w:eastAsia="仿宋" w:cs="仿宋"/>
          <w:i w:val="0"/>
          <w:iCs w:val="0"/>
          <w:caps w:val="0"/>
          <w:color w:val="000000"/>
          <w:spacing w:val="0"/>
          <w:sz w:val="32"/>
          <w:szCs w:val="32"/>
        </w:rPr>
        <w:t>工作实际，以公开促落实、促规范、促服务，不断提升政务公开的质量和实效。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（三）人大代表建议和政协提案办理结果公开情况：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lang w:val="en-US" w:eastAsia="zh-CN"/>
        </w:rPr>
        <w:t>2022年未收到</w:t>
      </w:r>
      <w:r>
        <w:rPr>
          <w:rFonts w:hint="eastAsia" w:ascii="仿宋" w:hAnsi="仿宋" w:eastAsia="仿宋" w:cs="仿宋"/>
          <w:i w:val="0"/>
          <w:iCs w:val="0"/>
          <w:caps w:val="0"/>
          <w:color w:val="000000"/>
          <w:spacing w:val="0"/>
          <w:sz w:val="32"/>
          <w:szCs w:val="32"/>
        </w:rPr>
        <w:t>人大代表建议和政协提案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（四）202</w:t>
      </w:r>
      <w:r>
        <w:rPr>
          <w:rFonts w:hint="eastAsia" w:ascii="方正楷体简体" w:hAnsi="方正楷体简体" w:eastAsia="方正楷体简体" w:cs="方正楷体简体"/>
          <w:i w:val="0"/>
          <w:iCs w:val="0"/>
          <w:caps w:val="0"/>
          <w:color w:val="000000"/>
          <w:spacing w:val="0"/>
          <w:sz w:val="32"/>
          <w:szCs w:val="32"/>
          <w:lang w:val="en-US" w:eastAsia="zh-CN"/>
        </w:rPr>
        <w:t>2</w:t>
      </w:r>
      <w:r>
        <w:rPr>
          <w:rFonts w:hint="eastAsia" w:ascii="方正楷体简体" w:hAnsi="方正楷体简体" w:eastAsia="方正楷体简体" w:cs="方正楷体简体"/>
          <w:i w:val="0"/>
          <w:iCs w:val="0"/>
          <w:caps w:val="0"/>
          <w:color w:val="000000"/>
          <w:spacing w:val="0"/>
          <w:sz w:val="32"/>
          <w:szCs w:val="32"/>
        </w:rPr>
        <w:t>年度政务公开工作创新情况：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lang w:eastAsia="zh-CN"/>
        </w:rPr>
        <w:t>区</w:t>
      </w:r>
      <w:r>
        <w:rPr>
          <w:rFonts w:hint="eastAsia" w:ascii="仿宋" w:hAnsi="仿宋" w:eastAsia="仿宋" w:cs="仿宋"/>
          <w:i w:val="0"/>
          <w:iCs w:val="0"/>
          <w:caps w:val="0"/>
          <w:color w:val="000000"/>
          <w:spacing w:val="0"/>
          <w:sz w:val="32"/>
          <w:szCs w:val="32"/>
        </w:rPr>
        <w:t>公共资源交易中心持续</w:t>
      </w:r>
      <w:r>
        <w:rPr>
          <w:rFonts w:hint="eastAsia" w:ascii="仿宋" w:hAnsi="仿宋" w:eastAsia="仿宋" w:cs="仿宋"/>
          <w:i w:val="0"/>
          <w:iCs w:val="0"/>
          <w:caps w:val="0"/>
          <w:color w:val="000000"/>
          <w:spacing w:val="0"/>
          <w:sz w:val="32"/>
          <w:szCs w:val="32"/>
          <w:lang w:eastAsia="zh-CN"/>
        </w:rPr>
        <w:t>做好平台运维工作，</w:t>
      </w:r>
      <w:r>
        <w:rPr>
          <w:rFonts w:hint="eastAsia" w:ascii="仿宋" w:hAnsi="仿宋" w:eastAsia="仿宋" w:cs="仿宋"/>
          <w:i w:val="0"/>
          <w:iCs w:val="0"/>
          <w:caps w:val="0"/>
          <w:color w:val="000000"/>
          <w:spacing w:val="0"/>
          <w:sz w:val="32"/>
          <w:szCs w:val="32"/>
        </w:rPr>
        <w:t>充分运用“互联网+”优化营商环境</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一是全面启用行政监管部门、招标人、投标人、招标代理机构等多主体电子签章，实现</w:t>
      </w:r>
      <w:r>
        <w:rPr>
          <w:rFonts w:hint="eastAsia" w:ascii="仿宋" w:hAnsi="仿宋" w:eastAsia="仿宋" w:cs="仿宋"/>
          <w:i w:val="0"/>
          <w:iCs w:val="0"/>
          <w:caps w:val="0"/>
          <w:color w:val="000000"/>
          <w:spacing w:val="0"/>
          <w:sz w:val="32"/>
          <w:szCs w:val="32"/>
          <w:lang w:eastAsia="zh-CN"/>
        </w:rPr>
        <w:t>项目</w:t>
      </w:r>
      <w:r>
        <w:rPr>
          <w:rFonts w:hint="eastAsia" w:ascii="仿宋" w:hAnsi="仿宋" w:eastAsia="仿宋" w:cs="仿宋"/>
          <w:i w:val="0"/>
          <w:iCs w:val="0"/>
          <w:caps w:val="0"/>
          <w:color w:val="000000"/>
          <w:spacing w:val="0"/>
          <w:sz w:val="32"/>
          <w:szCs w:val="32"/>
        </w:rPr>
        <w:t>全链条网上办理，进一步优化了建设工程招标投标交易流程。二是与市中心同步完成与省公共资源交易多CA统一认证平台对接，实现在省内公共资源交易领域CA数字证书跨平台互认，节约了外地企业办理CA的时间和费用，有助于提高外地企业参与度。三是积极配合协助我区行政监督部门对接市级部门开通了电子化行政监管系统，实现所有备案项目在招投标行政监管平台上的全流程监管。四是成功建设运行远程异地评标系统，远程异地评标系统全过程留痕操作。五是完全实现项目投标保证金的分类、线上带息快速自动退还，在济宁市各县市区分中心率先与市级同步实现了保证金线上一键带息自动退还，大大提高了工作效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（五）政府信息公开工作年度报告数据统计需要说明的事项：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无其他需要说明的事项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（六）本行政机关认为需要报告的其他事项：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highlight w:val="none"/>
          <w:lang w:eastAsia="zh-CN"/>
        </w:rPr>
      </w:pPr>
      <w:r>
        <w:rPr>
          <w:rFonts w:hint="eastAsia" w:ascii="仿宋" w:hAnsi="仿宋" w:eastAsia="仿宋" w:cs="仿宋"/>
          <w:i w:val="0"/>
          <w:iCs w:val="0"/>
          <w:caps w:val="0"/>
          <w:color w:val="000000"/>
          <w:spacing w:val="0"/>
          <w:sz w:val="32"/>
          <w:szCs w:val="32"/>
          <w:highlight w:val="none"/>
          <w:lang w:eastAsia="zh-CN"/>
        </w:rPr>
        <w:t>无</w:t>
      </w:r>
      <w:r>
        <w:rPr>
          <w:rFonts w:hint="eastAsia" w:ascii="仿宋" w:hAnsi="仿宋" w:eastAsia="仿宋" w:cs="仿宋"/>
          <w:i w:val="0"/>
          <w:iCs w:val="0"/>
          <w:caps w:val="0"/>
          <w:color w:val="000000"/>
          <w:spacing w:val="0"/>
          <w:sz w:val="32"/>
          <w:szCs w:val="32"/>
          <w:lang w:val="en-US" w:eastAsia="zh-CN"/>
        </w:rPr>
        <w:t>需要报告的其他事项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简体" w:hAnsi="方正楷体简体" w:eastAsia="方正楷体简体" w:cs="方正楷体简体"/>
          <w:i w:val="0"/>
          <w:iCs w:val="0"/>
          <w:caps w:val="0"/>
          <w:color w:val="000000"/>
          <w:spacing w:val="0"/>
          <w:sz w:val="32"/>
          <w:szCs w:val="32"/>
        </w:rPr>
      </w:pPr>
      <w:r>
        <w:rPr>
          <w:rFonts w:hint="eastAsia" w:ascii="方正楷体简体" w:hAnsi="方正楷体简体" w:eastAsia="方正楷体简体" w:cs="方正楷体简体"/>
          <w:i w:val="0"/>
          <w:iCs w:val="0"/>
          <w:caps w:val="0"/>
          <w:color w:val="000000"/>
          <w:spacing w:val="0"/>
          <w:sz w:val="32"/>
          <w:szCs w:val="32"/>
        </w:rPr>
        <w:t>（七）其他有关文件专门要求通过政府信息公开工作年度报告予以报告的事项：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中心没有其他有关文件专门要求通过政府信息公开工作年度报告予以报告的事项。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mRhNDEzNzNjMWFmNTFhMTBlZTI3OGE1NzJkNzIifQ=="/>
  </w:docVars>
  <w:rsids>
    <w:rsidRoot w:val="3E537456"/>
    <w:rsid w:val="11A7073B"/>
    <w:rsid w:val="33BD415B"/>
    <w:rsid w:val="3B177F0C"/>
    <w:rsid w:val="3E537456"/>
    <w:rsid w:val="6B5B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3426</Words>
  <Characters>3507</Characters>
  <Lines>0</Lines>
  <Paragraphs>0</Paragraphs>
  <TotalTime>8</TotalTime>
  <ScaleCrop>false</ScaleCrop>
  <LinksUpToDate>false</LinksUpToDate>
  <CharactersWithSpaces>3538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2023-01-05T02:12:00Z</dcterms:created>
  <dc:creator>初号机</dc:creator>
  <cp:lastModifiedBy>。。。</cp:lastModifiedBy>
  <dcterms:modified xsi:type="dcterms:W3CDTF">2023-01-06T01:33:58Z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345339D9F1BB42E187173F50266A3F0F</vt:lpwstr>
  </property>
</Properties>
</file>