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济宁市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兖州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区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机关事务服务中心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2019年政府信息公开年度报告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t>本年度报告是根据《中华人民共和国政府信息公开条例》（以下简称《条例》）、《山东省政府信息公开办法》（以下简称《办法》）要求，由区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lang w:eastAsia="zh-CN"/>
        </w:rPr>
        <w:t>机关事务服务中心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t>编制而成。本报告的电子版可在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lang w:eastAsia="zh-CN"/>
        </w:rPr>
        <w:t>济宁市兖州区人民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t>政府网站（www.yanzhou.gov.cn）下载。如对本报告有任何疑问，请与兖州区机关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lang w:eastAsia="zh-CN"/>
        </w:rPr>
        <w:t>事务服务中心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t>联系（地址：兖州区九州中路99号行政办公中心；邮编：272100；电话：0537-3417208；传真：0537-3432379；电子邮箱：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instrText xml:space="preserve"> HYPERLINK "mailto:yzqxgj@163.com"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fldChar w:fldCharType="separate"/>
      </w:r>
      <w:r>
        <w:rPr>
          <w:rStyle w:val="5"/>
          <w:rFonts w:hint="eastAsia" w:ascii="方正仿宋简体" w:hAnsi="方正仿宋简体" w:eastAsia="方正仿宋简体" w:cs="方正仿宋简体"/>
          <w:i w:val="0"/>
          <w:caps w:val="0"/>
          <w:spacing w:val="0"/>
          <w:sz w:val="32"/>
          <w:szCs w:val="32"/>
        </w:rPr>
        <w:t>yzqxgj@163.com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fldChar w:fldCharType="end"/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一、总体情况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2019年，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区机关事务服务中心</w:t>
      </w:r>
      <w:r>
        <w:rPr>
          <w:rFonts w:hint="eastAsia" w:ascii="Times New Roman" w:hAnsi="Times New Roman" w:eastAsia="方正仿宋简体"/>
          <w:sz w:val="32"/>
          <w:szCs w:val="32"/>
        </w:rPr>
        <w:t>认真贯彻落实《中华人民共和国政府信息公开条例》（以下简称《条例》）和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</w:rPr>
        <w:t>《山东省政府信息公开办法》</w:t>
      </w:r>
      <w:r>
        <w:rPr>
          <w:rFonts w:hint="eastAsia" w:ascii="Times New Roman" w:hAnsi="Times New Roman" w:eastAsia="方正仿宋简体"/>
          <w:sz w:val="32"/>
          <w:szCs w:val="32"/>
        </w:rPr>
        <w:t>文件精神，2019年全年，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区机关事务服务中心</w:t>
      </w:r>
      <w:r>
        <w:rPr>
          <w:rFonts w:hint="eastAsia" w:ascii="Times New Roman" w:hAnsi="Times New Roman" w:eastAsia="方正仿宋简体"/>
          <w:sz w:val="32"/>
          <w:szCs w:val="32"/>
        </w:rPr>
        <w:t>主动公开政府信息共计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简体"/>
          <w:sz w:val="32"/>
          <w:szCs w:val="32"/>
        </w:rPr>
        <w:t>条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  <w:r>
        <w:rPr>
          <w:rFonts w:hint="eastAsia" w:ascii="Times New Roman" w:eastAsia="方正仿宋简体"/>
          <w:sz w:val="32"/>
          <w:szCs w:val="32"/>
        </w:rPr>
        <w:t>严格按照新《条例》的规定全面梳理应当主动公开的政府信息，提高信息公开质量，确保新《条例》贯彻落实到位。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方正楷体简体" w:hAnsi="Times New Roman" w:eastAsia="方正楷体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sz w:val="32"/>
          <w:szCs w:val="32"/>
        </w:rPr>
        <w:t>（一）贯彻落实新修订的《中华人民共和国政府信息公开条例》情况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eastAsia="方正仿宋简体"/>
          <w:sz w:val="32"/>
          <w:szCs w:val="32"/>
        </w:rPr>
      </w:pPr>
      <w:r>
        <w:rPr>
          <w:rFonts w:hint="eastAsia" w:ascii="Times New Roman" w:eastAsia="方正仿宋简体"/>
          <w:b w:val="0"/>
          <w:bCs/>
          <w:sz w:val="32"/>
          <w:szCs w:val="32"/>
        </w:rPr>
        <w:t>加强学习，提高认识</w:t>
      </w:r>
      <w:r>
        <w:rPr>
          <w:rFonts w:hint="eastAsia" w:ascii="Times New Roman" w:eastAsia="方正仿宋简体"/>
          <w:b/>
          <w:sz w:val="32"/>
          <w:szCs w:val="32"/>
        </w:rPr>
        <w:t>。</w:t>
      </w:r>
      <w:r>
        <w:rPr>
          <w:rFonts w:hint="eastAsia" w:ascii="Times New Roman" w:eastAsia="方正仿宋简体"/>
          <w:b w:val="0"/>
          <w:bCs/>
          <w:sz w:val="32"/>
          <w:szCs w:val="32"/>
          <w:lang w:eastAsia="zh-CN"/>
        </w:rPr>
        <w:t>区机关事务服务中心安排</w:t>
      </w:r>
      <w:r>
        <w:rPr>
          <w:rFonts w:hint="eastAsia" w:ascii="Times New Roman" w:eastAsia="方正仿宋简体"/>
          <w:sz w:val="32"/>
          <w:szCs w:val="32"/>
        </w:rPr>
        <w:t>学习《条例》内容，</w:t>
      </w:r>
      <w:r>
        <w:rPr>
          <w:rFonts w:ascii="Times New Roman" w:eastAsia="方正仿宋简体"/>
          <w:sz w:val="32"/>
          <w:szCs w:val="32"/>
        </w:rPr>
        <w:t>进一步提升</w:t>
      </w:r>
      <w:r>
        <w:rPr>
          <w:rFonts w:hint="eastAsia" w:ascii="Times New Roman" w:eastAsia="方正仿宋简体"/>
          <w:sz w:val="32"/>
          <w:szCs w:val="32"/>
        </w:rPr>
        <w:t>党员领导干部</w:t>
      </w:r>
      <w:r>
        <w:rPr>
          <w:rFonts w:ascii="Times New Roman" w:eastAsia="方正仿宋简体"/>
          <w:sz w:val="32"/>
          <w:szCs w:val="32"/>
        </w:rPr>
        <w:t>政府信息公开意识</w:t>
      </w:r>
      <w:r>
        <w:rPr>
          <w:rFonts w:hint="eastAsia" w:ascii="Times New Roman" w:eastAsia="方正仿宋简体"/>
          <w:sz w:val="32"/>
          <w:szCs w:val="32"/>
        </w:rPr>
        <w:t>；组织</w:t>
      </w:r>
      <w:r>
        <w:rPr>
          <w:rFonts w:hint="eastAsia" w:ascii="Times New Roman" w:eastAsia="方正仿宋简体"/>
          <w:sz w:val="32"/>
          <w:szCs w:val="32"/>
          <w:lang w:eastAsia="zh-CN"/>
        </w:rPr>
        <w:t>人员参加区</w:t>
      </w:r>
      <w:r>
        <w:rPr>
          <w:rFonts w:hint="eastAsia" w:ascii="Times New Roman" w:eastAsia="方正仿宋简体"/>
          <w:sz w:val="32"/>
          <w:szCs w:val="32"/>
        </w:rPr>
        <w:t>“</w:t>
      </w:r>
      <w:r>
        <w:rPr>
          <w:rFonts w:hint="eastAsia" w:ascii="Times New Roman" w:eastAsia="方正仿宋简体"/>
          <w:sz w:val="32"/>
          <w:szCs w:val="32"/>
          <w:lang w:eastAsia="zh-CN"/>
        </w:rPr>
        <w:t>政务公开工作培训班</w:t>
      </w:r>
      <w:r>
        <w:rPr>
          <w:rFonts w:hint="eastAsia" w:ascii="Times New Roman" w:eastAsia="方正仿宋简体"/>
          <w:sz w:val="32"/>
          <w:szCs w:val="32"/>
        </w:rPr>
        <w:t>”</w:t>
      </w:r>
      <w:r>
        <w:rPr>
          <w:rFonts w:hint="eastAsia" w:ascii="Times New Roman" w:eastAsia="方正仿宋简体"/>
          <w:sz w:val="32"/>
          <w:szCs w:val="32"/>
          <w:lang w:eastAsia="zh-CN"/>
        </w:rPr>
        <w:t>的学习</w:t>
      </w:r>
      <w:r>
        <w:rPr>
          <w:rFonts w:hint="eastAsia" w:ascii="Times New Roman" w:eastAsia="方正仿宋简体"/>
          <w:sz w:val="32"/>
          <w:szCs w:val="32"/>
        </w:rPr>
        <w:t>，对《条例》进行了深入细致地学习</w:t>
      </w:r>
      <w:r>
        <w:rPr>
          <w:rFonts w:hint="eastAsia" w:ascii="Times New Roman" w:eastAsia="方正仿宋简体"/>
          <w:sz w:val="32"/>
          <w:szCs w:val="32"/>
          <w:lang w:eastAsia="zh-CN"/>
        </w:rPr>
        <w:t>并落实到工作实践，</w:t>
      </w:r>
      <w:r>
        <w:rPr>
          <w:rFonts w:hint="eastAsia" w:ascii="Times New Roman" w:eastAsia="方正仿宋简体"/>
          <w:sz w:val="32"/>
          <w:szCs w:val="32"/>
        </w:rPr>
        <w:t>全面提升做好政府信息公开工作的综合业务水平。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楷体简体" w:hAnsi="Times New Roman" w:eastAsia="方正楷体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sz w:val="32"/>
          <w:szCs w:val="32"/>
        </w:rPr>
        <w:t>（二）主动公开政府信息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eastAsia="方正仿宋简体"/>
          <w:sz w:val="32"/>
          <w:szCs w:val="32"/>
          <w:lang w:eastAsia="zh-CN"/>
        </w:rPr>
        <w:t>通过兖州区政府网站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信息公开栏目公开机构职能信息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条，人事信息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条，规划计划信息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条，部门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通知公告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5条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</w:t>
      </w:r>
      <w:r>
        <w:rPr>
          <w:rFonts w:hint="eastAsia" w:ascii="方正仿宋简体" w:hAnsi="Times New Roman" w:eastAsia="方正仿宋简体"/>
          <w:sz w:val="32"/>
          <w:szCs w:val="32"/>
        </w:rPr>
        <w:t>细化财政信息公开，</w:t>
      </w:r>
      <w:r>
        <w:rPr>
          <w:rFonts w:ascii="Times New Roman" w:hAnsi="Times New Roman" w:eastAsia="方正仿宋简体" w:cs="Times New Roman"/>
          <w:sz w:val="32"/>
          <w:szCs w:val="32"/>
        </w:rPr>
        <w:t>按照上级部署在规定的时间内公开了2019年度部门预算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sz w:val="32"/>
          <w:szCs w:val="32"/>
        </w:rPr>
        <w:t>含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经费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ascii="Times New Roman" w:hAnsi="Times New Roman" w:eastAsia="方正仿宋简体" w:cs="Times New Roman"/>
          <w:sz w:val="32"/>
          <w:szCs w:val="32"/>
        </w:rPr>
        <w:t>和2018年度部门决算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</w:rPr>
        <w:t>做好重要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</w:rPr>
        <w:t>措施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</w:rPr>
        <w:t>解读工作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新闻媒体解读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2条，</w:t>
      </w:r>
      <w:r>
        <w:rPr>
          <w:rFonts w:hint="eastAsia" w:ascii="Times New Roman" w:hAnsi="Times New Roman" w:eastAsia="方正仿宋简体"/>
          <w:sz w:val="32"/>
          <w:szCs w:val="32"/>
        </w:rPr>
        <w:t>坚持“谁起草谁解读”，切实做到文件与解读方案、解读材料同步组织、同步部署。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楷体简体" w:hAnsi="Times New Roman" w:eastAsia="方正楷体简体" w:cs="Times New Roman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（三）</w:t>
      </w:r>
      <w:r>
        <w:rPr>
          <w:rFonts w:hint="eastAsia" w:ascii="方正楷体简体" w:hAnsi="Times New Roman" w:eastAsia="方正楷体简体" w:cs="Times New Roman"/>
          <w:sz w:val="32"/>
          <w:szCs w:val="32"/>
        </w:rPr>
        <w:t>依申请公开情况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2019年区机关事务服务中心未收到依申请公开的信息。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楷体简体" w:hAnsi="Times New Roman" w:eastAsia="方正楷体简体" w:cs="Times New Roman"/>
          <w:sz w:val="32"/>
          <w:szCs w:val="32"/>
        </w:rPr>
      </w:pPr>
      <w:r>
        <w:rPr>
          <w:rFonts w:ascii="方正楷体简体" w:hAnsi="Times New Roman" w:eastAsia="方正楷体简体" w:cs="Times New Roman"/>
          <w:sz w:val="32"/>
          <w:szCs w:val="32"/>
        </w:rPr>
        <w:t>（</w:t>
      </w:r>
      <w:r>
        <w:rPr>
          <w:rFonts w:hint="eastAsia" w:ascii="方正楷体简体" w:hAnsi="Times New Roman" w:eastAsia="方正楷体简体" w:cs="Times New Roman"/>
          <w:sz w:val="32"/>
          <w:szCs w:val="32"/>
        </w:rPr>
        <w:t>四</w:t>
      </w:r>
      <w:r>
        <w:rPr>
          <w:rFonts w:ascii="方正楷体简体" w:hAnsi="Times New Roman" w:eastAsia="方正楷体简体" w:cs="Times New Roman"/>
          <w:sz w:val="32"/>
          <w:szCs w:val="32"/>
        </w:rPr>
        <w:t>）政府信息管理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区机关事务服务中心</w:t>
      </w:r>
      <w:r>
        <w:rPr>
          <w:rFonts w:ascii="Times New Roman" w:hAnsi="Times New Roman" w:eastAsia="方正仿宋简体"/>
          <w:sz w:val="32"/>
          <w:szCs w:val="32"/>
        </w:rPr>
        <w:t>积极</w:t>
      </w:r>
      <w:r>
        <w:rPr>
          <w:rFonts w:hint="eastAsia" w:ascii="Times New Roman" w:hAnsi="Times New Roman" w:eastAsia="方正仿宋简体"/>
          <w:sz w:val="32"/>
          <w:szCs w:val="32"/>
        </w:rPr>
        <w:t>加强政务公开机构建设，配备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专人进行</w:t>
      </w:r>
      <w:r>
        <w:rPr>
          <w:rFonts w:hint="eastAsia" w:ascii="Times New Roman" w:hAnsi="Times New Roman" w:eastAsia="方正仿宋简体"/>
          <w:sz w:val="32"/>
          <w:szCs w:val="32"/>
        </w:rPr>
        <w:t>政务公开工作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完善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方正仿宋简体"/>
          <w:sz w:val="32"/>
          <w:szCs w:val="32"/>
        </w:rPr>
        <w:t>政务公开工作机制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依法公开本机关的政务信息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二、主动公开政府信息情况</w:t>
      </w:r>
    </w:p>
    <w:p>
      <w:pPr>
        <w:pStyle w:val="2"/>
        <w:shd w:val="clear" w:color="auto" w:fill="FFFFFF"/>
        <w:spacing w:line="260" w:lineRule="exact"/>
        <w:ind w:left="42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8"/>
        <w:gridCol w:w="2332"/>
        <w:gridCol w:w="6"/>
        <w:gridCol w:w="1255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080" w:type="dxa"/>
            <w:gridSpan w:val="5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《条例》第二十条第（一）项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信息内容</w:t>
            </w:r>
          </w:p>
        </w:tc>
        <w:tc>
          <w:tcPr>
            <w:tcW w:w="233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本年新制作数量</w:t>
            </w:r>
          </w:p>
        </w:tc>
        <w:tc>
          <w:tcPr>
            <w:tcW w:w="126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本年新公开数量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规章</w:t>
            </w:r>
          </w:p>
        </w:tc>
        <w:tc>
          <w:tcPr>
            <w:tcW w:w="233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26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规范性文件</w:t>
            </w:r>
          </w:p>
        </w:tc>
        <w:tc>
          <w:tcPr>
            <w:tcW w:w="233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126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080" w:type="dxa"/>
            <w:gridSpan w:val="5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《条例》第二十条第（五）项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信息内容</w:t>
            </w:r>
          </w:p>
        </w:tc>
        <w:tc>
          <w:tcPr>
            <w:tcW w:w="233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上一年项目数量</w:t>
            </w:r>
          </w:p>
        </w:tc>
        <w:tc>
          <w:tcPr>
            <w:tcW w:w="126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本年增/减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行政许可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25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其他对外管理服务事项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25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080" w:type="dxa"/>
            <w:gridSpan w:val="5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《条例》第二十条第（六）项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信息内容</w:t>
            </w:r>
          </w:p>
        </w:tc>
        <w:tc>
          <w:tcPr>
            <w:tcW w:w="233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上一年项目数量</w:t>
            </w:r>
          </w:p>
        </w:tc>
        <w:tc>
          <w:tcPr>
            <w:tcW w:w="1261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本年增/减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行政处罚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25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行政强制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25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186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080" w:type="dxa"/>
            <w:gridSpan w:val="5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《条例》第二十条第（八）项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信息内容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上一年项目数量</w:t>
            </w:r>
          </w:p>
        </w:tc>
        <w:tc>
          <w:tcPr>
            <w:tcW w:w="312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行政事业性收费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312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080" w:type="dxa"/>
            <w:gridSpan w:val="5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《条例》第二十条第（九）项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信息内容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采购项目数量</w:t>
            </w:r>
          </w:p>
        </w:tc>
        <w:tc>
          <w:tcPr>
            <w:tcW w:w="312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61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政府集中采购</w:t>
            </w:r>
          </w:p>
        </w:tc>
        <w:tc>
          <w:tcPr>
            <w:tcW w:w="233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122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三、收到和处理政府信息公开申请情况</w:t>
      </w:r>
    </w:p>
    <w:p>
      <w:pPr>
        <w:pStyle w:val="2"/>
        <w:shd w:val="clear" w:color="auto" w:fill="FFFFFF"/>
        <w:spacing w:line="260" w:lineRule="exact"/>
        <w:ind w:left="42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3"/>
        <w:tblW w:w="8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548"/>
        <w:gridCol w:w="2413"/>
        <w:gridCol w:w="567"/>
        <w:gridCol w:w="567"/>
        <w:gridCol w:w="567"/>
        <w:gridCol w:w="567"/>
        <w:gridCol w:w="567"/>
        <w:gridCol w:w="575"/>
        <w:gridCol w:w="51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453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7" w:leftChars="-51" w:right="-107" w:rightChars="-5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929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453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13" w:rightChars="-54"/>
              <w:jc w:val="center"/>
              <w:rPr>
                <w:rFonts w:ascii="Times New Roman" w:hAnsi="Times New Roman" w:cs="Times New Roman"/>
                <w:bCs/>
                <w:spacing w:val="-2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20"/>
                <w:kern w:val="0"/>
                <w:sz w:val="20"/>
                <w:szCs w:val="20"/>
              </w:rPr>
              <w:t>自然人</w:t>
            </w:r>
          </w:p>
          <w:p>
            <w:pPr>
              <w:widowControl/>
              <w:spacing w:line="260" w:lineRule="exact"/>
              <w:ind w:left="-105" w:leftChars="-50" w:right="-113" w:rightChars="-54"/>
              <w:jc w:val="center"/>
              <w:rPr>
                <w:rFonts w:ascii="Times New Roman" w:hAnsi="Times New Roman" w:cs="Times New Roman"/>
                <w:bCs/>
                <w:spacing w:val="-2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left="-105" w:leftChars="-50" w:right="-113" w:rightChars="-54"/>
              <w:jc w:val="center"/>
              <w:rPr>
                <w:rFonts w:ascii="Times New Roman" w:hAnsi="Times New Roman" w:cs="Times New Roman"/>
                <w:bCs/>
                <w:spacing w:val="-2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left="-105" w:leftChars="-50" w:right="-113" w:rightChars="-54"/>
              <w:jc w:val="center"/>
              <w:rPr>
                <w:rFonts w:ascii="Times New Roman" w:hAnsi="Times New Roman" w:cs="Times New Roman"/>
                <w:bCs/>
                <w:spacing w:val="-2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left="-105" w:leftChars="-50" w:right="-113" w:rightChars="-54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</w:p>
        </w:tc>
        <w:tc>
          <w:tcPr>
            <w:tcW w:w="2843" w:type="dxa"/>
            <w:gridSpan w:val="5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9" w:leftChars="-52" w:right="-164" w:rightChars="-7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097" w:hRule="atLeast"/>
          <w:jc w:val="center"/>
        </w:trPr>
        <w:tc>
          <w:tcPr>
            <w:tcW w:w="453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7" w:rightChars="-5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5" w:leftChars="-50" w:right="-109" w:rightChars="-5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3" w:leftChars="-49" w:right="-101" w:rightChars="-4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71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60" w:leftChars="-76" w:right="-105" w:rightChars="-5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6" w:hRule="atLeast"/>
          <w:jc w:val="center"/>
        </w:trPr>
        <w:tc>
          <w:tcPr>
            <w:tcW w:w="453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17" w:hRule="atLeast"/>
          <w:jc w:val="center"/>
        </w:trPr>
        <w:tc>
          <w:tcPr>
            <w:tcW w:w="453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96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5" w:leftChars="-55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33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6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5" w:leftChars="-5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3" w:leftChars="-55" w:right="-111" w:rightChars="-53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eastAsia="楷体" w:cs="Times New Roman"/>
                <w:bCs/>
                <w:spacing w:val="-15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3" w:leftChars="-55" w:right="-111" w:rightChars="-53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eastAsia="楷体" w:cs="Times New Roman"/>
                <w:bCs/>
                <w:spacing w:val="-15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eastAsia="楷体" w:cs="Times New Roman"/>
                <w:bCs/>
                <w:spacing w:val="-15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15" w:leftChars="-55" w:right="-111" w:rightChars="-53" w:firstLine="115" w:firstLineChars="4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eastAsia="楷体" w:cs="Times New Roman"/>
                <w:bCs/>
                <w:spacing w:val="-15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3" w:leftChars="-55" w:right="-111" w:rightChars="-53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4.</w:t>
            </w:r>
            <w:r>
              <w:rPr>
                <w:rFonts w:ascii="Times New Roman" w:hAnsi="Times New Roman" w:eastAsia="楷体" w:cs="Times New Roman"/>
                <w:bCs/>
                <w:spacing w:val="-2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550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right="-107" w:rightChars="-51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6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5" w:leftChars="-55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6" w:hRule="atLeast"/>
          <w:jc w:val="center"/>
        </w:trPr>
        <w:tc>
          <w:tcPr>
            <w:tcW w:w="573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6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15" w:leftChars="-55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楷体" w:cs="Times New Roman"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17" w:hRule="atLeast"/>
          <w:jc w:val="center"/>
        </w:trPr>
        <w:tc>
          <w:tcPr>
            <w:tcW w:w="453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12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四、政府信息公开行政复议、行政诉讼情况</w:t>
      </w:r>
    </w:p>
    <w:p>
      <w:pPr>
        <w:pStyle w:val="2"/>
        <w:shd w:val="clear" w:color="auto" w:fill="FFFFFF"/>
        <w:spacing w:line="260" w:lineRule="exact"/>
        <w:ind w:left="42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576"/>
        <w:gridCol w:w="576"/>
        <w:gridCol w:w="576"/>
        <w:gridCol w:w="630"/>
        <w:gridCol w:w="525"/>
        <w:gridCol w:w="578"/>
        <w:gridCol w:w="578"/>
        <w:gridCol w:w="578"/>
        <w:gridCol w:w="581"/>
        <w:gridCol w:w="578"/>
        <w:gridCol w:w="578"/>
        <w:gridCol w:w="578"/>
        <w:gridCol w:w="579"/>
        <w:gridCol w:w="57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939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735" w:type="dxa"/>
            <w:gridSpan w:val="1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7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7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2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84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94" w:type="dxa"/>
            <w:gridSpan w:val="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117" w:hRule="atLeast"/>
          <w:jc w:val="center"/>
        </w:trPr>
        <w:tc>
          <w:tcPr>
            <w:tcW w:w="57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7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7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-107" w:leftChars="-51" w:right="-99" w:rightChars="-4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94" w:hRule="atLeast"/>
          <w:jc w:val="center"/>
        </w:trPr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62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0</w:t>
            </w:r>
          </w:p>
        </w:tc>
        <w:tc>
          <w:tcPr>
            <w:tcW w:w="57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0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五、存在的主要问题及改进情况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2019年，虽然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区机关事务服务中心在</w:t>
      </w:r>
      <w:r>
        <w:rPr>
          <w:rFonts w:ascii="Times New Roman" w:hAnsi="Times New Roman" w:eastAsia="方正仿宋简体"/>
          <w:sz w:val="32"/>
          <w:szCs w:val="32"/>
        </w:rPr>
        <w:t>政府信息公开工作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中</w:t>
      </w:r>
      <w:r>
        <w:rPr>
          <w:rFonts w:ascii="Times New Roman" w:hAnsi="Times New Roman" w:eastAsia="方正仿宋简体"/>
          <w:sz w:val="32"/>
          <w:szCs w:val="32"/>
        </w:rPr>
        <w:t>取得了一定成绩，但还存在着</w:t>
      </w:r>
      <w:r>
        <w:rPr>
          <w:rFonts w:hint="eastAsia" w:ascii="Times New Roman" w:hAnsi="Times New Roman" w:eastAsia="方正仿宋简体"/>
          <w:sz w:val="32"/>
          <w:szCs w:val="32"/>
        </w:rPr>
        <w:t>政府信息公开的范围、程度与政府信息公开条例要求存在一定差距，不够细化的问题</w:t>
      </w:r>
      <w:r>
        <w:rPr>
          <w:rFonts w:ascii="Times New Roman" w:hAnsi="Times New Roman" w:eastAsia="方正仿宋简体"/>
          <w:sz w:val="32"/>
          <w:szCs w:val="32"/>
        </w:rPr>
        <w:t>。下一步我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单位</w:t>
      </w:r>
      <w:r>
        <w:rPr>
          <w:rFonts w:ascii="Times New Roman" w:hAnsi="Times New Roman" w:eastAsia="方正仿宋简体"/>
          <w:sz w:val="32"/>
          <w:szCs w:val="32"/>
        </w:rPr>
        <w:t>将采取以下措施</w:t>
      </w:r>
      <w:r>
        <w:rPr>
          <w:rFonts w:hint="eastAsia" w:ascii="Times New Roman" w:hAnsi="Times New Roman" w:eastAsia="方正仿宋简体"/>
          <w:sz w:val="32"/>
          <w:szCs w:val="32"/>
        </w:rPr>
        <w:t>进行</w:t>
      </w:r>
      <w:r>
        <w:rPr>
          <w:rFonts w:ascii="Times New Roman" w:hAnsi="Times New Roman" w:eastAsia="方正仿宋简体"/>
          <w:sz w:val="32"/>
          <w:szCs w:val="32"/>
        </w:rPr>
        <w:t>改进：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（一）加大对《条例》及上级有关政策的宣传力度，大力推进重要政策解读和政策制定工作同步考虑、同步安排，提高解读的针对性、科学性、可读性和权威性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促进政务信息公开工作深入开展。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</w:rPr>
        <w:t>二</w:t>
      </w:r>
      <w:r>
        <w:rPr>
          <w:rFonts w:ascii="Times New Roman" w:hAnsi="Times New Roman" w:eastAsia="方正仿宋简体"/>
          <w:sz w:val="32"/>
          <w:szCs w:val="32"/>
        </w:rPr>
        <w:t>）进一步强化政府信息公开的规范完善。对公开的形式、内容、时限、程序、监督和运行机制等进一步规范，健全完善政府信息公开工作制度，强化政府信息公开的规范运作，全面提升政府信息公开的档次和水平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六、其他需要报告的事项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无其他需要报告的事项。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Times New Roman" w:hAnsi="Times New Roman" w:eastAsia="方正仿宋简体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兖州区机关事务服务中心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2020年1月9日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817A2"/>
    <w:rsid w:val="041D0730"/>
    <w:rsid w:val="093E57D5"/>
    <w:rsid w:val="1E770C1E"/>
    <w:rsid w:val="28D9278A"/>
    <w:rsid w:val="2BA32183"/>
    <w:rsid w:val="2DBD7D18"/>
    <w:rsid w:val="30875DEA"/>
    <w:rsid w:val="36536D89"/>
    <w:rsid w:val="382516D1"/>
    <w:rsid w:val="3A594CE6"/>
    <w:rsid w:val="3A7F3B05"/>
    <w:rsid w:val="3AA40918"/>
    <w:rsid w:val="3D9512E4"/>
    <w:rsid w:val="3FDD4568"/>
    <w:rsid w:val="42216C5D"/>
    <w:rsid w:val="4D6F1F18"/>
    <w:rsid w:val="4E471B34"/>
    <w:rsid w:val="557758A8"/>
    <w:rsid w:val="5C3817A2"/>
    <w:rsid w:val="65BC6795"/>
    <w:rsid w:val="69D51035"/>
    <w:rsid w:val="72DB436A"/>
    <w:rsid w:val="75082105"/>
    <w:rsid w:val="77E40646"/>
    <w:rsid w:val="77F44922"/>
    <w:rsid w:val="7857776F"/>
    <w:rsid w:val="7B175379"/>
    <w:rsid w:val="7CC62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2020-01-09T06:20:00Z</dcterms:created>
  <dc:creator>Administrator</dc:creator>
  <cp:lastModifiedBy>Administrator</cp:lastModifiedBy>
  <dcterms:modified xsi:type="dcterms:W3CDTF">2020-01-09T08:53:42Z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