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4AC30" w14:textId="77777777" w:rsidR="00BF5127" w:rsidRPr="00BF5127" w:rsidRDefault="00BF5127" w:rsidP="00BF5127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color w:val="3D3D3D"/>
          <w:kern w:val="0"/>
          <w:sz w:val="33"/>
          <w:szCs w:val="33"/>
        </w:rPr>
      </w:pPr>
      <w:r w:rsidRPr="00BF5127">
        <w:rPr>
          <w:rFonts w:ascii="微软雅黑" w:eastAsia="微软雅黑" w:hAnsi="微软雅黑" w:cs="宋体" w:hint="eastAsia"/>
          <w:b/>
          <w:bCs/>
          <w:color w:val="3D3D3D"/>
          <w:kern w:val="0"/>
          <w:sz w:val="33"/>
          <w:szCs w:val="33"/>
        </w:rPr>
        <w:t>关于印发《支持农民工等人员返乡创业实施方案》的通知</w:t>
      </w:r>
    </w:p>
    <w:p w14:paraId="00EE61F7" w14:textId="77777777" w:rsidR="00BF5127" w:rsidRPr="00BF5127" w:rsidRDefault="00BF5127" w:rsidP="00BF512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发布日期：2021-07-12 16:17 浏览次数： 3 字号：[ </w:t>
      </w:r>
      <w:hyperlink r:id="rId6" w:history="1">
        <w:r w:rsidRPr="00BF5127">
          <w:rPr>
            <w:rFonts w:ascii="微软雅黑" w:eastAsia="微软雅黑" w:hAnsi="微软雅黑" w:cs="宋体" w:hint="eastAsia"/>
            <w:color w:val="3D3D3D"/>
            <w:kern w:val="0"/>
            <w:sz w:val="23"/>
            <w:szCs w:val="23"/>
            <w:u w:val="single"/>
          </w:rPr>
          <w:t>大</w:t>
        </w:r>
      </w:hyperlink>
      <w:hyperlink r:id="rId7" w:history="1">
        <w:r w:rsidRPr="00BF5127">
          <w:rPr>
            <w:rFonts w:ascii="微软雅黑" w:eastAsia="微软雅黑" w:hAnsi="微软雅黑" w:cs="宋体" w:hint="eastAsia"/>
            <w:color w:val="3D3D3D"/>
            <w:kern w:val="0"/>
            <w:sz w:val="23"/>
            <w:szCs w:val="23"/>
            <w:u w:val="single"/>
          </w:rPr>
          <w:t>中</w:t>
        </w:r>
      </w:hyperlink>
      <w:hyperlink r:id="rId8" w:history="1">
        <w:r w:rsidRPr="00BF5127">
          <w:rPr>
            <w:rFonts w:ascii="微软雅黑" w:eastAsia="微软雅黑" w:hAnsi="微软雅黑" w:cs="宋体" w:hint="eastAsia"/>
            <w:color w:val="3D3D3D"/>
            <w:kern w:val="0"/>
            <w:sz w:val="23"/>
            <w:szCs w:val="23"/>
            <w:u w:val="single"/>
          </w:rPr>
          <w:t>小</w:t>
        </w:r>
      </w:hyperlink>
      <w:r w:rsidRPr="00BF512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]</w:t>
      </w:r>
    </w:p>
    <w:p w14:paraId="543100DE" w14:textId="77777777" w:rsidR="00BF5127" w:rsidRPr="00BF5127" w:rsidRDefault="00BF5127" w:rsidP="00BF512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14:paraId="76FB3111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44"/>
          <w:szCs w:val="44"/>
        </w:rPr>
        <w:t>支持农民工等人员返乡创业实施方案</w:t>
      </w:r>
    </w:p>
    <w:p w14:paraId="1D965E7A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为贯彻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落实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市委、市政府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六稳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六保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决策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部署，进一步支持农民工等在外人员返乡创业，推动返乡创业高质量发展，实现稳定扩大就业，根据上级有关返乡创业文件精神，现结合我市实际，制定本实施方案。</w:t>
      </w:r>
    </w:p>
    <w:p w14:paraId="2CB32731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一、目标任务</w:t>
      </w:r>
    </w:p>
    <w:p w14:paraId="6FF35778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实施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支持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农民工等人员返乡创业实施方案，充分发挥创业带动就业的引领作用，推动返乡创业环境进一步优化、政策体系进一步健全、平台进一步完备、服务进一步改善，创造更多就地就近创业机会，全面激发农民工等人员返乡创业热情，促进在外济宁人员返乡创业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，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充分发挥创业带动就业的引领作用。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力争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2021-2023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年，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每年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扶持创业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9000人以上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，实现城镇新增就业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19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万人，其中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2021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年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6.3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万人、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2022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年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6.3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万人、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2023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年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6.4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万人。</w:t>
      </w:r>
    </w:p>
    <w:p w14:paraId="656F7A2C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二、重点工作</w:t>
      </w:r>
    </w:p>
    <w:p w14:paraId="00AED343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（一）强化创业信息对接。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以县（市、区）为单位，发挥基层服务平台作用，利用大数据共享等渠道，定期开展返乡创业群体摸底调查，精准掌握年龄、学历、技能、身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体状况、培训意愿、就业需求等要素，建立专门服务台账。梳理汇总返乡创业政策，通过政府门户网站、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人社网站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等平台及时发布，持续加大创业政策、产业发展、乡土文化、优势资源等的宣传力度。</w:t>
      </w:r>
    </w:p>
    <w:p w14:paraId="4DEB6CAF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（二）完善创业平台载体。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加快创业孵化基地、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众创空间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、科技企业孵化实训基地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等创业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平台建设，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为返乡创业者提供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低成本、便利化、全要素的开放式平台和专业化服务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，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优先推荐有创业意愿的返乡入乡创业者就地就近入驻创业孵化基地、创业园区，落实创业担保贷款、一次性创业补贴、租金减免等各项扶持政策。</w:t>
      </w:r>
    </w:p>
    <w:p w14:paraId="5BB54A05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（三）强化创业培训工作。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依托普通高校、职业院校、优质培训机构、公共职业技能培训平台等开展创业能力提升培训。将返乡入乡创业人员纳入创业培训重点对象。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积极探索创业培训与区域产业相结合的培训模式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，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根据返乡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入乡创业者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特点，开发一批特色专业和示范培训课程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，提供不少于136课时的创业培训。培训结束后，培训主体要做好培训人员创业跟踪服务，为学员提供开业指导、创业贷款和创业服务资源对接。</w:t>
      </w:r>
    </w:p>
    <w:p w14:paraId="54E57BF4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（四）提升创业服务水平。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在春节、中秋节等返乡回乡高峰期，面向广大返乡人员开展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送政策、送培训、送岗位、送服务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集中服务活动。依托人力资源开发、创业辅导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等创业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服务机构，为返乡入乡创业团队提供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初创扶持、政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策咨询、项目评估、创业孵化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等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一条龙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服务；举办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项目路演、实操实训、沙龙讲堂、导师把脉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主题活动，为返乡入乡创业项目提供前期智力支撑、决策参考和学习交流；重点从大专院校、科研院所等单位遴选一批科研人才、政策专家、会计师、设计师、律师等，为返乡入乡创业人员提供创业项目、技术要点等指导服务。各县（市、区）可结合返乡入乡创业人员需求，在省外和省内重点市设立返乡创业服务站，并根据服务效果，统筹创业带动就业扶持资金、就业补助资金等给予奖补。</w:t>
      </w:r>
    </w:p>
    <w:p w14:paraId="02D12D31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（五）加大资金支持力度。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充分发挥财政资金的杠杆引导作用，加大对返乡创业的财政支持力度。对农民工等人员返乡创办的企业，招用就业困难人员、毕业年度高校毕业生的，按规定给予社会保险补贴。对符合就业困难人员条件，从事灵活就业的，给予一定的社会保险补贴。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农民工等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返乡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创业者首次领取小</w:t>
      </w:r>
      <w:proofErr w:type="gramStart"/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微企业</w:t>
      </w:r>
      <w:proofErr w:type="gramEnd"/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营业执照（2013年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10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月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1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日以后登记注册）、正常经营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12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个月以上、在创办企业缴纳职工社会保险费不少于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6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个月的可申领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1.5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万元的一次性创业补贴，返乡入乡创业人员正常经营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6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个月以上的，可先行申请</w:t>
      </w:r>
      <w:r w:rsidRPr="00BF5127">
        <w:rPr>
          <w:rFonts w:ascii="Times New Roman" w:eastAsia="方正仿宋简体" w:hAnsi="Times New Roman" w:cs="Times New Roman"/>
          <w:b/>
          <w:bCs/>
          <w:color w:val="333333"/>
          <w:kern w:val="0"/>
          <w:sz w:val="32"/>
          <w:szCs w:val="32"/>
        </w:rPr>
        <w:t>50%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的一次性创业补贴。</w:t>
      </w:r>
    </w:p>
    <w:p w14:paraId="2DBF5358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（六）强化创业金融服务。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将返乡入乡创业人员纳入扶持范围，放宽返乡人员创立的小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微企业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创业担保贷款申请条件，将当年新招用符合条件人员占现有职工比例下调为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15%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，其中在职职工超过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100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人的下调为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8%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。放宽免除反担保范围，返乡创业人员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10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万元及以下的个人担保贷款以及全国创业孵化示范基地或信用社区（乡村）推荐的创业项目，获得设区的市级以上荣誉称号的创业人员、创业项目、创业企业，经金融机构评估认定的信用小微企业、商户、农户，经营稳定守信的二次创业者等特定群体，免除反担保要求。鼓励各县（市、区）根据实际情况适当提高返乡创业人员贷款额度上限，并逐步降低或免除反担保要求，由此额外产生的贴息资金支出由地方财政承担。</w:t>
      </w:r>
    </w:p>
    <w:p w14:paraId="1FED26B2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（七）发挥创业典型带动作用。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举办济宁市创业大赛，通过大赛进一步激发广大劳动者的创业热情，提升培养创新创业意识。每年组织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雏鹰计划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创业训练营、创业师资培训班等培训，开展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济宁市十大大学生创业之星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、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“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济宁市十大返乡创业农民工</w:t>
      </w:r>
      <w:r w:rsidRPr="00BF5127"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”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评选活动，选树创业典型人物，发挥示范引领作用。积极争创一批省级创业型城市（县区）、街道（乡镇），在全市范围建立创业环境优良、创业服务配套、创业资金充足、创业成功人数增多的创业长效机制。</w:t>
      </w:r>
    </w:p>
    <w:p w14:paraId="67F24F55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三、组织实施</w:t>
      </w:r>
    </w:p>
    <w:p w14:paraId="55DA5375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（一）加强组织领导。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各县（市、区）要把返乡入乡创业工作纳入到经济社会发展全局和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稳就业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大局中统筹谋划和推进，认真落实本实施方案，明确任务分工，细化政策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措施。市</w:t>
      </w:r>
      <w:proofErr w:type="gramStart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人社局</w:t>
      </w:r>
      <w:proofErr w:type="gramEnd"/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有关科室、单位要强化协调沟通，整合各种资源，加强对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县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（市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、区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）工作的指导，形成工作合力，将返乡创业各项措施落到实处，推动返乡创业高质量发展。</w:t>
      </w:r>
    </w:p>
    <w:p w14:paraId="33C098B4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（二）做好宣传引导。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充分利用各种受众面广、宣传效果好的新媒体，大力宣传促进返乡创业的优惠政策和服务举措，提高政策知晓度。广泛挖掘返乡创业典型案例，讲好创业故事，</w:t>
      </w:r>
      <w:r w:rsidRPr="00BF5127">
        <w:rPr>
          <w:rFonts w:ascii="方正仿宋简体" w:eastAsia="方正仿宋简体" w:hAnsi="微软雅黑" w:cs="宋体" w:hint="eastAsia"/>
          <w:b/>
          <w:bCs/>
          <w:color w:val="333333"/>
          <w:kern w:val="0"/>
          <w:sz w:val="32"/>
          <w:szCs w:val="32"/>
        </w:rPr>
        <w:t>营造有利于创新创业的良好社会氛围。</w:t>
      </w:r>
    </w:p>
    <w:p w14:paraId="7EAF0C20" w14:textId="77777777" w:rsidR="00BF5127" w:rsidRPr="00BF5127" w:rsidRDefault="00BF5127" w:rsidP="00BF5127">
      <w:pPr>
        <w:widowControl/>
        <w:shd w:val="clear" w:color="auto" w:fill="FFFFFF"/>
        <w:spacing w:line="36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BF5127">
        <w:rPr>
          <w:rFonts w:ascii="方正楷体简体" w:eastAsia="方正楷体简体" w:hAnsi="微软雅黑" w:cs="宋体" w:hint="eastAsia"/>
          <w:b/>
          <w:bCs/>
          <w:color w:val="333333"/>
          <w:kern w:val="0"/>
          <w:sz w:val="32"/>
          <w:szCs w:val="32"/>
        </w:rPr>
        <w:t>（三）建立长效机制。</w:t>
      </w:r>
      <w:r w:rsidRPr="00BF5127">
        <w:rPr>
          <w:rFonts w:ascii="方正仿宋简体" w:eastAsia="方正仿宋简体" w:hAnsi="Times New Roman" w:cs="Times New Roman" w:hint="eastAsia"/>
          <w:b/>
          <w:bCs/>
          <w:color w:val="333333"/>
          <w:kern w:val="0"/>
          <w:sz w:val="32"/>
          <w:szCs w:val="32"/>
        </w:rPr>
        <w:t>各县（市、区）要及时总结返乡创业工作中的经验做法和主要成效，查找工作中存在的短板不足和薄弱环节，及时完善制度措施，巩固、深化工作成果。</w:t>
      </w:r>
    </w:p>
    <w:p w14:paraId="51AD89E8" w14:textId="77777777" w:rsidR="00900234" w:rsidRPr="00BF5127" w:rsidRDefault="00900234"/>
    <w:sectPr w:rsidR="00900234" w:rsidRPr="00BF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58AFD" w14:textId="77777777" w:rsidR="00041871" w:rsidRDefault="00041871" w:rsidP="00BF5127">
      <w:r>
        <w:separator/>
      </w:r>
    </w:p>
  </w:endnote>
  <w:endnote w:type="continuationSeparator" w:id="0">
    <w:p w14:paraId="2371F3E1" w14:textId="77777777" w:rsidR="00041871" w:rsidRDefault="00041871" w:rsidP="00B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0F80F" w14:textId="77777777" w:rsidR="00041871" w:rsidRDefault="00041871" w:rsidP="00BF5127">
      <w:r>
        <w:separator/>
      </w:r>
    </w:p>
  </w:footnote>
  <w:footnote w:type="continuationSeparator" w:id="0">
    <w:p w14:paraId="340645A6" w14:textId="77777777" w:rsidR="00041871" w:rsidRDefault="00041871" w:rsidP="00BF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34"/>
    <w:rsid w:val="00041871"/>
    <w:rsid w:val="00900234"/>
    <w:rsid w:val="00B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49058-4897-42FA-A789-6783D313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12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F512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F51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F5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3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54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4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doZoom(1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8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2021-07-14T09:02:00Z</dcterms:created>
  <dcterms:modified xsi:type="dcterms:W3CDTF">2021-07-14T09:03:00Z</dcterms:modified>
</cp:coreProperties>
</file>