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textAlignment w:val="baseline"/>
        <w:rPr>
          <w:rFonts w:hint="eastAsia" w:ascii="方正黑体简体" w:eastAsia="方正黑体简体"/>
          <w:sz w:val="32"/>
          <w:szCs w:val="32"/>
        </w:rPr>
      </w:pPr>
      <w:bookmarkStart w:id="0" w:name="_GoBack"/>
      <w:r>
        <w:rPr>
          <w:rFonts w:hint="eastAsia" w:ascii="方正黑体简体" w:eastAsia="方正黑体简体"/>
          <w:sz w:val="32"/>
          <w:szCs w:val="32"/>
        </w:rPr>
        <w:t>附件</w:t>
      </w:r>
    </w:p>
    <w:p>
      <w:pPr>
        <w:pStyle w:val="2"/>
        <w:spacing w:after="0" w:line="360" w:lineRule="exact"/>
        <w:ind w:left="0" w:leftChars="0" w:firstLine="0" w:firstLineChars="0"/>
        <w:jc w:val="center"/>
        <w:rPr>
          <w:rFonts w:hint="eastAsia"/>
        </w:rPr>
      </w:pPr>
    </w:p>
    <w:p>
      <w:pPr>
        <w:pStyle w:val="2"/>
        <w:autoSpaceDE w:val="0"/>
        <w:spacing w:after="0" w:line="640" w:lineRule="exact"/>
        <w:ind w:left="0" w:leftChars="0" w:firstLine="0" w:firstLineChars="0"/>
        <w:jc w:val="center"/>
        <w:rPr>
          <w:rFonts w:hint="eastAsia" w:ascii="方正小标宋简体" w:eastAsia="方正小标宋简体"/>
          <w:sz w:val="44"/>
          <w:szCs w:val="44"/>
        </w:rPr>
      </w:pPr>
      <w:r>
        <w:rPr>
          <w:rFonts w:hint="eastAsia" w:ascii="方正小标宋简体" w:eastAsia="方正小标宋简体"/>
          <w:sz w:val="44"/>
          <w:szCs w:val="44"/>
        </w:rPr>
        <w:t>2024年济宁市兖州区政务公开工作要点任务分解表</w:t>
      </w:r>
    </w:p>
    <w:bookmarkEnd w:id="0"/>
    <w:p>
      <w:pPr>
        <w:pStyle w:val="2"/>
        <w:spacing w:after="0" w:line="360" w:lineRule="exact"/>
        <w:ind w:left="0" w:leftChars="0" w:firstLine="0" w:firstLineChars="0"/>
        <w:jc w:val="center"/>
        <w:rPr>
          <w:rFonts w:hint="eastAsia"/>
        </w:rPr>
      </w:pP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330"/>
        <w:gridCol w:w="1333"/>
        <w:gridCol w:w="6452"/>
        <w:gridCol w:w="2765"/>
        <w:gridCol w:w="1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blHeader/>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105" w:leftChars="-50" w:right="-105" w:rightChars="-50"/>
              <w:jc w:val="center"/>
              <w:textAlignment w:val="center"/>
              <w:rPr>
                <w:rFonts w:eastAsia="方正黑体简体"/>
                <w:sz w:val="24"/>
              </w:rPr>
            </w:pPr>
            <w:r>
              <w:rPr>
                <w:rFonts w:ascii="方正黑体简体" w:eastAsia="方正黑体简体"/>
                <w:bCs/>
                <w:sz w:val="24"/>
              </w:rPr>
              <w:t>序号</w:t>
            </w:r>
          </w:p>
        </w:tc>
        <w:tc>
          <w:tcPr>
            <w:tcW w:w="939" w:type="pct"/>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eastAsia="方正黑体简体"/>
                <w:bCs/>
                <w:sz w:val="24"/>
              </w:rPr>
            </w:pPr>
            <w:r>
              <w:rPr>
                <w:rFonts w:ascii="方正黑体简体" w:eastAsia="方正黑体简体"/>
                <w:bCs/>
                <w:sz w:val="24"/>
              </w:rPr>
              <w:t>工作任务</w:t>
            </w: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eastAsia="方正黑体简体"/>
                <w:bCs/>
                <w:sz w:val="24"/>
              </w:rPr>
            </w:pPr>
            <w:r>
              <w:rPr>
                <w:rFonts w:ascii="方正黑体简体" w:eastAsia="方正黑体简体"/>
                <w:bCs/>
                <w:sz w:val="24"/>
              </w:rPr>
              <w:t>具</w:t>
            </w:r>
            <w:r>
              <w:rPr>
                <w:rFonts w:eastAsia="方正黑体简体"/>
                <w:bCs/>
                <w:sz w:val="24"/>
              </w:rPr>
              <w:t xml:space="preserve">  </w:t>
            </w:r>
            <w:r>
              <w:rPr>
                <w:rFonts w:ascii="方正黑体简体" w:eastAsia="方正黑体简体"/>
                <w:bCs/>
                <w:sz w:val="24"/>
              </w:rPr>
              <w:t>体</w:t>
            </w:r>
            <w:r>
              <w:rPr>
                <w:rFonts w:eastAsia="方正黑体简体"/>
                <w:bCs/>
                <w:sz w:val="24"/>
              </w:rPr>
              <w:t xml:space="preserve">  </w:t>
            </w:r>
            <w:r>
              <w:rPr>
                <w:rFonts w:ascii="方正黑体简体" w:eastAsia="方正黑体简体"/>
                <w:bCs/>
                <w:sz w:val="24"/>
              </w:rPr>
              <w:t>要</w:t>
            </w:r>
            <w:r>
              <w:rPr>
                <w:rFonts w:eastAsia="方正黑体简体"/>
                <w:bCs/>
                <w:sz w:val="24"/>
              </w:rPr>
              <w:t xml:space="preserve">  </w:t>
            </w:r>
            <w:r>
              <w:rPr>
                <w:rFonts w:ascii="方正黑体简体" w:eastAsia="方正黑体简体"/>
                <w:bCs/>
                <w:sz w:val="24"/>
              </w:rPr>
              <w:t>求</w:t>
            </w:r>
          </w:p>
        </w:tc>
        <w:tc>
          <w:tcPr>
            <w:tcW w:w="9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eastAsia="方正黑体简体"/>
                <w:bCs/>
                <w:sz w:val="24"/>
              </w:rPr>
            </w:pPr>
            <w:r>
              <w:rPr>
                <w:rFonts w:ascii="方正黑体简体" w:eastAsia="方正黑体简体"/>
                <w:bCs/>
                <w:sz w:val="24"/>
              </w:rPr>
              <w:t>责任单位</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eastAsia="方正黑体简体"/>
                <w:bCs/>
                <w:sz w:val="24"/>
              </w:rPr>
            </w:pPr>
            <w:r>
              <w:rPr>
                <w:rFonts w:ascii="方正黑体简体" w:eastAsia="方正黑体简体"/>
                <w:bCs/>
                <w:sz w:val="24"/>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eastAsia="方正黑体简体"/>
                <w:sz w:val="24"/>
              </w:rPr>
            </w:pPr>
            <w:r>
              <w:rPr>
                <w:rFonts w:hint="eastAsia"/>
                <w:sz w:val="24"/>
              </w:rPr>
              <w:t>1</w:t>
            </w:r>
          </w:p>
        </w:tc>
        <w:tc>
          <w:tcPr>
            <w:tcW w:w="469" w:type="pct"/>
            <w:vMerge w:val="restart"/>
            <w:tcBorders>
              <w:top w:val="nil"/>
              <w:left w:val="single" w:color="auto" w:sz="4" w:space="0"/>
              <w:right w:val="single" w:color="auto" w:sz="4" w:space="0"/>
            </w:tcBorders>
            <w:noWrap w:val="0"/>
            <w:vAlign w:val="center"/>
          </w:tcPr>
          <w:p>
            <w:pPr>
              <w:widowControl/>
              <w:spacing w:line="300" w:lineRule="exact"/>
              <w:jc w:val="center"/>
              <w:textAlignment w:val="center"/>
              <w:rPr>
                <w:rFonts w:eastAsia="方正黑体简体"/>
                <w:b/>
                <w:bCs/>
                <w:sz w:val="24"/>
              </w:rPr>
            </w:pPr>
            <w:r>
              <w:rPr>
                <w:rFonts w:hint="eastAsia" w:ascii="宋体" w:hAnsi="宋体"/>
                <w:sz w:val="24"/>
              </w:rPr>
              <w:t>以高质量公开助推重点工作落实</w:t>
            </w:r>
          </w:p>
        </w:tc>
        <w:tc>
          <w:tcPr>
            <w:tcW w:w="469" w:type="pct"/>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eastAsia="方正黑体简体"/>
                <w:b/>
                <w:bCs/>
                <w:sz w:val="24"/>
              </w:rPr>
            </w:pPr>
            <w:r>
              <w:rPr>
                <w:rFonts w:hint="eastAsia" w:ascii="宋体" w:hAnsi="宋体"/>
                <w:sz w:val="24"/>
              </w:rPr>
              <w:t>以公开助推高水平开放、高质量招商引资</w:t>
            </w: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jc w:val="left"/>
              <w:textAlignment w:val="center"/>
              <w:rPr>
                <w:sz w:val="24"/>
              </w:rPr>
            </w:pPr>
            <w:r>
              <w:rPr>
                <w:rFonts w:hint="eastAsia" w:ascii="宋体" w:hAnsi="宋体"/>
                <w:sz w:val="24"/>
              </w:rPr>
              <w:t>围绕“深化大开放、拓展大招商”做好信息发布工作，重点宣传推送扩大有效投资、促进招商引资、高水平对外开放等政策及相关措施。</w:t>
            </w:r>
          </w:p>
        </w:tc>
        <w:tc>
          <w:tcPr>
            <w:tcW w:w="9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区发展改革局</w:t>
            </w:r>
          </w:p>
          <w:p>
            <w:pPr>
              <w:widowControl/>
              <w:spacing w:line="300" w:lineRule="exact"/>
              <w:jc w:val="center"/>
              <w:textAlignment w:val="center"/>
              <w:rPr>
                <w:sz w:val="24"/>
              </w:rPr>
            </w:pPr>
            <w:r>
              <w:rPr>
                <w:rFonts w:hint="eastAsia" w:ascii="宋体" w:hAnsi="宋体"/>
                <w:sz w:val="24"/>
              </w:rPr>
              <w:t>区商务局</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2</w:t>
            </w: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rFonts w:eastAsia="方正黑体简体"/>
                <w:b/>
                <w:bCs/>
                <w:sz w:val="24"/>
              </w:rPr>
            </w:pPr>
          </w:p>
        </w:tc>
        <w:tc>
          <w:tcPr>
            <w:tcW w:w="469" w:type="pct"/>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eastAsia="方正黑体简体"/>
                <w:b/>
                <w:bCs/>
                <w:sz w:val="24"/>
              </w:rPr>
            </w:pP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jc w:val="left"/>
              <w:textAlignment w:val="center"/>
              <w:rPr>
                <w:sz w:val="24"/>
              </w:rPr>
            </w:pPr>
            <w:r>
              <w:rPr>
                <w:rFonts w:hint="eastAsia" w:ascii="宋体" w:hAnsi="宋体"/>
                <w:sz w:val="24"/>
              </w:rPr>
              <w:t>加大支持民间投资发展政策举措宣传发布力度，助推民间资本参与基础设施、社会民生、新能源等重大项目建设。</w:t>
            </w:r>
          </w:p>
        </w:tc>
        <w:tc>
          <w:tcPr>
            <w:tcW w:w="9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区财政局</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3</w:t>
            </w: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rFonts w:eastAsia="方正黑体简体"/>
                <w:b/>
                <w:bCs/>
                <w:sz w:val="24"/>
              </w:rPr>
            </w:pPr>
          </w:p>
        </w:tc>
        <w:tc>
          <w:tcPr>
            <w:tcW w:w="469" w:type="pct"/>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eastAsia="方正黑体简体"/>
                <w:b/>
                <w:bCs/>
                <w:sz w:val="24"/>
              </w:rPr>
            </w:pP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jc w:val="left"/>
              <w:textAlignment w:val="center"/>
              <w:rPr>
                <w:sz w:val="24"/>
              </w:rPr>
            </w:pPr>
            <w:r>
              <w:rPr>
                <w:rFonts w:hint="eastAsia" w:ascii="宋体" w:hAnsi="宋体"/>
                <w:sz w:val="24"/>
              </w:rPr>
              <w:t>强化政策集成供给，做好“促进经济巩固向好、加快绿色低碳高质量发展”系列政策包发布推送。</w:t>
            </w:r>
          </w:p>
        </w:tc>
        <w:tc>
          <w:tcPr>
            <w:tcW w:w="9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区发展改革局</w:t>
            </w:r>
          </w:p>
          <w:p>
            <w:pPr>
              <w:widowControl/>
              <w:spacing w:line="300" w:lineRule="exact"/>
              <w:jc w:val="center"/>
              <w:textAlignment w:val="center"/>
              <w:rPr>
                <w:rFonts w:hint="eastAsia"/>
                <w:sz w:val="24"/>
              </w:rPr>
            </w:pPr>
            <w:r>
              <w:rPr>
                <w:rFonts w:hint="eastAsia" w:ascii="宋体" w:hAnsi="宋体"/>
                <w:sz w:val="24"/>
              </w:rPr>
              <w:t>区工业和信息化局</w:t>
            </w:r>
          </w:p>
          <w:p>
            <w:pPr>
              <w:widowControl/>
              <w:spacing w:line="300" w:lineRule="exact"/>
              <w:jc w:val="center"/>
              <w:textAlignment w:val="center"/>
              <w:rPr>
                <w:sz w:val="24"/>
              </w:rPr>
            </w:pPr>
            <w:r>
              <w:rPr>
                <w:rFonts w:hint="eastAsia" w:ascii="宋体" w:hAnsi="宋体"/>
                <w:sz w:val="24"/>
              </w:rPr>
              <w:t>区财政局</w:t>
            </w:r>
          </w:p>
          <w:p>
            <w:pPr>
              <w:widowControl/>
              <w:spacing w:line="300" w:lineRule="exact"/>
              <w:jc w:val="center"/>
              <w:textAlignment w:val="center"/>
              <w:rPr>
                <w:sz w:val="24"/>
              </w:rPr>
            </w:pPr>
            <w:r>
              <w:rPr>
                <w:rFonts w:hint="eastAsia" w:ascii="宋体" w:hAnsi="宋体"/>
                <w:sz w:val="24"/>
              </w:rPr>
              <w:t>区科技局</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4</w:t>
            </w: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rFonts w:eastAsia="方正黑体简体"/>
                <w:b/>
                <w:bCs/>
                <w:sz w:val="24"/>
              </w:rPr>
            </w:pPr>
          </w:p>
        </w:tc>
        <w:tc>
          <w:tcPr>
            <w:tcW w:w="469" w:type="pct"/>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eastAsia="方正黑体简体"/>
                <w:b/>
                <w:bCs/>
                <w:sz w:val="24"/>
              </w:rPr>
            </w:pP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jc w:val="left"/>
              <w:textAlignment w:val="center"/>
              <w:rPr>
                <w:sz w:val="24"/>
              </w:rPr>
            </w:pPr>
            <w:r>
              <w:rPr>
                <w:rFonts w:hint="eastAsia" w:ascii="宋体" w:hAnsi="宋体"/>
                <w:sz w:val="24"/>
              </w:rPr>
              <w:t>全力做好国家重大战略、基础设施、防灾减灾、产业升级、民生保障等领域重大建设项目批准和实施信息公开工作。</w:t>
            </w:r>
          </w:p>
        </w:tc>
        <w:tc>
          <w:tcPr>
            <w:tcW w:w="9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区发展改革局</w:t>
            </w:r>
          </w:p>
          <w:p>
            <w:pPr>
              <w:widowControl/>
              <w:spacing w:line="300" w:lineRule="exact"/>
              <w:jc w:val="center"/>
              <w:textAlignment w:val="center"/>
              <w:rPr>
                <w:rFonts w:hint="eastAsia"/>
                <w:sz w:val="24"/>
              </w:rPr>
            </w:pPr>
            <w:r>
              <w:rPr>
                <w:rFonts w:hint="eastAsia" w:ascii="宋体" w:hAnsi="宋体"/>
                <w:sz w:val="24"/>
              </w:rPr>
              <w:t>区工业和信息化局</w:t>
            </w:r>
          </w:p>
          <w:p>
            <w:pPr>
              <w:widowControl/>
              <w:spacing w:line="300" w:lineRule="exact"/>
              <w:jc w:val="center"/>
              <w:textAlignment w:val="center"/>
              <w:rPr>
                <w:sz w:val="24"/>
              </w:rPr>
            </w:pPr>
            <w:r>
              <w:rPr>
                <w:rFonts w:hint="eastAsia" w:ascii="宋体" w:hAnsi="宋体"/>
                <w:sz w:val="24"/>
              </w:rPr>
              <w:t>区应急局</w:t>
            </w:r>
          </w:p>
          <w:p>
            <w:pPr>
              <w:widowControl/>
              <w:spacing w:line="300" w:lineRule="exact"/>
              <w:jc w:val="center"/>
              <w:textAlignment w:val="center"/>
              <w:rPr>
                <w:sz w:val="24"/>
              </w:rPr>
            </w:pPr>
            <w:r>
              <w:rPr>
                <w:rFonts w:hint="eastAsia" w:ascii="宋体" w:hAnsi="宋体"/>
                <w:sz w:val="24"/>
              </w:rPr>
              <w:t>区民政局</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5</w:t>
            </w:r>
          </w:p>
        </w:tc>
        <w:tc>
          <w:tcPr>
            <w:tcW w:w="469" w:type="pct"/>
            <w:vMerge w:val="continue"/>
            <w:tcBorders>
              <w:left w:val="single" w:color="auto" w:sz="4" w:space="0"/>
              <w:bottom w:val="single" w:color="auto" w:sz="4" w:space="0"/>
              <w:right w:val="single" w:color="auto" w:sz="4" w:space="0"/>
            </w:tcBorders>
            <w:noWrap w:val="0"/>
            <w:vAlign w:val="center"/>
          </w:tcPr>
          <w:p>
            <w:pPr>
              <w:widowControl/>
              <w:spacing w:line="300" w:lineRule="exact"/>
              <w:jc w:val="center"/>
              <w:rPr>
                <w:rFonts w:eastAsia="方正黑体简体"/>
                <w:b/>
                <w:bCs/>
                <w:sz w:val="24"/>
              </w:rPr>
            </w:pPr>
          </w:p>
        </w:tc>
        <w:tc>
          <w:tcPr>
            <w:tcW w:w="469" w:type="pct"/>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eastAsia="方正黑体简体"/>
                <w:b/>
                <w:bCs/>
                <w:sz w:val="24"/>
              </w:rPr>
            </w:pP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jc w:val="left"/>
              <w:textAlignment w:val="center"/>
              <w:rPr>
                <w:sz w:val="24"/>
              </w:rPr>
            </w:pPr>
            <w:r>
              <w:rPr>
                <w:rFonts w:hint="eastAsia" w:ascii="宋体" w:hAnsi="宋体"/>
                <w:sz w:val="24"/>
              </w:rPr>
              <w:t>围绕新能源汽车、绿色智能家电、特色医疗、健康养老、体育赛事、文娱旅游、住房改善等领域消费支持政策，做好信息发布和舆论引导工作。</w:t>
            </w:r>
          </w:p>
        </w:tc>
        <w:tc>
          <w:tcPr>
            <w:tcW w:w="9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区商务局</w:t>
            </w:r>
          </w:p>
          <w:p>
            <w:pPr>
              <w:widowControl/>
              <w:spacing w:line="300" w:lineRule="exact"/>
              <w:jc w:val="center"/>
              <w:textAlignment w:val="center"/>
              <w:rPr>
                <w:rFonts w:hint="eastAsia"/>
                <w:sz w:val="24"/>
              </w:rPr>
            </w:pPr>
            <w:r>
              <w:rPr>
                <w:rFonts w:hint="eastAsia" w:ascii="宋体" w:hAnsi="宋体"/>
                <w:sz w:val="24"/>
              </w:rPr>
              <w:t>区卫生健康局</w:t>
            </w:r>
          </w:p>
          <w:p>
            <w:pPr>
              <w:widowControl/>
              <w:spacing w:line="300" w:lineRule="exact"/>
              <w:jc w:val="center"/>
              <w:textAlignment w:val="center"/>
              <w:rPr>
                <w:rFonts w:hint="eastAsia"/>
                <w:sz w:val="24"/>
              </w:rPr>
            </w:pPr>
            <w:r>
              <w:rPr>
                <w:rFonts w:hint="eastAsia" w:ascii="宋体" w:hAnsi="宋体"/>
                <w:sz w:val="24"/>
              </w:rPr>
              <w:t>区教育和体育局</w:t>
            </w:r>
          </w:p>
          <w:p>
            <w:pPr>
              <w:widowControl/>
              <w:spacing w:line="300" w:lineRule="exact"/>
              <w:jc w:val="center"/>
              <w:textAlignment w:val="center"/>
              <w:rPr>
                <w:rFonts w:hint="eastAsia"/>
                <w:sz w:val="24"/>
              </w:rPr>
            </w:pPr>
            <w:r>
              <w:rPr>
                <w:rFonts w:hint="eastAsia" w:ascii="宋体" w:hAnsi="宋体"/>
                <w:sz w:val="24"/>
              </w:rPr>
              <w:t>区文化和旅游局</w:t>
            </w:r>
          </w:p>
          <w:p>
            <w:pPr>
              <w:widowControl/>
              <w:spacing w:line="300" w:lineRule="exact"/>
              <w:jc w:val="center"/>
              <w:textAlignment w:val="center"/>
              <w:rPr>
                <w:sz w:val="24"/>
              </w:rPr>
            </w:pPr>
            <w:r>
              <w:rPr>
                <w:rFonts w:hint="eastAsia" w:ascii="宋体" w:hAnsi="宋体"/>
                <w:sz w:val="24"/>
              </w:rPr>
              <w:t>区住房城乡建设局</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6</w:t>
            </w:r>
          </w:p>
        </w:tc>
        <w:tc>
          <w:tcPr>
            <w:tcW w:w="469" w:type="pct"/>
            <w:vMerge w:val="restart"/>
            <w:tcBorders>
              <w:top w:val="nil"/>
              <w:left w:val="single" w:color="auto" w:sz="4" w:space="0"/>
              <w:right w:val="single" w:color="auto" w:sz="4" w:space="0"/>
            </w:tcBorders>
            <w:noWrap w:val="0"/>
            <w:vAlign w:val="center"/>
          </w:tcPr>
          <w:p>
            <w:pPr>
              <w:widowControl/>
              <w:spacing w:line="300" w:lineRule="exact"/>
              <w:jc w:val="center"/>
              <w:textAlignment w:val="center"/>
              <w:rPr>
                <w:rFonts w:eastAsia="方正黑体简体"/>
                <w:b/>
                <w:bCs/>
                <w:sz w:val="24"/>
              </w:rPr>
            </w:pPr>
            <w:r>
              <w:rPr>
                <w:rFonts w:hint="eastAsia" w:ascii="宋体" w:hAnsi="宋体"/>
                <w:sz w:val="24"/>
              </w:rPr>
              <w:t>以高质量公开助推重点工作落实</w:t>
            </w:r>
          </w:p>
        </w:tc>
        <w:tc>
          <w:tcPr>
            <w:tcW w:w="469" w:type="pct"/>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eastAsia="方正黑体简体"/>
                <w:b/>
                <w:bCs/>
                <w:sz w:val="24"/>
              </w:rPr>
            </w:pPr>
            <w:r>
              <w:rPr>
                <w:rFonts w:hint="eastAsia" w:ascii="宋体" w:hAnsi="宋体"/>
                <w:sz w:val="24"/>
              </w:rPr>
              <w:t>以公开助推社会治理精细化</w:t>
            </w: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jc w:val="left"/>
              <w:textAlignment w:val="center"/>
              <w:rPr>
                <w:sz w:val="24"/>
              </w:rPr>
            </w:pPr>
            <w:r>
              <w:rPr>
                <w:rFonts w:hint="eastAsia" w:ascii="宋体" w:hAnsi="宋体"/>
                <w:sz w:val="24"/>
              </w:rPr>
              <w:t>加大城市更新“十大工程”相关政策宣传力度，及时回应关切，全面引导公众参与、支持城市更新工作。</w:t>
            </w:r>
          </w:p>
        </w:tc>
        <w:tc>
          <w:tcPr>
            <w:tcW w:w="9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区住房城乡建设局</w:t>
            </w:r>
          </w:p>
          <w:p>
            <w:pPr>
              <w:widowControl/>
              <w:spacing w:line="300" w:lineRule="exact"/>
              <w:jc w:val="center"/>
              <w:textAlignment w:val="center"/>
              <w:rPr>
                <w:sz w:val="24"/>
              </w:rPr>
            </w:pPr>
            <w:r>
              <w:rPr>
                <w:rFonts w:hint="eastAsia" w:ascii="宋体" w:hAnsi="宋体"/>
                <w:sz w:val="24"/>
              </w:rPr>
              <w:t>区综合行政执法局</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7</w:t>
            </w: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rFonts w:eastAsia="方正黑体简体"/>
                <w:b/>
                <w:bCs/>
                <w:sz w:val="24"/>
              </w:rPr>
            </w:pPr>
          </w:p>
        </w:tc>
        <w:tc>
          <w:tcPr>
            <w:tcW w:w="469" w:type="pct"/>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eastAsia="方正黑体简体"/>
                <w:b/>
                <w:bCs/>
                <w:sz w:val="24"/>
              </w:rPr>
            </w:pP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jc w:val="left"/>
              <w:textAlignment w:val="center"/>
              <w:rPr>
                <w:sz w:val="24"/>
              </w:rPr>
            </w:pPr>
            <w:r>
              <w:rPr>
                <w:rFonts w:hint="eastAsia" w:ascii="宋体" w:hAnsi="宋体"/>
                <w:sz w:val="24"/>
              </w:rPr>
              <w:t>围绕“齐鲁粮仓”建设、乡村产业富民、和美乡村提升、数字乡村试点等方面，做好乡村振兴信息公开。聚焦乡村产业、乡村建设、乡村治理等关键领域，持续做好重要政策宣传发布。</w:t>
            </w:r>
          </w:p>
        </w:tc>
        <w:tc>
          <w:tcPr>
            <w:tcW w:w="9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区农业农村局</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8</w:t>
            </w: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rFonts w:eastAsia="方正黑体简体"/>
                <w:b/>
                <w:bCs/>
                <w:sz w:val="24"/>
              </w:rPr>
            </w:pPr>
          </w:p>
        </w:tc>
        <w:tc>
          <w:tcPr>
            <w:tcW w:w="469" w:type="pct"/>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eastAsia="方正黑体简体"/>
                <w:b/>
                <w:bCs/>
                <w:sz w:val="24"/>
              </w:rPr>
            </w:pP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jc w:val="left"/>
              <w:textAlignment w:val="center"/>
              <w:rPr>
                <w:sz w:val="24"/>
              </w:rPr>
            </w:pPr>
            <w:r>
              <w:rPr>
                <w:rFonts w:hint="eastAsia" w:ascii="宋体" w:hAnsi="宋体"/>
                <w:sz w:val="24"/>
              </w:rPr>
              <w:t>稳步推进重大项目环评审批信息全过程公开。及时发布全域“无废城市”相关工作动态，做好政策宣传引导。</w:t>
            </w:r>
          </w:p>
        </w:tc>
        <w:tc>
          <w:tcPr>
            <w:tcW w:w="9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区生态环境分局</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9</w:t>
            </w: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rFonts w:eastAsia="方正黑体简体"/>
                <w:b/>
                <w:bCs/>
                <w:sz w:val="24"/>
              </w:rPr>
            </w:pPr>
          </w:p>
        </w:tc>
        <w:tc>
          <w:tcPr>
            <w:tcW w:w="469" w:type="pct"/>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eastAsia="方正黑体简体"/>
                <w:b/>
                <w:bCs/>
                <w:sz w:val="24"/>
              </w:rPr>
            </w:pP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jc w:val="left"/>
              <w:textAlignment w:val="center"/>
              <w:rPr>
                <w:sz w:val="24"/>
              </w:rPr>
            </w:pPr>
            <w:r>
              <w:rPr>
                <w:rFonts w:hint="eastAsia" w:ascii="宋体" w:hAnsi="宋体"/>
                <w:sz w:val="24"/>
              </w:rPr>
              <w:t>强化生活垃圾分类宣传，持续开展生活垃圾分类进机关、进学校、进企业、进社区、进市场、进乡村等宣传活动，推进垃圾分类宣传教育基地向社会公众开放。</w:t>
            </w:r>
          </w:p>
        </w:tc>
        <w:tc>
          <w:tcPr>
            <w:tcW w:w="9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区综合行政执法局</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10</w:t>
            </w: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rFonts w:eastAsia="方正黑体简体"/>
                <w:b/>
                <w:bCs/>
                <w:sz w:val="24"/>
              </w:rPr>
            </w:pPr>
          </w:p>
        </w:tc>
        <w:tc>
          <w:tcPr>
            <w:tcW w:w="469" w:type="pct"/>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eastAsia="方正黑体简体"/>
                <w:b/>
                <w:bCs/>
                <w:sz w:val="24"/>
              </w:rPr>
            </w:pP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jc w:val="left"/>
              <w:textAlignment w:val="center"/>
              <w:rPr>
                <w:sz w:val="24"/>
              </w:rPr>
            </w:pPr>
            <w:r>
              <w:rPr>
                <w:rFonts w:hint="eastAsia" w:ascii="宋体" w:hAnsi="宋体"/>
                <w:sz w:val="24"/>
              </w:rPr>
              <w:t>围绕惠农资金补助发放、拆迁安置方案等事项，通过结果公示与存档备查相结合的方式，加强对小微权力运行的监督。</w:t>
            </w:r>
          </w:p>
        </w:tc>
        <w:tc>
          <w:tcPr>
            <w:tcW w:w="9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区农业农村局</w:t>
            </w:r>
          </w:p>
          <w:p>
            <w:pPr>
              <w:widowControl/>
              <w:spacing w:line="300" w:lineRule="exact"/>
              <w:jc w:val="center"/>
              <w:textAlignment w:val="center"/>
              <w:rPr>
                <w:rFonts w:hint="eastAsia"/>
                <w:sz w:val="24"/>
              </w:rPr>
            </w:pPr>
            <w:r>
              <w:rPr>
                <w:rFonts w:hint="eastAsia" w:ascii="宋体" w:hAnsi="宋体"/>
                <w:sz w:val="24"/>
              </w:rPr>
              <w:t>区自然资源局</w:t>
            </w:r>
          </w:p>
          <w:p>
            <w:pPr>
              <w:widowControl/>
              <w:spacing w:line="300" w:lineRule="exact"/>
              <w:jc w:val="center"/>
              <w:textAlignment w:val="center"/>
              <w:rPr>
                <w:rFonts w:hint="eastAsia"/>
                <w:sz w:val="24"/>
              </w:rPr>
            </w:pPr>
            <w:r>
              <w:rPr>
                <w:rFonts w:hint="eastAsia" w:ascii="宋体" w:hAnsi="宋体"/>
                <w:sz w:val="24"/>
              </w:rPr>
              <w:t>区住房城乡建设局</w:t>
            </w:r>
          </w:p>
          <w:p>
            <w:pPr>
              <w:widowControl/>
              <w:spacing w:line="300" w:lineRule="exact"/>
              <w:jc w:val="center"/>
              <w:textAlignment w:val="center"/>
              <w:rPr>
                <w:sz w:val="24"/>
              </w:rPr>
            </w:pPr>
            <w:r>
              <w:rPr>
                <w:rFonts w:hint="eastAsia" w:ascii="宋体" w:hAnsi="宋体"/>
                <w:sz w:val="24"/>
              </w:rPr>
              <w:t>区财政局</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11</w:t>
            </w: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rFonts w:eastAsia="方正黑体简体"/>
                <w:b/>
                <w:bCs/>
                <w:sz w:val="24"/>
              </w:rPr>
            </w:pPr>
          </w:p>
        </w:tc>
        <w:tc>
          <w:tcPr>
            <w:tcW w:w="469" w:type="pct"/>
            <w:vMerge w:val="restart"/>
            <w:tcBorders>
              <w:top w:val="nil"/>
              <w:left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以公开助推人民群众生活品质提高</w:t>
            </w: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jc w:val="left"/>
              <w:textAlignment w:val="center"/>
              <w:rPr>
                <w:sz w:val="24"/>
              </w:rPr>
            </w:pPr>
            <w:r>
              <w:rPr>
                <w:rFonts w:hint="eastAsia" w:ascii="宋体" w:hAnsi="宋体"/>
                <w:sz w:val="24"/>
              </w:rPr>
              <w:t>围绕稳就业促增收，及时更新发布本地区就业创业政策清单，分类梳理面向高校毕业生、困难人员、退役军人等不同群体以及各类经营主体的政策举措。</w:t>
            </w:r>
          </w:p>
        </w:tc>
        <w:tc>
          <w:tcPr>
            <w:tcW w:w="9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105" w:leftChars="-50" w:right="-105" w:rightChars="-50"/>
              <w:jc w:val="center"/>
              <w:textAlignment w:val="center"/>
              <w:rPr>
                <w:rFonts w:ascii="宋体" w:hAnsi="宋体"/>
                <w:sz w:val="24"/>
              </w:rPr>
            </w:pPr>
            <w:r>
              <w:rPr>
                <w:rFonts w:hint="eastAsia" w:ascii="宋体" w:hAnsi="宋体"/>
                <w:sz w:val="24"/>
              </w:rPr>
              <w:t>区人力资源社会保障局</w:t>
            </w:r>
          </w:p>
          <w:p>
            <w:pPr>
              <w:widowControl/>
              <w:spacing w:line="300" w:lineRule="exact"/>
              <w:jc w:val="center"/>
              <w:textAlignment w:val="center"/>
              <w:rPr>
                <w:sz w:val="24"/>
              </w:rPr>
            </w:pPr>
            <w:r>
              <w:rPr>
                <w:rFonts w:hint="eastAsia" w:ascii="宋体" w:hAnsi="宋体"/>
                <w:sz w:val="24"/>
              </w:rPr>
              <w:t>区退役军人局</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rFonts w:eastAsia="方正黑体简体"/>
                <w:b/>
                <w:bCs/>
                <w:sz w:val="24"/>
              </w:rPr>
            </w:pP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sz w:val="24"/>
              </w:rPr>
            </w:pP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jc w:val="left"/>
              <w:textAlignment w:val="center"/>
              <w:rPr>
                <w:sz w:val="24"/>
              </w:rPr>
            </w:pPr>
            <w:r>
              <w:rPr>
                <w:rFonts w:hint="eastAsia" w:ascii="宋体" w:hAnsi="宋体"/>
                <w:sz w:val="24"/>
              </w:rPr>
              <w:t>围绕推动大规模设备更新和消费品以旧换新，做好相关政策的宣传引导。</w:t>
            </w:r>
          </w:p>
        </w:tc>
        <w:tc>
          <w:tcPr>
            <w:tcW w:w="9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区发展改革局</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13</w:t>
            </w: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rFonts w:eastAsia="方正黑体简体"/>
                <w:b/>
                <w:bCs/>
                <w:sz w:val="24"/>
              </w:rPr>
            </w:pP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sz w:val="24"/>
              </w:rPr>
            </w:pP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jc w:val="left"/>
              <w:textAlignment w:val="center"/>
              <w:rPr>
                <w:sz w:val="24"/>
              </w:rPr>
            </w:pPr>
            <w:r>
              <w:rPr>
                <w:rFonts w:hint="eastAsia" w:ascii="宋体" w:hAnsi="宋体"/>
                <w:sz w:val="24"/>
              </w:rPr>
              <w:t>加大医疗卫生服务能力提升、乡村卫生服务体系建设、重大疾病和传染病防控、中医药传承创新发展等领域信息公开力度。</w:t>
            </w:r>
          </w:p>
        </w:tc>
        <w:tc>
          <w:tcPr>
            <w:tcW w:w="9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区卫生健康局</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14</w:t>
            </w:r>
          </w:p>
        </w:tc>
        <w:tc>
          <w:tcPr>
            <w:tcW w:w="469" w:type="pct"/>
            <w:vMerge w:val="continue"/>
            <w:tcBorders>
              <w:left w:val="single" w:color="auto" w:sz="4" w:space="0"/>
              <w:right w:val="single" w:color="auto" w:sz="4" w:space="0"/>
            </w:tcBorders>
            <w:noWrap w:val="0"/>
            <w:vAlign w:val="center"/>
          </w:tcPr>
          <w:p>
            <w:pPr>
              <w:widowControl/>
              <w:spacing w:line="300" w:lineRule="exact"/>
              <w:jc w:val="center"/>
              <w:textAlignment w:val="center"/>
              <w:rPr>
                <w:rFonts w:eastAsia="方正黑体简体"/>
                <w:b/>
                <w:bCs/>
                <w:sz w:val="24"/>
              </w:rPr>
            </w:pPr>
          </w:p>
        </w:tc>
        <w:tc>
          <w:tcPr>
            <w:tcW w:w="469" w:type="pct"/>
            <w:vMerge w:val="continue"/>
            <w:tcBorders>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jc w:val="left"/>
              <w:textAlignment w:val="center"/>
              <w:rPr>
                <w:sz w:val="24"/>
              </w:rPr>
            </w:pPr>
            <w:r>
              <w:rPr>
                <w:rFonts w:hint="eastAsia" w:ascii="宋体" w:hAnsi="宋体"/>
                <w:sz w:val="24"/>
              </w:rPr>
              <w:t>围绕满足居民刚性和改善性住房需求，做好“认房不认贷”“带押过户”“降低首付”“青年优居计划”等政策措施的宣传普及。</w:t>
            </w:r>
          </w:p>
        </w:tc>
        <w:tc>
          <w:tcPr>
            <w:tcW w:w="9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区住房城乡建设局</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15</w:t>
            </w:r>
          </w:p>
        </w:tc>
        <w:tc>
          <w:tcPr>
            <w:tcW w:w="469" w:type="pct"/>
            <w:vMerge w:val="restart"/>
            <w:tcBorders>
              <w:left w:val="single" w:color="auto" w:sz="4" w:space="0"/>
              <w:right w:val="single" w:color="auto" w:sz="4" w:space="0"/>
            </w:tcBorders>
            <w:noWrap w:val="0"/>
            <w:vAlign w:val="center"/>
          </w:tcPr>
          <w:p>
            <w:pPr>
              <w:widowControl/>
              <w:spacing w:line="300" w:lineRule="exact"/>
              <w:jc w:val="center"/>
              <w:textAlignment w:val="center"/>
              <w:rPr>
                <w:rFonts w:eastAsia="方正黑体简体"/>
                <w:b/>
                <w:bCs/>
                <w:sz w:val="24"/>
              </w:rPr>
            </w:pPr>
            <w:r>
              <w:rPr>
                <w:rFonts w:hint="eastAsia" w:ascii="宋体" w:hAnsi="宋体"/>
                <w:sz w:val="24"/>
              </w:rPr>
              <w:t>以高质量公开助推重点工作落实</w:t>
            </w:r>
          </w:p>
        </w:tc>
        <w:tc>
          <w:tcPr>
            <w:tcW w:w="469" w:type="pct"/>
            <w:vMerge w:val="restart"/>
            <w:tcBorders>
              <w:top w:val="nil"/>
              <w:left w:val="single" w:color="auto" w:sz="4" w:space="0"/>
              <w:right w:val="single" w:color="auto" w:sz="4" w:space="0"/>
            </w:tcBorders>
            <w:noWrap w:val="0"/>
            <w:vAlign w:val="center"/>
          </w:tcPr>
          <w:p>
            <w:pPr>
              <w:widowControl/>
              <w:spacing w:line="300" w:lineRule="exact"/>
              <w:jc w:val="center"/>
              <w:rPr>
                <w:sz w:val="24"/>
              </w:rPr>
            </w:pPr>
            <w:r>
              <w:rPr>
                <w:rFonts w:hint="eastAsia" w:ascii="宋体" w:hAnsi="宋体"/>
                <w:sz w:val="24"/>
              </w:rPr>
              <w:t>以公开助推人民群众生活品质提高</w:t>
            </w: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jc w:val="left"/>
              <w:textAlignment w:val="center"/>
              <w:rPr>
                <w:sz w:val="24"/>
              </w:rPr>
            </w:pPr>
            <w:r>
              <w:rPr>
                <w:rFonts w:hint="eastAsia" w:ascii="宋体" w:hAnsi="宋体"/>
                <w:sz w:val="24"/>
              </w:rPr>
              <w:t>持续推进义务教育、学前教育、特殊教育、职业教育等方面的信息公开。</w:t>
            </w:r>
          </w:p>
        </w:tc>
        <w:tc>
          <w:tcPr>
            <w:tcW w:w="9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区教育和体育局</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16</w:t>
            </w: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rFonts w:eastAsia="方正黑体简体"/>
                <w:b/>
                <w:bCs/>
                <w:sz w:val="24"/>
              </w:rPr>
            </w:pP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sz w:val="24"/>
              </w:rPr>
            </w:pP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jc w:val="left"/>
              <w:textAlignment w:val="center"/>
              <w:rPr>
                <w:sz w:val="24"/>
              </w:rPr>
            </w:pPr>
            <w:r>
              <w:rPr>
                <w:rFonts w:hint="eastAsia" w:ascii="宋体" w:hAnsi="宋体"/>
                <w:sz w:val="24"/>
              </w:rPr>
              <w:t>加强“一老一小”服务保障有关政策推送，重点推送老年助餐、银发经济、养老服务机构建设运营、居民长期护理保险、托育服务供给、孤儿助学工程、“护佑健康”项目等支持政策和措施。</w:t>
            </w:r>
          </w:p>
        </w:tc>
        <w:tc>
          <w:tcPr>
            <w:tcW w:w="975" w:type="pct"/>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jc w:val="center"/>
              <w:textAlignment w:val="center"/>
              <w:rPr>
                <w:rFonts w:hint="eastAsia"/>
                <w:sz w:val="24"/>
              </w:rPr>
            </w:pPr>
            <w:r>
              <w:rPr>
                <w:rFonts w:hint="eastAsia" w:ascii="宋体" w:hAnsi="宋体"/>
                <w:sz w:val="24"/>
              </w:rPr>
              <w:t>区发展改革局</w:t>
            </w:r>
          </w:p>
          <w:p>
            <w:pPr>
              <w:widowControl/>
              <w:spacing w:line="280" w:lineRule="exact"/>
              <w:jc w:val="center"/>
              <w:textAlignment w:val="center"/>
              <w:rPr>
                <w:rFonts w:hint="eastAsia"/>
                <w:sz w:val="24"/>
              </w:rPr>
            </w:pPr>
            <w:r>
              <w:rPr>
                <w:rFonts w:hint="eastAsia" w:ascii="宋体" w:hAnsi="宋体"/>
                <w:sz w:val="24"/>
              </w:rPr>
              <w:t>区民政局</w:t>
            </w:r>
          </w:p>
          <w:p>
            <w:pPr>
              <w:widowControl/>
              <w:spacing w:line="280" w:lineRule="exact"/>
              <w:jc w:val="center"/>
              <w:textAlignment w:val="center"/>
              <w:rPr>
                <w:rFonts w:hint="eastAsia"/>
                <w:sz w:val="24"/>
              </w:rPr>
            </w:pPr>
            <w:r>
              <w:rPr>
                <w:rFonts w:hint="eastAsia" w:ascii="宋体" w:hAnsi="宋体"/>
                <w:sz w:val="24"/>
              </w:rPr>
              <w:t>区教育和体育局</w:t>
            </w:r>
          </w:p>
          <w:p>
            <w:pPr>
              <w:widowControl/>
              <w:spacing w:line="280" w:lineRule="exact"/>
              <w:jc w:val="center"/>
              <w:textAlignment w:val="center"/>
              <w:rPr>
                <w:rFonts w:hint="eastAsia"/>
                <w:sz w:val="24"/>
              </w:rPr>
            </w:pPr>
            <w:r>
              <w:rPr>
                <w:rFonts w:hint="eastAsia" w:ascii="宋体" w:hAnsi="宋体"/>
                <w:sz w:val="24"/>
              </w:rPr>
              <w:t>区卫生健康局</w:t>
            </w:r>
          </w:p>
          <w:p>
            <w:pPr>
              <w:pStyle w:val="2"/>
              <w:spacing w:after="0" w:line="280" w:lineRule="exact"/>
              <w:ind w:left="0" w:leftChars="0" w:firstLine="0" w:firstLineChars="0"/>
              <w:jc w:val="center"/>
              <w:rPr>
                <w:sz w:val="24"/>
              </w:rPr>
            </w:pPr>
            <w:r>
              <w:rPr>
                <w:rFonts w:hint="eastAsia" w:ascii="宋体" w:hAnsi="宋体"/>
                <w:sz w:val="24"/>
              </w:rPr>
              <w:t>区医保局</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17</w:t>
            </w: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rFonts w:eastAsia="方正黑体简体"/>
                <w:b/>
                <w:bCs/>
                <w:sz w:val="24"/>
              </w:rPr>
            </w:pP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sz w:val="24"/>
              </w:rPr>
            </w:pP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jc w:val="left"/>
              <w:textAlignment w:val="center"/>
              <w:rPr>
                <w:sz w:val="24"/>
              </w:rPr>
            </w:pPr>
            <w:r>
              <w:rPr>
                <w:rFonts w:hint="eastAsia" w:ascii="宋体" w:hAnsi="宋体"/>
                <w:sz w:val="24"/>
              </w:rPr>
              <w:t>动态调整并公开社会救助标准。</w:t>
            </w:r>
          </w:p>
        </w:tc>
        <w:tc>
          <w:tcPr>
            <w:tcW w:w="9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区民政局</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18</w:t>
            </w: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rFonts w:eastAsia="方正黑体简体"/>
                <w:b/>
                <w:bCs/>
                <w:sz w:val="24"/>
              </w:rPr>
            </w:pPr>
          </w:p>
        </w:tc>
        <w:tc>
          <w:tcPr>
            <w:tcW w:w="469" w:type="pct"/>
            <w:vMerge w:val="continue"/>
            <w:tcBorders>
              <w:left w:val="single" w:color="auto" w:sz="4" w:space="0"/>
              <w:bottom w:val="single" w:color="auto" w:sz="4" w:space="0"/>
              <w:right w:val="single" w:color="auto" w:sz="4" w:space="0"/>
            </w:tcBorders>
            <w:noWrap w:val="0"/>
            <w:vAlign w:val="center"/>
          </w:tcPr>
          <w:p>
            <w:pPr>
              <w:widowControl/>
              <w:spacing w:line="300" w:lineRule="exact"/>
              <w:jc w:val="center"/>
              <w:rPr>
                <w:sz w:val="24"/>
              </w:rPr>
            </w:pP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jc w:val="left"/>
              <w:textAlignment w:val="center"/>
              <w:rPr>
                <w:sz w:val="24"/>
              </w:rPr>
            </w:pPr>
            <w:r>
              <w:rPr>
                <w:rFonts w:hint="eastAsia" w:ascii="宋体" w:hAnsi="宋体"/>
                <w:sz w:val="24"/>
              </w:rPr>
              <w:t>加大物业、环卫、家政等从业群体社会保障信息公开力度，持续推动外卖骑手、网约车司机等新就业形态职业伤害保障试点工作进展情况公开。</w:t>
            </w:r>
          </w:p>
        </w:tc>
        <w:tc>
          <w:tcPr>
            <w:tcW w:w="9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105" w:leftChars="-50" w:right="-105" w:rightChars="-50"/>
              <w:jc w:val="center"/>
              <w:textAlignment w:val="center"/>
              <w:rPr>
                <w:sz w:val="24"/>
              </w:rPr>
            </w:pPr>
            <w:r>
              <w:rPr>
                <w:rFonts w:hint="eastAsia" w:ascii="宋体" w:hAnsi="宋体"/>
                <w:sz w:val="24"/>
              </w:rPr>
              <w:t>区人力资源社会保障局</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19</w:t>
            </w: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rFonts w:eastAsia="方正黑体简体"/>
                <w:b/>
                <w:bCs/>
                <w:sz w:val="24"/>
              </w:rPr>
            </w:pPr>
          </w:p>
        </w:tc>
        <w:tc>
          <w:tcPr>
            <w:tcW w:w="469" w:type="pct"/>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以公开助推监管效能提升</w:t>
            </w: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jc w:val="left"/>
              <w:textAlignment w:val="center"/>
              <w:rPr>
                <w:sz w:val="24"/>
              </w:rPr>
            </w:pPr>
            <w:r>
              <w:rPr>
                <w:rFonts w:hint="eastAsia" w:ascii="宋体" w:hAnsi="宋体"/>
                <w:sz w:val="24"/>
              </w:rPr>
              <w:t>加强行政机关权力配置信息公开，结合政府机构改革和职能优化，做好政府部门权责清单和机构职能信息的调整和公开工作。</w:t>
            </w:r>
          </w:p>
        </w:tc>
        <w:tc>
          <w:tcPr>
            <w:tcW w:w="9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各镇（街道）</w:t>
            </w:r>
          </w:p>
          <w:p>
            <w:pPr>
              <w:widowControl/>
              <w:spacing w:line="300" w:lineRule="exact"/>
              <w:ind w:left="-105" w:leftChars="-50" w:right="-105" w:rightChars="-50"/>
              <w:jc w:val="center"/>
              <w:textAlignment w:val="center"/>
              <w:rPr>
                <w:sz w:val="24"/>
              </w:rPr>
            </w:pPr>
            <w:r>
              <w:rPr>
                <w:rFonts w:hint="eastAsia" w:ascii="宋体" w:hAnsi="宋体"/>
                <w:spacing w:val="-8"/>
                <w:sz w:val="24"/>
              </w:rPr>
              <w:t>区政府各有关部门、单位</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20</w:t>
            </w: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rFonts w:eastAsia="方正黑体简体"/>
                <w:b/>
                <w:bCs/>
                <w:sz w:val="24"/>
              </w:rPr>
            </w:pPr>
          </w:p>
        </w:tc>
        <w:tc>
          <w:tcPr>
            <w:tcW w:w="469" w:type="pct"/>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sz w:val="24"/>
              </w:rPr>
            </w:pP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jc w:val="left"/>
              <w:textAlignment w:val="center"/>
              <w:rPr>
                <w:sz w:val="24"/>
              </w:rPr>
            </w:pPr>
            <w:r>
              <w:rPr>
                <w:rFonts w:hint="eastAsia" w:ascii="宋体" w:hAnsi="宋体"/>
                <w:sz w:val="24"/>
              </w:rPr>
              <w:t>严格落实行政执法公示制度，优化完善全区“双随机、一公开”监管平台，规范公开行政事业性收费和政府性基金目录以及招投标、公共资源配置等领域政府信息。</w:t>
            </w:r>
          </w:p>
        </w:tc>
        <w:tc>
          <w:tcPr>
            <w:tcW w:w="9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105" w:leftChars="-50" w:right="-105" w:rightChars="-50"/>
              <w:jc w:val="center"/>
              <w:textAlignment w:val="center"/>
              <w:rPr>
                <w:spacing w:val="-8"/>
                <w:sz w:val="24"/>
              </w:rPr>
            </w:pPr>
            <w:r>
              <w:rPr>
                <w:rFonts w:hint="eastAsia" w:ascii="宋体" w:hAnsi="宋体"/>
                <w:spacing w:val="-8"/>
                <w:sz w:val="24"/>
              </w:rPr>
              <w:t>区政府各有关部门、单位</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21</w:t>
            </w: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rFonts w:eastAsia="方正黑体简体"/>
                <w:b/>
                <w:bCs/>
                <w:sz w:val="24"/>
              </w:rPr>
            </w:pPr>
          </w:p>
        </w:tc>
        <w:tc>
          <w:tcPr>
            <w:tcW w:w="469" w:type="pct"/>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sz w:val="24"/>
              </w:rPr>
            </w:pP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jc w:val="left"/>
              <w:textAlignment w:val="center"/>
              <w:rPr>
                <w:spacing w:val="-4"/>
                <w:sz w:val="24"/>
              </w:rPr>
            </w:pPr>
            <w:r>
              <w:rPr>
                <w:rFonts w:hint="eastAsia" w:ascii="宋体" w:hAnsi="宋体"/>
                <w:spacing w:val="-4"/>
                <w:sz w:val="24"/>
              </w:rPr>
              <w:t>加强市场监管制度规则和标准的更新发布和解读，及时公开建设高标准市场体系具体措施，提高监管透明度。</w:t>
            </w:r>
          </w:p>
        </w:tc>
        <w:tc>
          <w:tcPr>
            <w:tcW w:w="9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区市场监管局</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22</w:t>
            </w: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rFonts w:eastAsia="方正黑体简体"/>
                <w:b/>
                <w:bCs/>
                <w:sz w:val="24"/>
              </w:rPr>
            </w:pPr>
          </w:p>
        </w:tc>
        <w:tc>
          <w:tcPr>
            <w:tcW w:w="469" w:type="pct"/>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sz w:val="24"/>
              </w:rPr>
            </w:pP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jc w:val="left"/>
              <w:textAlignment w:val="center"/>
              <w:rPr>
                <w:sz w:val="24"/>
              </w:rPr>
            </w:pPr>
            <w:r>
              <w:rPr>
                <w:rFonts w:hint="eastAsia" w:ascii="宋体" w:hAnsi="宋体"/>
                <w:sz w:val="24"/>
              </w:rPr>
              <w:t>加强各级行业主管部门对公共企事业单位的监管，推进信息公开与业务工作深度融合。针对各领域公共企事业单位线上线下公开平台的不同特点，分别探索制定公开平台建设指南或规范。逐步扩大公共企事业单位信息公开适用领域，探索建立各领域统一的行业性信息公开平台和咨询窗口，科学合理确定公开内容。</w:t>
            </w:r>
          </w:p>
        </w:tc>
        <w:tc>
          <w:tcPr>
            <w:tcW w:w="975" w:type="pct"/>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sz w:val="24"/>
              </w:rPr>
            </w:pPr>
            <w:r>
              <w:rPr>
                <w:rFonts w:hint="eastAsia" w:ascii="宋体" w:hAnsi="宋体"/>
                <w:sz w:val="24"/>
              </w:rPr>
              <w:t>区教育和体育局</w:t>
            </w:r>
          </w:p>
          <w:p>
            <w:pPr>
              <w:widowControl/>
              <w:spacing w:line="300" w:lineRule="exact"/>
              <w:jc w:val="center"/>
              <w:textAlignment w:val="center"/>
              <w:rPr>
                <w:sz w:val="24"/>
              </w:rPr>
            </w:pPr>
            <w:r>
              <w:rPr>
                <w:rFonts w:hint="eastAsia" w:ascii="宋体" w:hAnsi="宋体"/>
                <w:sz w:val="24"/>
              </w:rPr>
              <w:t>区住房城乡建设局</w:t>
            </w:r>
          </w:p>
          <w:p>
            <w:pPr>
              <w:widowControl/>
              <w:spacing w:line="300" w:lineRule="exact"/>
              <w:jc w:val="center"/>
              <w:textAlignment w:val="center"/>
              <w:rPr>
                <w:rFonts w:hint="eastAsia"/>
                <w:sz w:val="24"/>
              </w:rPr>
            </w:pPr>
            <w:r>
              <w:rPr>
                <w:rFonts w:hint="eastAsia" w:ascii="宋体" w:hAnsi="宋体"/>
                <w:sz w:val="24"/>
              </w:rPr>
              <w:t>区交通运输局</w:t>
            </w:r>
          </w:p>
          <w:p>
            <w:pPr>
              <w:widowControl/>
              <w:spacing w:line="300" w:lineRule="exact"/>
              <w:jc w:val="center"/>
              <w:textAlignment w:val="center"/>
              <w:rPr>
                <w:rFonts w:hint="eastAsia"/>
                <w:sz w:val="24"/>
              </w:rPr>
            </w:pPr>
            <w:r>
              <w:rPr>
                <w:rFonts w:hint="eastAsia" w:ascii="宋体" w:hAnsi="宋体"/>
                <w:sz w:val="24"/>
              </w:rPr>
              <w:t>区水务局</w:t>
            </w:r>
          </w:p>
          <w:p>
            <w:pPr>
              <w:widowControl/>
              <w:spacing w:line="300" w:lineRule="exact"/>
              <w:jc w:val="center"/>
              <w:textAlignment w:val="center"/>
              <w:rPr>
                <w:sz w:val="24"/>
              </w:rPr>
            </w:pPr>
            <w:r>
              <w:rPr>
                <w:rFonts w:hint="eastAsia" w:ascii="宋体" w:hAnsi="宋体"/>
                <w:sz w:val="24"/>
              </w:rPr>
              <w:t>区卫生健康局</w:t>
            </w:r>
          </w:p>
        </w:tc>
        <w:tc>
          <w:tcPr>
            <w:tcW w:w="565" w:type="pct"/>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11</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23</w:t>
            </w:r>
          </w:p>
        </w:tc>
        <w:tc>
          <w:tcPr>
            <w:tcW w:w="469" w:type="pct"/>
            <w:vMerge w:val="continue"/>
            <w:tcBorders>
              <w:left w:val="single" w:color="auto" w:sz="4" w:space="0"/>
              <w:bottom w:val="single" w:color="auto" w:sz="4" w:space="0"/>
              <w:right w:val="single" w:color="auto" w:sz="4" w:space="0"/>
            </w:tcBorders>
            <w:noWrap w:val="0"/>
            <w:vAlign w:val="center"/>
          </w:tcPr>
          <w:p>
            <w:pPr>
              <w:widowControl/>
              <w:spacing w:line="300" w:lineRule="exact"/>
              <w:jc w:val="center"/>
              <w:rPr>
                <w:rFonts w:eastAsia="方正黑体简体"/>
                <w:b/>
                <w:bCs/>
                <w:sz w:val="24"/>
              </w:rPr>
            </w:pPr>
          </w:p>
        </w:tc>
        <w:tc>
          <w:tcPr>
            <w:tcW w:w="469" w:type="pct"/>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sz w:val="24"/>
              </w:rPr>
            </w:pP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jc w:val="left"/>
              <w:textAlignment w:val="center"/>
              <w:rPr>
                <w:sz w:val="24"/>
              </w:rPr>
            </w:pPr>
            <w:r>
              <w:rPr>
                <w:rFonts w:hint="eastAsia" w:ascii="宋体" w:hAnsi="宋体"/>
                <w:sz w:val="24"/>
              </w:rPr>
              <w:t>继续开展全区公共企事业单位信息公开专项检查，及时发现和解决问题，推动工作有效落实。</w:t>
            </w:r>
          </w:p>
        </w:tc>
        <w:tc>
          <w:tcPr>
            <w:tcW w:w="975" w:type="pct"/>
            <w:vMerge w:val="continue"/>
            <w:tcBorders>
              <w:top w:val="nil"/>
              <w:left w:val="single" w:color="auto" w:sz="4" w:space="0"/>
              <w:bottom w:val="single" w:color="auto" w:sz="4" w:space="0"/>
              <w:right w:val="single" w:color="auto" w:sz="4" w:space="0"/>
            </w:tcBorders>
            <w:noWrap w:val="0"/>
            <w:vAlign w:val="center"/>
          </w:tcPr>
          <w:p>
            <w:pPr>
              <w:widowControl/>
              <w:jc w:val="center"/>
              <w:rPr>
                <w:sz w:val="24"/>
              </w:rPr>
            </w:pPr>
          </w:p>
        </w:tc>
        <w:tc>
          <w:tcPr>
            <w:tcW w:w="565" w:type="pct"/>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24</w:t>
            </w:r>
          </w:p>
        </w:tc>
        <w:tc>
          <w:tcPr>
            <w:tcW w:w="469" w:type="pct"/>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sz w:val="24"/>
              </w:rPr>
            </w:pPr>
            <w:r>
              <w:rPr>
                <w:rFonts w:hint="eastAsia" w:ascii="宋体" w:hAnsi="宋体"/>
                <w:sz w:val="24"/>
              </w:rPr>
              <w:t>全力提升依申请公开办理</w:t>
            </w:r>
          </w:p>
          <w:p>
            <w:pPr>
              <w:widowControl/>
              <w:spacing w:line="300" w:lineRule="exact"/>
              <w:jc w:val="center"/>
              <w:textAlignment w:val="center"/>
              <w:rPr>
                <w:sz w:val="24"/>
              </w:rPr>
            </w:pPr>
            <w:r>
              <w:rPr>
                <w:rFonts w:hint="eastAsia" w:ascii="宋体" w:hAnsi="宋体"/>
                <w:sz w:val="24"/>
              </w:rPr>
              <w:t>质效</w:t>
            </w:r>
          </w:p>
        </w:tc>
        <w:tc>
          <w:tcPr>
            <w:tcW w:w="469" w:type="pct"/>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规范依申请公开办理工作</w:t>
            </w: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textAlignment w:val="center"/>
              <w:rPr>
                <w:sz w:val="24"/>
              </w:rPr>
            </w:pPr>
            <w:r>
              <w:rPr>
                <w:rFonts w:hint="eastAsia" w:ascii="宋体" w:hAnsi="宋体"/>
                <w:sz w:val="24"/>
              </w:rPr>
              <w:t>在全区范围内开展“依申请公开质效提升年”活动，全面提升依申请公开办理水平。强化温情服务，主动跨前与申请人沟通，做好便民解答、指引和服务，推动申请人合理诉求的实质性解决。</w:t>
            </w:r>
          </w:p>
        </w:tc>
        <w:tc>
          <w:tcPr>
            <w:tcW w:w="9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各镇（街道）</w:t>
            </w:r>
          </w:p>
          <w:p>
            <w:pPr>
              <w:widowControl/>
              <w:spacing w:line="300" w:lineRule="exact"/>
              <w:jc w:val="center"/>
              <w:textAlignment w:val="center"/>
              <w:rPr>
                <w:sz w:val="24"/>
              </w:rPr>
            </w:pPr>
            <w:r>
              <w:rPr>
                <w:rFonts w:hint="eastAsia" w:ascii="宋体" w:hAnsi="宋体"/>
                <w:sz w:val="24"/>
              </w:rPr>
              <w:t>区政府各部门、单位</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25</w:t>
            </w:r>
          </w:p>
        </w:tc>
        <w:tc>
          <w:tcPr>
            <w:tcW w:w="469" w:type="pct"/>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sz w:val="24"/>
              </w:rPr>
            </w:pPr>
          </w:p>
        </w:tc>
        <w:tc>
          <w:tcPr>
            <w:tcW w:w="469" w:type="pct"/>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sz w:val="24"/>
              </w:rPr>
            </w:pP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textAlignment w:val="center"/>
              <w:rPr>
                <w:sz w:val="24"/>
              </w:rPr>
            </w:pPr>
            <w:r>
              <w:rPr>
                <w:rFonts w:hint="eastAsia" w:ascii="宋体" w:hAnsi="宋体"/>
                <w:sz w:val="24"/>
              </w:rPr>
              <w:t>围绕征地拆迁、社会保障等企业群众高度关注领域，开展专题调研，深入研究分析，推动申请较为集中的政府信息向主动公开转化。</w:t>
            </w:r>
          </w:p>
        </w:tc>
        <w:tc>
          <w:tcPr>
            <w:tcW w:w="9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区自然资源局</w:t>
            </w:r>
          </w:p>
          <w:p>
            <w:pPr>
              <w:widowControl/>
              <w:spacing w:line="300" w:lineRule="exact"/>
              <w:jc w:val="center"/>
              <w:textAlignment w:val="center"/>
              <w:rPr>
                <w:rFonts w:hint="eastAsia"/>
                <w:sz w:val="24"/>
              </w:rPr>
            </w:pPr>
            <w:r>
              <w:rPr>
                <w:rFonts w:hint="eastAsia" w:ascii="宋体" w:hAnsi="宋体"/>
                <w:sz w:val="24"/>
              </w:rPr>
              <w:t>区住房城乡建设局</w:t>
            </w:r>
          </w:p>
          <w:p>
            <w:pPr>
              <w:widowControl/>
              <w:spacing w:line="300" w:lineRule="exact"/>
              <w:ind w:left="-105" w:leftChars="-50" w:right="-105" w:rightChars="-50"/>
              <w:jc w:val="center"/>
              <w:textAlignment w:val="center"/>
              <w:rPr>
                <w:sz w:val="24"/>
              </w:rPr>
            </w:pPr>
            <w:r>
              <w:rPr>
                <w:rFonts w:hint="eastAsia" w:ascii="宋体" w:hAnsi="宋体"/>
                <w:sz w:val="24"/>
              </w:rPr>
              <w:t>区人力资源社会保障局</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26</w:t>
            </w:r>
          </w:p>
        </w:tc>
        <w:tc>
          <w:tcPr>
            <w:tcW w:w="469" w:type="pct"/>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sz w:val="24"/>
              </w:rPr>
            </w:pPr>
          </w:p>
        </w:tc>
        <w:tc>
          <w:tcPr>
            <w:tcW w:w="469" w:type="pct"/>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sz w:val="24"/>
              </w:rPr>
            </w:pP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textAlignment w:val="center"/>
              <w:rPr>
                <w:sz w:val="24"/>
              </w:rPr>
            </w:pPr>
            <w:r>
              <w:rPr>
                <w:rFonts w:hint="eastAsia" w:ascii="宋体" w:hAnsi="宋体"/>
                <w:sz w:val="24"/>
              </w:rPr>
              <w:t>对依申请公开工作中发现的申请人权利滥用和行政机关未依法行政等方面的问题，加强与有关部门的协调联动，研究制定相关约束转办机制。</w:t>
            </w:r>
          </w:p>
        </w:tc>
        <w:tc>
          <w:tcPr>
            <w:tcW w:w="9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区司法局</w:t>
            </w:r>
          </w:p>
          <w:p>
            <w:pPr>
              <w:widowControl/>
              <w:spacing w:line="300" w:lineRule="exact"/>
              <w:jc w:val="center"/>
              <w:textAlignment w:val="center"/>
              <w:rPr>
                <w:sz w:val="24"/>
              </w:rPr>
            </w:pPr>
            <w:r>
              <w:rPr>
                <w:rFonts w:hint="eastAsia" w:ascii="宋体" w:hAnsi="宋体"/>
                <w:sz w:val="24"/>
              </w:rPr>
              <w:t>区信访局</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27</w:t>
            </w:r>
          </w:p>
        </w:tc>
        <w:tc>
          <w:tcPr>
            <w:tcW w:w="469" w:type="pct"/>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sz w:val="24"/>
              </w:rPr>
            </w:pPr>
          </w:p>
        </w:tc>
        <w:tc>
          <w:tcPr>
            <w:tcW w:w="469" w:type="pct"/>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sz w:val="24"/>
              </w:rPr>
            </w:pP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textAlignment w:val="center"/>
              <w:rPr>
                <w:sz w:val="24"/>
              </w:rPr>
            </w:pPr>
            <w:r>
              <w:rPr>
                <w:rFonts w:hint="eastAsia" w:ascii="宋体" w:hAnsi="宋体"/>
                <w:sz w:val="24"/>
              </w:rPr>
              <w:t>妥善处理依申请公开疑难复杂案件，加强会商，对影响面广、敏感度高的申请，做到早了解、早研究。</w:t>
            </w:r>
          </w:p>
        </w:tc>
        <w:tc>
          <w:tcPr>
            <w:tcW w:w="9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各镇（街道）</w:t>
            </w:r>
          </w:p>
          <w:p>
            <w:pPr>
              <w:widowControl/>
              <w:spacing w:line="300" w:lineRule="exact"/>
              <w:jc w:val="center"/>
              <w:textAlignment w:val="center"/>
              <w:rPr>
                <w:sz w:val="24"/>
              </w:rPr>
            </w:pPr>
            <w:r>
              <w:rPr>
                <w:rFonts w:hint="eastAsia" w:ascii="宋体" w:hAnsi="宋体"/>
                <w:sz w:val="24"/>
              </w:rPr>
              <w:t>区政府各部门、单位</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28</w:t>
            </w:r>
          </w:p>
        </w:tc>
        <w:tc>
          <w:tcPr>
            <w:tcW w:w="469" w:type="pct"/>
            <w:vMerge w:val="restart"/>
            <w:tcBorders>
              <w:top w:val="nil"/>
              <w:left w:val="single" w:color="auto" w:sz="4" w:space="0"/>
              <w:right w:val="single" w:color="auto" w:sz="4" w:space="0"/>
            </w:tcBorders>
            <w:noWrap w:val="0"/>
            <w:vAlign w:val="center"/>
          </w:tcPr>
          <w:p>
            <w:pPr>
              <w:widowControl/>
              <w:spacing w:line="300" w:lineRule="exact"/>
              <w:jc w:val="center"/>
              <w:textAlignment w:val="center"/>
              <w:rPr>
                <w:rFonts w:hint="eastAsia" w:ascii="宋体" w:hAnsi="宋体"/>
                <w:sz w:val="24"/>
              </w:rPr>
            </w:pPr>
            <w:r>
              <w:rPr>
                <w:rFonts w:hint="eastAsia" w:ascii="宋体" w:hAnsi="宋体"/>
                <w:sz w:val="24"/>
              </w:rPr>
              <w:t>深入推进政策公开与解读</w:t>
            </w:r>
          </w:p>
          <w:p>
            <w:pPr>
              <w:widowControl/>
              <w:spacing w:line="300" w:lineRule="exact"/>
              <w:jc w:val="center"/>
              <w:textAlignment w:val="center"/>
              <w:rPr>
                <w:sz w:val="24"/>
              </w:rPr>
            </w:pPr>
            <w:r>
              <w:rPr>
                <w:rFonts w:hint="eastAsia" w:ascii="宋体" w:hAnsi="宋体"/>
                <w:sz w:val="24"/>
              </w:rPr>
              <w:t>回应</w:t>
            </w:r>
          </w:p>
        </w:tc>
        <w:tc>
          <w:tcPr>
            <w:tcW w:w="469" w:type="pct"/>
            <w:vMerge w:val="restart"/>
            <w:tcBorders>
              <w:top w:val="nil"/>
              <w:left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提升政策集中发布质效</w:t>
            </w: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textAlignment w:val="center"/>
              <w:rPr>
                <w:sz w:val="24"/>
              </w:rPr>
            </w:pPr>
            <w:r>
              <w:rPr>
                <w:rFonts w:hint="eastAsia" w:ascii="宋体" w:hAnsi="宋体"/>
                <w:sz w:val="24"/>
              </w:rPr>
              <w:t>持续提高省、市政府文件库入库政府文件质量，确保动态更新、查询便利。</w:t>
            </w:r>
          </w:p>
        </w:tc>
        <w:tc>
          <w:tcPr>
            <w:tcW w:w="9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区政府办公室</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29</w:t>
            </w: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sz w:val="24"/>
              </w:rPr>
            </w:pP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sz w:val="24"/>
              </w:rPr>
            </w:pP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textAlignment w:val="center"/>
              <w:rPr>
                <w:spacing w:val="-4"/>
                <w:sz w:val="24"/>
              </w:rPr>
            </w:pPr>
            <w:r>
              <w:rPr>
                <w:rFonts w:hint="eastAsia" w:ascii="宋体" w:hAnsi="宋体"/>
                <w:spacing w:val="-4"/>
                <w:sz w:val="24"/>
              </w:rPr>
              <w:t>围绕“高效办成一件事”，选取部分企业群众关注度高、办事需求大、政策体量大的领域，实施跨层级、跨部门的政策集成式发布和一站式公开，最大限度利企便民。</w:t>
            </w:r>
          </w:p>
        </w:tc>
        <w:tc>
          <w:tcPr>
            <w:tcW w:w="9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区行政审批服务局</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30</w:t>
            </w: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sz w:val="24"/>
              </w:rPr>
            </w:pP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sz w:val="24"/>
              </w:rPr>
            </w:pP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textAlignment w:val="center"/>
              <w:rPr>
                <w:sz w:val="24"/>
              </w:rPr>
            </w:pPr>
            <w:r>
              <w:rPr>
                <w:rFonts w:hint="eastAsia" w:ascii="宋体" w:hAnsi="宋体"/>
                <w:sz w:val="24"/>
              </w:rPr>
              <w:t>探索运用大数据、人工智能等信息技术优化政策点对点推送，实现政策场景化展示和精准化、个性化推送，确保政策直达基层、直达企业、直达群众。</w:t>
            </w:r>
          </w:p>
        </w:tc>
        <w:tc>
          <w:tcPr>
            <w:tcW w:w="9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区政府办公室</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31</w:t>
            </w: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sz w:val="24"/>
              </w:rPr>
            </w:pP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sz w:val="24"/>
              </w:rPr>
            </w:pP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textAlignment w:val="center"/>
              <w:rPr>
                <w:sz w:val="24"/>
              </w:rPr>
            </w:pPr>
            <w:r>
              <w:rPr>
                <w:rFonts w:hint="eastAsia" w:ascii="宋体" w:hAnsi="宋体"/>
                <w:sz w:val="24"/>
              </w:rPr>
              <w:t>统筹推进政策集中发布窗口建设，强化政府网站政策数据同源管理，提升政策公开质量和效率。</w:t>
            </w:r>
          </w:p>
        </w:tc>
        <w:tc>
          <w:tcPr>
            <w:tcW w:w="9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区政府办公室</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32</w:t>
            </w:r>
          </w:p>
        </w:tc>
        <w:tc>
          <w:tcPr>
            <w:tcW w:w="469" w:type="pct"/>
            <w:vMerge w:val="continue"/>
            <w:tcBorders>
              <w:left w:val="single" w:color="auto" w:sz="4" w:space="0"/>
              <w:bottom w:val="single" w:color="auto" w:sz="4" w:space="0"/>
              <w:right w:val="single" w:color="auto" w:sz="4" w:space="0"/>
            </w:tcBorders>
            <w:noWrap w:val="0"/>
            <w:vAlign w:val="center"/>
          </w:tcPr>
          <w:p>
            <w:pPr>
              <w:widowControl/>
              <w:spacing w:line="300" w:lineRule="exact"/>
              <w:jc w:val="center"/>
              <w:rPr>
                <w:sz w:val="24"/>
              </w:rPr>
            </w:pPr>
          </w:p>
        </w:tc>
        <w:tc>
          <w:tcPr>
            <w:tcW w:w="469" w:type="pct"/>
            <w:vMerge w:val="continue"/>
            <w:tcBorders>
              <w:left w:val="single" w:color="auto" w:sz="4" w:space="0"/>
              <w:bottom w:val="single" w:color="auto" w:sz="4" w:space="0"/>
              <w:right w:val="single" w:color="auto" w:sz="4" w:space="0"/>
            </w:tcBorders>
            <w:noWrap w:val="0"/>
            <w:vAlign w:val="center"/>
          </w:tcPr>
          <w:p>
            <w:pPr>
              <w:widowControl/>
              <w:spacing w:line="300" w:lineRule="exact"/>
              <w:jc w:val="center"/>
              <w:rPr>
                <w:sz w:val="24"/>
              </w:rPr>
            </w:pP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textAlignment w:val="center"/>
              <w:rPr>
                <w:sz w:val="24"/>
              </w:rPr>
            </w:pPr>
            <w:r>
              <w:rPr>
                <w:rFonts w:hint="eastAsia" w:ascii="宋体" w:hAnsi="宋体"/>
                <w:sz w:val="24"/>
              </w:rPr>
              <w:t>加快推进政策发布数字化转型，明确政策网络版式，构建以网上发布为主、其他发布渠道为辅的政策发布新格局。</w:t>
            </w:r>
          </w:p>
        </w:tc>
        <w:tc>
          <w:tcPr>
            <w:tcW w:w="9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区政府办公室</w:t>
            </w:r>
          </w:p>
          <w:p>
            <w:pPr>
              <w:widowControl/>
              <w:spacing w:line="300" w:lineRule="exact"/>
              <w:jc w:val="center"/>
              <w:textAlignment w:val="center"/>
              <w:rPr>
                <w:rFonts w:hint="eastAsia"/>
                <w:sz w:val="24"/>
              </w:rPr>
            </w:pPr>
            <w:r>
              <w:rPr>
                <w:rFonts w:hint="eastAsia" w:ascii="宋体" w:hAnsi="宋体"/>
                <w:sz w:val="24"/>
              </w:rPr>
              <w:t>各镇（街道）</w:t>
            </w:r>
          </w:p>
          <w:p>
            <w:pPr>
              <w:widowControl/>
              <w:spacing w:line="300" w:lineRule="exact"/>
              <w:jc w:val="center"/>
              <w:textAlignment w:val="center"/>
              <w:rPr>
                <w:sz w:val="24"/>
              </w:rPr>
            </w:pPr>
            <w:r>
              <w:rPr>
                <w:rFonts w:hint="eastAsia" w:ascii="宋体" w:hAnsi="宋体"/>
                <w:sz w:val="24"/>
              </w:rPr>
              <w:t>区政府各部门、单位</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33</w:t>
            </w:r>
          </w:p>
        </w:tc>
        <w:tc>
          <w:tcPr>
            <w:tcW w:w="469" w:type="pct"/>
            <w:vMerge w:val="restart"/>
            <w:tcBorders>
              <w:top w:val="nil"/>
              <w:left w:val="single" w:color="auto" w:sz="4" w:space="0"/>
              <w:right w:val="single" w:color="auto" w:sz="4" w:space="0"/>
            </w:tcBorders>
            <w:noWrap w:val="0"/>
            <w:vAlign w:val="center"/>
          </w:tcPr>
          <w:p>
            <w:pPr>
              <w:widowControl/>
              <w:spacing w:line="300" w:lineRule="exact"/>
              <w:jc w:val="center"/>
              <w:rPr>
                <w:rFonts w:hint="eastAsia" w:ascii="宋体" w:hAnsi="宋体"/>
                <w:sz w:val="24"/>
              </w:rPr>
            </w:pPr>
            <w:r>
              <w:rPr>
                <w:rFonts w:hint="eastAsia" w:ascii="宋体" w:hAnsi="宋体"/>
                <w:sz w:val="24"/>
              </w:rPr>
              <w:t>深入推进政策公开与解读</w:t>
            </w:r>
          </w:p>
          <w:p>
            <w:pPr>
              <w:widowControl/>
              <w:spacing w:line="300" w:lineRule="exact"/>
              <w:jc w:val="center"/>
              <w:rPr>
                <w:sz w:val="24"/>
              </w:rPr>
            </w:pPr>
            <w:r>
              <w:rPr>
                <w:rFonts w:hint="eastAsia" w:ascii="宋体" w:hAnsi="宋体"/>
                <w:sz w:val="24"/>
              </w:rPr>
              <w:t>回应</w:t>
            </w:r>
          </w:p>
        </w:tc>
        <w:tc>
          <w:tcPr>
            <w:tcW w:w="469" w:type="pct"/>
            <w:vMerge w:val="restart"/>
            <w:tcBorders>
              <w:top w:val="nil"/>
              <w:left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提升政策集中发布质效</w:t>
            </w: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textAlignment w:val="center"/>
              <w:rPr>
                <w:sz w:val="24"/>
              </w:rPr>
            </w:pPr>
            <w:r>
              <w:rPr>
                <w:rFonts w:hint="eastAsia" w:ascii="宋体" w:hAnsi="宋体"/>
                <w:sz w:val="24"/>
              </w:rPr>
              <w:t>以行政规范性文件为重点，加强已公开政策的信息管理，根据立改废情况动态更新，以公开的准确性保障执行的准确性。</w:t>
            </w:r>
          </w:p>
        </w:tc>
        <w:tc>
          <w:tcPr>
            <w:tcW w:w="9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各镇（街道）</w:t>
            </w:r>
          </w:p>
          <w:p>
            <w:pPr>
              <w:widowControl/>
              <w:spacing w:line="300" w:lineRule="exact"/>
              <w:jc w:val="center"/>
              <w:textAlignment w:val="center"/>
              <w:rPr>
                <w:sz w:val="24"/>
              </w:rPr>
            </w:pPr>
            <w:r>
              <w:rPr>
                <w:rFonts w:hint="eastAsia" w:ascii="宋体" w:hAnsi="宋体"/>
                <w:sz w:val="24"/>
              </w:rPr>
              <w:t>区政府各部门、单位</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34</w:t>
            </w: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sz w:val="24"/>
              </w:rPr>
            </w:pPr>
          </w:p>
        </w:tc>
        <w:tc>
          <w:tcPr>
            <w:tcW w:w="469" w:type="pct"/>
            <w:vMerge w:val="continue"/>
            <w:tcBorders>
              <w:left w:val="single" w:color="auto" w:sz="4" w:space="0"/>
              <w:bottom w:val="single" w:color="auto" w:sz="4" w:space="0"/>
              <w:right w:val="single" w:color="auto" w:sz="4" w:space="0"/>
            </w:tcBorders>
            <w:noWrap w:val="0"/>
            <w:vAlign w:val="center"/>
          </w:tcPr>
          <w:p>
            <w:pPr>
              <w:widowControl/>
              <w:spacing w:line="300" w:lineRule="exact"/>
              <w:jc w:val="center"/>
              <w:rPr>
                <w:sz w:val="24"/>
              </w:rPr>
            </w:pP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textAlignment w:val="center"/>
              <w:rPr>
                <w:sz w:val="24"/>
              </w:rPr>
            </w:pPr>
            <w:r>
              <w:rPr>
                <w:rFonts w:hint="eastAsia" w:ascii="宋体" w:hAnsi="宋体"/>
                <w:sz w:val="24"/>
              </w:rPr>
              <w:t>加快推进政府公报数字化转型，稳步扩大网络版政府公报适用范围。</w:t>
            </w:r>
          </w:p>
        </w:tc>
        <w:tc>
          <w:tcPr>
            <w:tcW w:w="9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区政府办公室</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35</w:t>
            </w: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sz w:val="24"/>
              </w:rPr>
            </w:pPr>
          </w:p>
        </w:tc>
        <w:tc>
          <w:tcPr>
            <w:tcW w:w="469" w:type="pct"/>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持续加大政策解读力度</w:t>
            </w: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textAlignment w:val="center"/>
              <w:rPr>
                <w:sz w:val="24"/>
              </w:rPr>
            </w:pPr>
            <w:r>
              <w:rPr>
                <w:rFonts w:hint="eastAsia" w:ascii="宋体" w:hAnsi="宋体"/>
                <w:sz w:val="24"/>
              </w:rPr>
              <w:t>准确把握政策解读工作重点，聚焦扩大有效需求、培育和发展新质生产力、数字经济发展、重点领域改革、高水平开放、高质量招商引资、乡村振兴、新型城镇化建设、降碳减污扩绿、保障改善民生等方面政策，开展深入解读，加速释放政策红利。</w:t>
            </w:r>
          </w:p>
        </w:tc>
        <w:tc>
          <w:tcPr>
            <w:tcW w:w="9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105" w:leftChars="-50" w:right="-105" w:rightChars="-50"/>
              <w:jc w:val="center"/>
              <w:textAlignment w:val="center"/>
              <w:rPr>
                <w:sz w:val="24"/>
              </w:rPr>
            </w:pPr>
            <w:r>
              <w:rPr>
                <w:rFonts w:hint="eastAsia" w:ascii="宋体" w:hAnsi="宋体"/>
                <w:spacing w:val="-8"/>
                <w:sz w:val="24"/>
              </w:rPr>
              <w:t>区政府各有关部门、单位</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36</w:t>
            </w: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sz w:val="24"/>
              </w:rPr>
            </w:pPr>
          </w:p>
        </w:tc>
        <w:tc>
          <w:tcPr>
            <w:tcW w:w="469" w:type="pct"/>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sz w:val="24"/>
              </w:rPr>
            </w:pP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textAlignment w:val="center"/>
              <w:rPr>
                <w:sz w:val="24"/>
              </w:rPr>
            </w:pPr>
            <w:r>
              <w:rPr>
                <w:rFonts w:hint="eastAsia" w:ascii="宋体" w:hAnsi="宋体"/>
                <w:sz w:val="24"/>
              </w:rPr>
              <w:t>充分收集政府网站、政务服务大厅、</w:t>
            </w:r>
            <w:r>
              <w:rPr>
                <w:rFonts w:hint="eastAsia"/>
                <w:sz w:val="24"/>
              </w:rPr>
              <w:t>12345</w:t>
            </w:r>
            <w:r>
              <w:rPr>
                <w:rFonts w:hint="eastAsia" w:ascii="宋体" w:hAnsi="宋体"/>
                <w:sz w:val="24"/>
              </w:rPr>
              <w:t>政务服务便民热线等渠道反映的企业群众诉求，对政策中与企业群众生产生活密切相关的具体条款和事项，进行要点拆分、深度解读和综合指引，不断丰富解读内容，提高解读质量。</w:t>
            </w:r>
          </w:p>
        </w:tc>
        <w:tc>
          <w:tcPr>
            <w:tcW w:w="975" w:type="pct"/>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各镇（街道）</w:t>
            </w:r>
          </w:p>
          <w:p>
            <w:pPr>
              <w:widowControl/>
              <w:spacing w:line="300" w:lineRule="exact"/>
              <w:jc w:val="center"/>
              <w:textAlignment w:val="center"/>
              <w:rPr>
                <w:sz w:val="24"/>
              </w:rPr>
            </w:pPr>
            <w:r>
              <w:rPr>
                <w:rFonts w:hint="eastAsia" w:ascii="宋体" w:hAnsi="宋体"/>
                <w:sz w:val="24"/>
              </w:rPr>
              <w:t>区政府各部门、单位</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37</w:t>
            </w: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sz w:val="24"/>
              </w:rPr>
            </w:pPr>
          </w:p>
        </w:tc>
        <w:tc>
          <w:tcPr>
            <w:tcW w:w="469" w:type="pct"/>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sz w:val="24"/>
              </w:rPr>
            </w:pP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textAlignment w:val="center"/>
              <w:rPr>
                <w:sz w:val="24"/>
              </w:rPr>
            </w:pPr>
            <w:r>
              <w:rPr>
                <w:rFonts w:hint="eastAsia" w:ascii="宋体" w:hAnsi="宋体"/>
                <w:sz w:val="24"/>
              </w:rPr>
              <w:t>涉及办事服务的政策性文件，要确保政策解读内容与实际办事要求一致。</w:t>
            </w:r>
          </w:p>
        </w:tc>
        <w:tc>
          <w:tcPr>
            <w:tcW w:w="975" w:type="pct"/>
            <w:vMerge w:val="continue"/>
            <w:tcBorders>
              <w:top w:val="nil"/>
              <w:left w:val="single" w:color="auto" w:sz="4" w:space="0"/>
              <w:bottom w:val="single" w:color="auto" w:sz="4" w:space="0"/>
              <w:right w:val="single" w:color="auto" w:sz="4" w:space="0"/>
            </w:tcBorders>
            <w:noWrap w:val="0"/>
            <w:vAlign w:val="center"/>
          </w:tcPr>
          <w:p>
            <w:pPr>
              <w:widowControl/>
              <w:jc w:val="center"/>
              <w:rPr>
                <w:sz w:val="24"/>
              </w:rPr>
            </w:pP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38</w:t>
            </w:r>
          </w:p>
        </w:tc>
        <w:tc>
          <w:tcPr>
            <w:tcW w:w="469" w:type="pct"/>
            <w:vMerge w:val="continue"/>
            <w:tcBorders>
              <w:left w:val="single" w:color="auto" w:sz="4" w:space="0"/>
              <w:bottom w:val="single" w:color="auto" w:sz="4" w:space="0"/>
              <w:right w:val="single" w:color="auto" w:sz="4" w:space="0"/>
            </w:tcBorders>
            <w:noWrap w:val="0"/>
            <w:vAlign w:val="center"/>
          </w:tcPr>
          <w:p>
            <w:pPr>
              <w:widowControl/>
              <w:spacing w:line="300" w:lineRule="exact"/>
              <w:jc w:val="center"/>
              <w:rPr>
                <w:sz w:val="24"/>
              </w:rPr>
            </w:pPr>
          </w:p>
        </w:tc>
        <w:tc>
          <w:tcPr>
            <w:tcW w:w="469" w:type="pct"/>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sz w:val="24"/>
              </w:rPr>
            </w:pP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textAlignment w:val="center"/>
              <w:rPr>
                <w:sz w:val="24"/>
              </w:rPr>
            </w:pPr>
            <w:r>
              <w:rPr>
                <w:rFonts w:hint="eastAsia" w:ascii="宋体" w:hAnsi="宋体"/>
                <w:sz w:val="24"/>
              </w:rPr>
              <w:t>充分发挥部门主要负责人、政策参与制定者和熟悉有关业务专家学者、专业机构从业人员、新闻评论员、媒体记者等作用，综合运用政策吹风会或新闻发布会、媒体互动直播、现场集中宣讲、撰写评论文章等方式多角度全方位开展解读。</w:t>
            </w:r>
          </w:p>
        </w:tc>
        <w:tc>
          <w:tcPr>
            <w:tcW w:w="975" w:type="pct"/>
            <w:vMerge w:val="continue"/>
            <w:tcBorders>
              <w:top w:val="nil"/>
              <w:left w:val="single" w:color="auto" w:sz="4" w:space="0"/>
              <w:bottom w:val="single" w:color="auto" w:sz="4" w:space="0"/>
              <w:right w:val="single" w:color="auto" w:sz="4" w:space="0"/>
            </w:tcBorders>
            <w:noWrap w:val="0"/>
            <w:vAlign w:val="center"/>
          </w:tcPr>
          <w:p>
            <w:pPr>
              <w:widowControl/>
              <w:jc w:val="center"/>
              <w:rPr>
                <w:sz w:val="24"/>
              </w:rPr>
            </w:pP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39</w:t>
            </w:r>
          </w:p>
        </w:tc>
        <w:tc>
          <w:tcPr>
            <w:tcW w:w="469" w:type="pct"/>
            <w:tcBorders>
              <w:top w:val="nil"/>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sz w:val="24"/>
              </w:rPr>
            </w:pPr>
            <w:r>
              <w:rPr>
                <w:rFonts w:hint="eastAsia" w:ascii="宋体" w:hAnsi="宋体"/>
                <w:sz w:val="24"/>
              </w:rPr>
              <w:t>全面深化政民互动与公众</w:t>
            </w:r>
          </w:p>
          <w:p>
            <w:pPr>
              <w:widowControl/>
              <w:spacing w:line="300" w:lineRule="exact"/>
              <w:jc w:val="center"/>
              <w:textAlignment w:val="center"/>
              <w:rPr>
                <w:sz w:val="24"/>
              </w:rPr>
            </w:pPr>
            <w:r>
              <w:rPr>
                <w:rFonts w:hint="eastAsia" w:ascii="宋体" w:hAnsi="宋体"/>
                <w:sz w:val="24"/>
              </w:rPr>
              <w:t>参与</w:t>
            </w:r>
          </w:p>
        </w:tc>
        <w:tc>
          <w:tcPr>
            <w:tcW w:w="469" w:type="pct"/>
            <w:tcBorders>
              <w:top w:val="nil"/>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深化重大决策公众参与</w:t>
            </w: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textAlignment w:val="center"/>
              <w:rPr>
                <w:sz w:val="24"/>
              </w:rPr>
            </w:pPr>
            <w:r>
              <w:rPr>
                <w:rFonts w:hint="eastAsia" w:ascii="宋体" w:hAnsi="宋体"/>
                <w:sz w:val="24"/>
              </w:rPr>
              <w:t>深入落实重大决策公众参与程序，进一步完善意见征集、采纳、反馈等工作机制。制定涉及重大公共利益的政策，除依法应当保密的外，应通过征求意见、听证座谈、实地走访、民意调查等方式扩大公众参与。制定涉企政策要主动听取相关企业、行业协会商会的意见。</w:t>
            </w:r>
          </w:p>
        </w:tc>
        <w:tc>
          <w:tcPr>
            <w:tcW w:w="9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rFonts w:hint="eastAsia" w:ascii="宋体" w:hAnsi="宋体"/>
                <w:sz w:val="24"/>
              </w:rPr>
            </w:pPr>
            <w:r>
              <w:rPr>
                <w:rFonts w:hint="eastAsia" w:ascii="宋体" w:hAnsi="宋体"/>
                <w:sz w:val="24"/>
              </w:rPr>
              <w:t>区司法局</w:t>
            </w:r>
          </w:p>
          <w:p>
            <w:pPr>
              <w:widowControl/>
              <w:spacing w:line="300" w:lineRule="exact"/>
              <w:jc w:val="center"/>
              <w:textAlignment w:val="center"/>
              <w:rPr>
                <w:rFonts w:hint="eastAsia" w:ascii="宋体" w:hAnsi="宋体"/>
                <w:sz w:val="24"/>
              </w:rPr>
            </w:pPr>
            <w:r>
              <w:rPr>
                <w:rFonts w:hint="eastAsia" w:ascii="宋体" w:hAnsi="宋体"/>
                <w:sz w:val="24"/>
              </w:rPr>
              <w:t>区发展改革局</w:t>
            </w:r>
          </w:p>
          <w:p>
            <w:pPr>
              <w:widowControl/>
              <w:spacing w:line="300" w:lineRule="exact"/>
              <w:jc w:val="center"/>
              <w:textAlignment w:val="center"/>
              <w:rPr>
                <w:rFonts w:hint="eastAsia" w:ascii="宋体" w:hAnsi="宋体"/>
                <w:sz w:val="24"/>
              </w:rPr>
            </w:pPr>
            <w:r>
              <w:rPr>
                <w:rFonts w:hint="eastAsia" w:ascii="宋体" w:hAnsi="宋体"/>
                <w:sz w:val="24"/>
              </w:rPr>
              <w:t>区行政审批服务局</w:t>
            </w:r>
          </w:p>
          <w:p>
            <w:pPr>
              <w:widowControl/>
              <w:spacing w:line="300" w:lineRule="exact"/>
              <w:jc w:val="center"/>
              <w:textAlignment w:val="center"/>
              <w:rPr>
                <w:rFonts w:ascii="宋体" w:hAnsi="宋体" w:eastAsia="等线"/>
                <w:sz w:val="24"/>
              </w:rPr>
            </w:pPr>
            <w:r>
              <w:rPr>
                <w:rFonts w:hint="eastAsia" w:ascii="宋体" w:hAnsi="宋体"/>
                <w:sz w:val="24"/>
              </w:rPr>
              <w:t>区压煤办</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40</w:t>
            </w:r>
          </w:p>
        </w:tc>
        <w:tc>
          <w:tcPr>
            <w:tcW w:w="469" w:type="pct"/>
            <w:vMerge w:val="restart"/>
            <w:tcBorders>
              <w:top w:val="nil"/>
              <w:left w:val="single" w:color="auto" w:sz="4" w:space="0"/>
              <w:right w:val="single" w:color="auto" w:sz="4" w:space="0"/>
            </w:tcBorders>
            <w:noWrap w:val="0"/>
            <w:vAlign w:val="center"/>
          </w:tcPr>
          <w:p>
            <w:pPr>
              <w:widowControl/>
              <w:spacing w:line="300" w:lineRule="exact"/>
              <w:jc w:val="center"/>
              <w:textAlignment w:val="center"/>
              <w:rPr>
                <w:rFonts w:hint="eastAsia" w:ascii="宋体" w:hAnsi="宋体"/>
                <w:sz w:val="24"/>
              </w:rPr>
            </w:pPr>
            <w:r>
              <w:rPr>
                <w:rFonts w:hint="eastAsia" w:ascii="宋体" w:hAnsi="宋体"/>
                <w:sz w:val="24"/>
              </w:rPr>
              <w:t>全面深化政民互动与公众</w:t>
            </w:r>
          </w:p>
          <w:p>
            <w:pPr>
              <w:widowControl/>
              <w:spacing w:line="300" w:lineRule="exact"/>
              <w:jc w:val="center"/>
              <w:rPr>
                <w:sz w:val="24"/>
              </w:rPr>
            </w:pPr>
            <w:r>
              <w:rPr>
                <w:rFonts w:hint="eastAsia" w:ascii="宋体" w:hAnsi="宋体"/>
                <w:sz w:val="24"/>
              </w:rPr>
              <w:t>参与</w:t>
            </w:r>
          </w:p>
        </w:tc>
        <w:tc>
          <w:tcPr>
            <w:tcW w:w="469" w:type="pct"/>
            <w:vMerge w:val="restart"/>
            <w:tcBorders>
              <w:top w:val="nil"/>
              <w:left w:val="single" w:color="auto" w:sz="4" w:space="0"/>
              <w:right w:val="single" w:color="auto" w:sz="4" w:space="0"/>
            </w:tcBorders>
            <w:noWrap w:val="0"/>
            <w:vAlign w:val="center"/>
          </w:tcPr>
          <w:p>
            <w:pPr>
              <w:widowControl/>
              <w:spacing w:line="300" w:lineRule="exact"/>
              <w:jc w:val="center"/>
              <w:rPr>
                <w:sz w:val="24"/>
              </w:rPr>
            </w:pPr>
            <w:r>
              <w:rPr>
                <w:rFonts w:hint="eastAsia" w:ascii="宋体" w:hAnsi="宋体"/>
                <w:sz w:val="24"/>
              </w:rPr>
              <w:t>深化重大决策公众参与</w:t>
            </w: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textAlignment w:val="center"/>
              <w:rPr>
                <w:sz w:val="24"/>
              </w:rPr>
            </w:pPr>
            <w:r>
              <w:rPr>
                <w:rFonts w:hint="eastAsia" w:ascii="宋体" w:hAnsi="宋体"/>
                <w:sz w:val="24"/>
              </w:rPr>
              <w:t>探索建立政务公开监督员制度，聘请专家学者、公众代表、企业法人、律师、教师、人大代表、政协委员、民主党派人士等作为监督员，积极向政务公开工作机构反馈企业群众的意见建议。</w:t>
            </w:r>
          </w:p>
        </w:tc>
        <w:tc>
          <w:tcPr>
            <w:tcW w:w="9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各镇（街道）</w:t>
            </w:r>
          </w:p>
          <w:p>
            <w:pPr>
              <w:widowControl/>
              <w:spacing w:line="300" w:lineRule="exact"/>
              <w:jc w:val="center"/>
              <w:textAlignment w:val="center"/>
              <w:rPr>
                <w:sz w:val="24"/>
              </w:rPr>
            </w:pPr>
            <w:r>
              <w:rPr>
                <w:rFonts w:hint="eastAsia" w:ascii="宋体" w:hAnsi="宋体"/>
                <w:sz w:val="24"/>
              </w:rPr>
              <w:t>区政府各部门、单位</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41</w:t>
            </w: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sz w:val="24"/>
              </w:rPr>
            </w:pP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sz w:val="24"/>
              </w:rPr>
            </w:pP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textAlignment w:val="center"/>
              <w:rPr>
                <w:sz w:val="24"/>
              </w:rPr>
            </w:pPr>
            <w:r>
              <w:rPr>
                <w:rFonts w:hint="eastAsia" w:ascii="宋体" w:hAnsi="宋体"/>
                <w:sz w:val="24"/>
              </w:rPr>
              <w:t>继续推进邀请利益相关方、公众代表、企业法人等列席政府有关会议工作，列席代表的意见发表和采纳情况要向社会公开。</w:t>
            </w:r>
          </w:p>
        </w:tc>
        <w:tc>
          <w:tcPr>
            <w:tcW w:w="9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区政府办公室</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42</w:t>
            </w: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sz w:val="24"/>
              </w:rPr>
            </w:pPr>
          </w:p>
        </w:tc>
        <w:tc>
          <w:tcPr>
            <w:tcW w:w="469" w:type="pct"/>
            <w:vMerge w:val="continue"/>
            <w:tcBorders>
              <w:left w:val="single" w:color="auto" w:sz="4" w:space="0"/>
              <w:bottom w:val="single" w:color="auto" w:sz="4" w:space="0"/>
              <w:right w:val="single" w:color="auto" w:sz="4" w:space="0"/>
            </w:tcBorders>
            <w:noWrap w:val="0"/>
            <w:vAlign w:val="center"/>
          </w:tcPr>
          <w:p>
            <w:pPr>
              <w:widowControl/>
              <w:spacing w:line="300" w:lineRule="exact"/>
              <w:jc w:val="center"/>
              <w:rPr>
                <w:sz w:val="24"/>
              </w:rPr>
            </w:pP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textAlignment w:val="center"/>
              <w:rPr>
                <w:rFonts w:ascii="宋体" w:hAnsi="宋体"/>
                <w:spacing w:val="-8"/>
                <w:sz w:val="24"/>
              </w:rPr>
            </w:pPr>
            <w:r>
              <w:rPr>
                <w:rFonts w:hint="eastAsia" w:ascii="宋体" w:hAnsi="宋体"/>
                <w:sz w:val="24"/>
              </w:rPr>
              <w:t>常态化开展政策评价，选取本单位重点政策，进行实施效果评价，全面掌握政策落实情况，制定政策性文件的部门原则上每年至少开展2次专题性政策评价工作。要深入分析政策评价结果，适时转化为调整政策制定的措施，年底前将评价结果和运用情况向社会公开。</w:t>
            </w:r>
          </w:p>
        </w:tc>
        <w:tc>
          <w:tcPr>
            <w:tcW w:w="9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left="-105" w:leftChars="-50" w:right="-105" w:rightChars="-50"/>
              <w:jc w:val="center"/>
              <w:textAlignment w:val="center"/>
              <w:rPr>
                <w:rFonts w:ascii="宋体" w:hAnsi="宋体"/>
                <w:spacing w:val="-8"/>
                <w:sz w:val="24"/>
              </w:rPr>
            </w:pPr>
            <w:r>
              <w:rPr>
                <w:rFonts w:hint="eastAsia" w:ascii="宋体" w:hAnsi="宋体"/>
                <w:spacing w:val="-8"/>
                <w:sz w:val="24"/>
              </w:rPr>
              <w:t>区政府各有关部门、单位</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43</w:t>
            </w: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sz w:val="24"/>
              </w:rPr>
            </w:pPr>
          </w:p>
        </w:tc>
        <w:tc>
          <w:tcPr>
            <w:tcW w:w="469" w:type="pct"/>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增强政民互动交流实效</w:t>
            </w: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textAlignment w:val="center"/>
              <w:rPr>
                <w:sz w:val="24"/>
              </w:rPr>
            </w:pPr>
            <w:r>
              <w:rPr>
                <w:rFonts w:hint="eastAsia" w:ascii="宋体" w:hAnsi="宋体"/>
                <w:sz w:val="24"/>
              </w:rPr>
              <w:t>集中组织本级政府部门开展政府开放活动，精心设置议题，通过线上线下联动，畅通企业群众反映诉求的渠道。</w:t>
            </w:r>
          </w:p>
        </w:tc>
        <w:tc>
          <w:tcPr>
            <w:tcW w:w="975" w:type="pct"/>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区政府办公室牵头</w:t>
            </w:r>
          </w:p>
          <w:p>
            <w:pPr>
              <w:widowControl/>
              <w:spacing w:line="300" w:lineRule="exact"/>
              <w:jc w:val="center"/>
              <w:textAlignment w:val="center"/>
              <w:rPr>
                <w:sz w:val="24"/>
              </w:rPr>
            </w:pPr>
            <w:r>
              <w:rPr>
                <w:rFonts w:hint="eastAsia" w:ascii="宋体" w:hAnsi="宋体"/>
                <w:sz w:val="24"/>
              </w:rPr>
              <w:t>各镇（街道），区政府各部门、单位配合</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44</w:t>
            </w: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sz w:val="24"/>
              </w:rPr>
            </w:pPr>
          </w:p>
        </w:tc>
        <w:tc>
          <w:tcPr>
            <w:tcW w:w="469" w:type="pct"/>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sz w:val="24"/>
              </w:rPr>
            </w:pP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textAlignment w:val="center"/>
              <w:rPr>
                <w:sz w:val="24"/>
              </w:rPr>
            </w:pPr>
            <w:r>
              <w:rPr>
                <w:rFonts w:hint="eastAsia" w:ascii="宋体" w:hAnsi="宋体"/>
                <w:sz w:val="24"/>
              </w:rPr>
              <w:t>鼓励以公开征集意见方式，确定政府开放活动主题和场次，推动政府开放活动常态化。加强对收集意见建议的分析研究，在作出公开决策时予以考虑，并将吸收采纳情况向社会公开。</w:t>
            </w:r>
          </w:p>
        </w:tc>
        <w:tc>
          <w:tcPr>
            <w:tcW w:w="975" w:type="pct"/>
            <w:vMerge w:val="continue"/>
            <w:tcBorders>
              <w:top w:val="nil"/>
              <w:left w:val="single" w:color="auto" w:sz="4" w:space="0"/>
              <w:bottom w:val="single" w:color="auto" w:sz="4" w:space="0"/>
              <w:right w:val="single" w:color="auto" w:sz="4" w:space="0"/>
            </w:tcBorders>
            <w:noWrap w:val="0"/>
            <w:vAlign w:val="center"/>
          </w:tcPr>
          <w:p>
            <w:pPr>
              <w:widowControl/>
              <w:jc w:val="center"/>
              <w:rPr>
                <w:sz w:val="24"/>
              </w:rPr>
            </w:pP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45</w:t>
            </w:r>
          </w:p>
        </w:tc>
        <w:tc>
          <w:tcPr>
            <w:tcW w:w="469" w:type="pct"/>
            <w:vMerge w:val="continue"/>
            <w:tcBorders>
              <w:left w:val="single" w:color="auto" w:sz="4" w:space="0"/>
              <w:bottom w:val="single" w:color="auto" w:sz="4" w:space="0"/>
              <w:right w:val="single" w:color="auto" w:sz="4" w:space="0"/>
            </w:tcBorders>
            <w:noWrap w:val="0"/>
            <w:vAlign w:val="center"/>
          </w:tcPr>
          <w:p>
            <w:pPr>
              <w:widowControl/>
              <w:spacing w:line="300" w:lineRule="exact"/>
              <w:jc w:val="center"/>
              <w:rPr>
                <w:sz w:val="24"/>
              </w:rPr>
            </w:pPr>
          </w:p>
        </w:tc>
        <w:tc>
          <w:tcPr>
            <w:tcW w:w="469" w:type="pct"/>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sz w:val="24"/>
              </w:rPr>
            </w:pP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textAlignment w:val="center"/>
              <w:rPr>
                <w:sz w:val="24"/>
              </w:rPr>
            </w:pPr>
            <w:r>
              <w:rPr>
                <w:rFonts w:hint="eastAsia" w:ascii="宋体" w:hAnsi="宋体"/>
                <w:sz w:val="24"/>
              </w:rPr>
              <w:t>加强领导信箱、在线访谈、网友留言、意见征集、建言献策等互动平台建设，严格落实各渠道办理时限，及时公开公众意见建议采纳情况。</w:t>
            </w:r>
          </w:p>
        </w:tc>
        <w:tc>
          <w:tcPr>
            <w:tcW w:w="9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各镇（街道）</w:t>
            </w:r>
          </w:p>
          <w:p>
            <w:pPr>
              <w:widowControl/>
              <w:spacing w:line="300" w:lineRule="exact"/>
              <w:jc w:val="center"/>
              <w:textAlignment w:val="center"/>
              <w:rPr>
                <w:sz w:val="24"/>
              </w:rPr>
            </w:pPr>
            <w:r>
              <w:rPr>
                <w:rFonts w:hint="eastAsia" w:ascii="宋体" w:hAnsi="宋体"/>
                <w:sz w:val="24"/>
              </w:rPr>
              <w:t>区政府各部门、单位</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46</w:t>
            </w:r>
          </w:p>
        </w:tc>
        <w:tc>
          <w:tcPr>
            <w:tcW w:w="469" w:type="pct"/>
            <w:tcBorders>
              <w:top w:val="nil"/>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持续提高公开平台建管水平</w:t>
            </w:r>
          </w:p>
        </w:tc>
        <w:tc>
          <w:tcPr>
            <w:tcW w:w="469" w:type="pct"/>
            <w:tcBorders>
              <w:top w:val="nil"/>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持续优化政府网站功能</w:t>
            </w: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textAlignment w:val="center"/>
              <w:rPr>
                <w:sz w:val="24"/>
              </w:rPr>
            </w:pPr>
            <w:r>
              <w:rPr>
                <w:rFonts w:hint="eastAsia" w:ascii="宋体" w:hAnsi="宋体"/>
                <w:sz w:val="24"/>
              </w:rPr>
              <w:t>完善政府网站站内检索，增设错别字自动纠正、关键词推荐、拼音转化搜索和通俗语言搜索等功能。对搜索结果提供多维度分类展现，聚合相关信息和服务，实现“搜索即服务”。</w:t>
            </w:r>
          </w:p>
        </w:tc>
        <w:tc>
          <w:tcPr>
            <w:tcW w:w="975" w:type="pct"/>
            <w:tcBorders>
              <w:top w:val="nil"/>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区政府办公室</w:t>
            </w:r>
          </w:p>
        </w:tc>
        <w:tc>
          <w:tcPr>
            <w:tcW w:w="565" w:type="pct"/>
            <w:tcBorders>
              <w:top w:val="nil"/>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47</w:t>
            </w:r>
          </w:p>
        </w:tc>
        <w:tc>
          <w:tcPr>
            <w:tcW w:w="469" w:type="pct"/>
            <w:vMerge w:val="restart"/>
            <w:tcBorders>
              <w:top w:val="nil"/>
              <w:left w:val="single" w:color="auto" w:sz="4" w:space="0"/>
              <w:right w:val="single" w:color="auto" w:sz="4" w:space="0"/>
            </w:tcBorders>
            <w:noWrap w:val="0"/>
            <w:vAlign w:val="center"/>
          </w:tcPr>
          <w:p>
            <w:pPr>
              <w:widowControl/>
              <w:spacing w:line="300" w:lineRule="exact"/>
              <w:jc w:val="center"/>
              <w:rPr>
                <w:sz w:val="24"/>
              </w:rPr>
            </w:pPr>
            <w:r>
              <w:rPr>
                <w:rFonts w:hint="eastAsia" w:ascii="宋体" w:hAnsi="宋体"/>
                <w:sz w:val="24"/>
              </w:rPr>
              <w:t>持续提高公开平台建管水平</w:t>
            </w:r>
          </w:p>
        </w:tc>
        <w:tc>
          <w:tcPr>
            <w:tcW w:w="469" w:type="pct"/>
            <w:tcBorders>
              <w:top w:val="nil"/>
              <w:left w:val="single" w:color="auto" w:sz="4" w:space="0"/>
              <w:bottom w:val="single" w:color="auto" w:sz="4" w:space="0"/>
              <w:right w:val="single" w:color="auto" w:sz="4" w:space="0"/>
            </w:tcBorders>
            <w:noWrap w:val="0"/>
            <w:vAlign w:val="center"/>
          </w:tcPr>
          <w:p>
            <w:pPr>
              <w:widowControl/>
              <w:spacing w:line="300" w:lineRule="exact"/>
              <w:jc w:val="center"/>
              <w:rPr>
                <w:sz w:val="24"/>
              </w:rPr>
            </w:pPr>
            <w:r>
              <w:rPr>
                <w:rFonts w:hint="eastAsia" w:ascii="宋体" w:hAnsi="宋体"/>
                <w:sz w:val="24"/>
              </w:rPr>
              <w:t>持续优化政府网站功能</w:t>
            </w: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textAlignment w:val="center"/>
              <w:rPr>
                <w:sz w:val="24"/>
              </w:rPr>
            </w:pPr>
            <w:r>
              <w:rPr>
                <w:rFonts w:hint="eastAsia" w:ascii="宋体" w:hAnsi="宋体"/>
                <w:sz w:val="24"/>
              </w:rPr>
              <w:t>完善政策问答平台运行机制，围绕高频政策咨询事项组建知识库，形成各级、各部门协同联动、对接共享的政策问答体系。推动</w:t>
            </w:r>
            <w:r>
              <w:rPr>
                <w:rFonts w:hint="eastAsia"/>
                <w:sz w:val="24"/>
              </w:rPr>
              <w:t>12345</w:t>
            </w:r>
            <w:r>
              <w:rPr>
                <w:rFonts w:hint="eastAsia" w:ascii="宋体" w:hAnsi="宋体"/>
                <w:sz w:val="24"/>
              </w:rPr>
              <w:t>政务服务便民热线与政务服务平台、政府网站互动交流系统、政务新媒体等互联互通、共享共用政策业务咨询问答知识库。</w:t>
            </w:r>
          </w:p>
        </w:tc>
        <w:tc>
          <w:tcPr>
            <w:tcW w:w="975" w:type="pct"/>
            <w:tcBorders>
              <w:top w:val="nil"/>
              <w:left w:val="single" w:color="auto" w:sz="4" w:space="0"/>
              <w:right w:val="single" w:color="auto" w:sz="4" w:space="0"/>
            </w:tcBorders>
            <w:noWrap w:val="0"/>
            <w:vAlign w:val="center"/>
          </w:tcPr>
          <w:p>
            <w:pPr>
              <w:spacing w:line="300" w:lineRule="exact"/>
              <w:jc w:val="center"/>
              <w:textAlignment w:val="center"/>
              <w:rPr>
                <w:sz w:val="24"/>
              </w:rPr>
            </w:pPr>
            <w:r>
              <w:rPr>
                <w:rFonts w:hint="eastAsia" w:ascii="宋体" w:hAnsi="宋体"/>
                <w:sz w:val="24"/>
              </w:rPr>
              <w:t>区政府办公室</w:t>
            </w:r>
          </w:p>
        </w:tc>
        <w:tc>
          <w:tcPr>
            <w:tcW w:w="565" w:type="pct"/>
            <w:tcBorders>
              <w:top w:val="nil"/>
              <w:left w:val="single" w:color="auto" w:sz="4" w:space="0"/>
              <w:bottom w:val="single" w:color="auto" w:sz="4" w:space="0"/>
              <w:right w:val="single" w:color="auto" w:sz="4" w:space="0"/>
            </w:tcBorders>
            <w:noWrap w:val="0"/>
            <w:vAlign w:val="center"/>
          </w:tcPr>
          <w:p>
            <w:pPr>
              <w:widowControl/>
              <w:spacing w:line="300" w:lineRule="exact"/>
              <w:jc w:val="center"/>
              <w:rPr>
                <w:b/>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48</w:t>
            </w: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sz w:val="24"/>
              </w:rPr>
            </w:pPr>
          </w:p>
        </w:tc>
        <w:tc>
          <w:tcPr>
            <w:tcW w:w="469" w:type="pct"/>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切实强化政府网站和政务新媒体管理</w:t>
            </w: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jc w:val="left"/>
              <w:textAlignment w:val="center"/>
              <w:rPr>
                <w:sz w:val="24"/>
              </w:rPr>
            </w:pPr>
            <w:r>
              <w:rPr>
                <w:rFonts w:hint="eastAsia" w:ascii="宋体" w:hAnsi="宋体"/>
                <w:sz w:val="24"/>
              </w:rPr>
              <w:t>按要求做好全国政府网站和政务新媒体信息报送系统的信息更新维护工作，健全完善备案管理、开设关停、检查通报等全链条工作制度。</w:t>
            </w:r>
          </w:p>
        </w:tc>
        <w:tc>
          <w:tcPr>
            <w:tcW w:w="975" w:type="pct"/>
            <w:vMerge w:val="restart"/>
            <w:tcBorders>
              <w:left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区政府办公室</w:t>
            </w:r>
          </w:p>
        </w:tc>
        <w:tc>
          <w:tcPr>
            <w:tcW w:w="565" w:type="pct"/>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49</w:t>
            </w: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sz w:val="24"/>
              </w:rPr>
            </w:pPr>
          </w:p>
        </w:tc>
        <w:tc>
          <w:tcPr>
            <w:tcW w:w="469" w:type="pct"/>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sz w:val="24"/>
              </w:rPr>
            </w:pP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jc w:val="left"/>
              <w:textAlignment w:val="center"/>
              <w:rPr>
                <w:sz w:val="24"/>
              </w:rPr>
            </w:pPr>
            <w:r>
              <w:rPr>
                <w:rFonts w:hint="eastAsia" w:ascii="宋体" w:hAnsi="宋体"/>
                <w:sz w:val="24"/>
              </w:rPr>
              <w:t>有序推进政府网站</w:t>
            </w:r>
            <w:r>
              <w:rPr>
                <w:rFonts w:hint="eastAsia"/>
                <w:sz w:val="24"/>
              </w:rPr>
              <w:t>IPv6</w:t>
            </w:r>
            <w:r>
              <w:rPr>
                <w:rFonts w:hint="eastAsia" w:ascii="宋体" w:hAnsi="宋体"/>
                <w:sz w:val="24"/>
              </w:rPr>
              <w:t>改造任务，持续做好“我为政府网站找错”平台留言办理工作。</w:t>
            </w:r>
          </w:p>
        </w:tc>
        <w:tc>
          <w:tcPr>
            <w:tcW w:w="975" w:type="pct"/>
            <w:vMerge w:val="continue"/>
            <w:tcBorders>
              <w:left w:val="single" w:color="auto" w:sz="4" w:space="0"/>
              <w:right w:val="single" w:color="auto" w:sz="4" w:space="0"/>
            </w:tcBorders>
            <w:noWrap w:val="0"/>
            <w:vAlign w:val="center"/>
          </w:tcPr>
          <w:p>
            <w:pPr>
              <w:widowControl/>
              <w:jc w:val="center"/>
              <w:rPr>
                <w:sz w:val="24"/>
              </w:rPr>
            </w:pPr>
          </w:p>
        </w:tc>
        <w:tc>
          <w:tcPr>
            <w:tcW w:w="565" w:type="pct"/>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50</w:t>
            </w: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sz w:val="24"/>
              </w:rPr>
            </w:pPr>
          </w:p>
        </w:tc>
        <w:tc>
          <w:tcPr>
            <w:tcW w:w="469" w:type="pct"/>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sz w:val="24"/>
              </w:rPr>
            </w:pP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jc w:val="left"/>
              <w:textAlignment w:val="center"/>
              <w:rPr>
                <w:sz w:val="24"/>
              </w:rPr>
            </w:pPr>
            <w:r>
              <w:rPr>
                <w:rFonts w:hint="eastAsia" w:ascii="宋体" w:hAnsi="宋体"/>
                <w:sz w:val="24"/>
              </w:rPr>
              <w:t>加强政务新媒体“瘦身提质”，突出做大做强主账号，积极培育优质精品账号，强化政务新媒体矩阵体系建设，及时大范围转载重要信息。</w:t>
            </w:r>
          </w:p>
        </w:tc>
        <w:tc>
          <w:tcPr>
            <w:tcW w:w="975" w:type="pct"/>
            <w:vMerge w:val="continue"/>
            <w:tcBorders>
              <w:left w:val="single" w:color="auto" w:sz="4" w:space="0"/>
              <w:right w:val="single" w:color="auto" w:sz="4" w:space="0"/>
            </w:tcBorders>
            <w:noWrap w:val="0"/>
            <w:vAlign w:val="center"/>
          </w:tcPr>
          <w:p>
            <w:pPr>
              <w:widowControl/>
              <w:jc w:val="center"/>
              <w:rPr>
                <w:sz w:val="24"/>
              </w:rPr>
            </w:pPr>
          </w:p>
        </w:tc>
        <w:tc>
          <w:tcPr>
            <w:tcW w:w="565" w:type="pct"/>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51</w:t>
            </w: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sz w:val="24"/>
              </w:rPr>
            </w:pPr>
          </w:p>
        </w:tc>
        <w:tc>
          <w:tcPr>
            <w:tcW w:w="469" w:type="pct"/>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sz w:val="24"/>
              </w:rPr>
            </w:pP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jc w:val="left"/>
              <w:textAlignment w:val="center"/>
              <w:rPr>
                <w:sz w:val="24"/>
              </w:rPr>
            </w:pPr>
            <w:r>
              <w:rPr>
                <w:rFonts w:hint="eastAsia" w:ascii="宋体" w:hAnsi="宋体"/>
                <w:sz w:val="24"/>
              </w:rPr>
              <w:t>建立健全已公开信息规范管理制度，在公开前明确各类信息的公开时限。探索建设全区政府网站和政务新媒体数字化监管平台。</w:t>
            </w:r>
          </w:p>
        </w:tc>
        <w:tc>
          <w:tcPr>
            <w:tcW w:w="975" w:type="pct"/>
            <w:vMerge w:val="continue"/>
            <w:tcBorders>
              <w:left w:val="single" w:color="auto" w:sz="4" w:space="0"/>
              <w:bottom w:val="single" w:color="auto" w:sz="4" w:space="0"/>
              <w:right w:val="single" w:color="auto" w:sz="4" w:space="0"/>
            </w:tcBorders>
            <w:noWrap w:val="0"/>
            <w:vAlign w:val="center"/>
          </w:tcPr>
          <w:p>
            <w:pPr>
              <w:widowControl/>
              <w:jc w:val="center"/>
              <w:rPr>
                <w:sz w:val="24"/>
              </w:rPr>
            </w:pPr>
          </w:p>
        </w:tc>
        <w:tc>
          <w:tcPr>
            <w:tcW w:w="565" w:type="pct"/>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52</w:t>
            </w: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sz w:val="24"/>
              </w:rPr>
            </w:pPr>
          </w:p>
        </w:tc>
        <w:tc>
          <w:tcPr>
            <w:tcW w:w="469" w:type="pct"/>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务实推进政务公开专区特色化建设</w:t>
            </w: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jc w:val="left"/>
              <w:textAlignment w:val="center"/>
              <w:rPr>
                <w:sz w:val="24"/>
              </w:rPr>
            </w:pPr>
            <w:r>
              <w:rPr>
                <w:rFonts w:hint="eastAsia" w:ascii="宋体" w:hAnsi="宋体"/>
                <w:sz w:val="24"/>
              </w:rPr>
              <w:t>加</w:t>
            </w:r>
            <w:r>
              <w:rPr>
                <w:rFonts w:hint="eastAsia" w:ascii="宋体" w:hAnsi="宋体"/>
                <w:spacing w:val="-4"/>
                <w:sz w:val="24"/>
              </w:rPr>
              <w:t>强政务公开专区建设，以场地建设标准、功能建设需求为重点，以提升为民服务效能为目的，对全区现有政务公开专区建设进行规范升级，做强政府信息查询、信息公开申请、办事咨询答复等服务，探索实现专区查询服务系统与政府信息公开专栏、政府文件库等互联</w:t>
            </w:r>
            <w:r>
              <w:rPr>
                <w:rFonts w:hint="eastAsia" w:ascii="宋体" w:hAnsi="宋体"/>
                <w:sz w:val="24"/>
              </w:rPr>
              <w:t>互通。</w:t>
            </w:r>
          </w:p>
        </w:tc>
        <w:tc>
          <w:tcPr>
            <w:tcW w:w="975" w:type="pct"/>
            <w:vMerge w:val="restart"/>
            <w:tcBorders>
              <w:top w:val="nil"/>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ascii="宋体" w:hAnsi="宋体"/>
                <w:sz w:val="24"/>
              </w:rPr>
              <w:t>区政府办公室牵头</w:t>
            </w:r>
          </w:p>
          <w:p>
            <w:pPr>
              <w:widowControl/>
              <w:spacing w:line="300" w:lineRule="exact"/>
              <w:jc w:val="center"/>
              <w:textAlignment w:val="center"/>
              <w:rPr>
                <w:sz w:val="24"/>
              </w:rPr>
            </w:pPr>
            <w:r>
              <w:rPr>
                <w:rFonts w:hint="eastAsia" w:ascii="宋体" w:hAnsi="宋体"/>
                <w:sz w:val="24"/>
              </w:rPr>
              <w:t>各镇（街道），区政府各部门、单位配合</w:t>
            </w: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12</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53</w:t>
            </w:r>
          </w:p>
        </w:tc>
        <w:tc>
          <w:tcPr>
            <w:tcW w:w="469" w:type="pct"/>
            <w:vMerge w:val="continue"/>
            <w:tcBorders>
              <w:left w:val="single" w:color="auto" w:sz="4" w:space="0"/>
              <w:right w:val="single" w:color="auto" w:sz="4" w:space="0"/>
            </w:tcBorders>
            <w:noWrap w:val="0"/>
            <w:vAlign w:val="center"/>
          </w:tcPr>
          <w:p>
            <w:pPr>
              <w:widowControl/>
              <w:spacing w:line="300" w:lineRule="exact"/>
              <w:jc w:val="center"/>
              <w:rPr>
                <w:sz w:val="24"/>
              </w:rPr>
            </w:pPr>
          </w:p>
        </w:tc>
        <w:tc>
          <w:tcPr>
            <w:tcW w:w="469" w:type="pct"/>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sz w:val="24"/>
              </w:rPr>
            </w:pP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jc w:val="left"/>
              <w:textAlignment w:val="center"/>
              <w:rPr>
                <w:sz w:val="24"/>
              </w:rPr>
            </w:pPr>
            <w:r>
              <w:rPr>
                <w:rFonts w:hint="eastAsia" w:ascii="宋体" w:hAnsi="宋体"/>
                <w:sz w:val="24"/>
              </w:rPr>
              <w:t>在各级政务服务大厅、重点公共企事业单位等便民服务场所，筛选打造一批有特色有亮点的品牌专区。</w:t>
            </w:r>
          </w:p>
        </w:tc>
        <w:tc>
          <w:tcPr>
            <w:tcW w:w="975" w:type="pct"/>
            <w:vMerge w:val="continue"/>
            <w:tcBorders>
              <w:top w:val="nil"/>
              <w:left w:val="single" w:color="auto" w:sz="4" w:space="0"/>
              <w:bottom w:val="single" w:color="auto" w:sz="4" w:space="0"/>
              <w:right w:val="single" w:color="auto" w:sz="4" w:space="0"/>
            </w:tcBorders>
            <w:noWrap w:val="0"/>
            <w:vAlign w:val="center"/>
          </w:tcPr>
          <w:p>
            <w:pPr>
              <w:widowControl/>
              <w:jc w:val="center"/>
              <w:rPr>
                <w:sz w:val="24"/>
              </w:rPr>
            </w:pP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6</w:t>
            </w:r>
            <w:r>
              <w:rPr>
                <w:rFonts w:hint="eastAsia" w:ascii="宋体" w:hAnsi="宋体"/>
                <w:sz w:val="24"/>
              </w:rPr>
              <w:t>月底前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44"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54</w:t>
            </w:r>
          </w:p>
        </w:tc>
        <w:tc>
          <w:tcPr>
            <w:tcW w:w="469" w:type="pct"/>
            <w:vMerge w:val="continue"/>
            <w:tcBorders>
              <w:left w:val="single" w:color="auto" w:sz="4" w:space="0"/>
              <w:bottom w:val="single" w:color="auto" w:sz="4" w:space="0"/>
              <w:right w:val="single" w:color="auto" w:sz="4" w:space="0"/>
            </w:tcBorders>
            <w:noWrap w:val="0"/>
            <w:vAlign w:val="center"/>
          </w:tcPr>
          <w:p>
            <w:pPr>
              <w:widowControl/>
              <w:spacing w:line="300" w:lineRule="exact"/>
              <w:jc w:val="center"/>
              <w:rPr>
                <w:sz w:val="24"/>
              </w:rPr>
            </w:pPr>
          </w:p>
        </w:tc>
        <w:tc>
          <w:tcPr>
            <w:tcW w:w="469" w:type="pct"/>
            <w:vMerge w:val="continue"/>
            <w:tcBorders>
              <w:top w:val="nil"/>
              <w:left w:val="single" w:color="auto" w:sz="4" w:space="0"/>
              <w:bottom w:val="single" w:color="auto" w:sz="4" w:space="0"/>
              <w:right w:val="single" w:color="auto" w:sz="4" w:space="0"/>
            </w:tcBorders>
            <w:noWrap w:val="0"/>
            <w:vAlign w:val="center"/>
          </w:tcPr>
          <w:p>
            <w:pPr>
              <w:widowControl/>
              <w:spacing w:line="300" w:lineRule="exact"/>
              <w:jc w:val="center"/>
              <w:rPr>
                <w:sz w:val="24"/>
              </w:rPr>
            </w:pPr>
          </w:p>
        </w:tc>
        <w:tc>
          <w:tcPr>
            <w:tcW w:w="227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ind w:firstLine="210"/>
              <w:jc w:val="left"/>
              <w:textAlignment w:val="center"/>
              <w:rPr>
                <w:sz w:val="24"/>
              </w:rPr>
            </w:pPr>
            <w:r>
              <w:rPr>
                <w:rFonts w:hint="eastAsia" w:ascii="宋体" w:hAnsi="宋体"/>
                <w:sz w:val="24"/>
              </w:rPr>
              <w:t>积极拓展政务公开专区功能，有序开展重要政策现场解读、综合政策咨询、办事流程场景展示等活动，推动公开与服务深度融合。</w:t>
            </w:r>
          </w:p>
        </w:tc>
        <w:tc>
          <w:tcPr>
            <w:tcW w:w="975" w:type="pct"/>
            <w:vMerge w:val="continue"/>
            <w:tcBorders>
              <w:top w:val="nil"/>
              <w:left w:val="single" w:color="auto" w:sz="4" w:space="0"/>
              <w:bottom w:val="single" w:color="auto" w:sz="4" w:space="0"/>
              <w:right w:val="single" w:color="auto" w:sz="4" w:space="0"/>
            </w:tcBorders>
            <w:noWrap w:val="0"/>
            <w:vAlign w:val="center"/>
          </w:tcPr>
          <w:p>
            <w:pPr>
              <w:widowControl/>
              <w:jc w:val="center"/>
              <w:rPr>
                <w:sz w:val="24"/>
              </w:rPr>
            </w:pPr>
          </w:p>
        </w:tc>
        <w:tc>
          <w:tcPr>
            <w:tcW w:w="565" w:type="pct"/>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textAlignment w:val="center"/>
              <w:rPr>
                <w:sz w:val="24"/>
              </w:rPr>
            </w:pPr>
            <w:r>
              <w:rPr>
                <w:rFonts w:hint="eastAsia"/>
                <w:sz w:val="24"/>
              </w:rPr>
              <w:t>6</w:t>
            </w:r>
            <w:r>
              <w:rPr>
                <w:rFonts w:hint="eastAsia" w:ascii="宋体" w:hAnsi="宋体"/>
                <w:sz w:val="24"/>
              </w:rPr>
              <w:t>月底前</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黑体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lYmM2NTc2YjQzZjI5MWZiNzQ4YjI1ZDg1ODBmZDMifQ=="/>
  </w:docVars>
  <w:rsids>
    <w:rsidRoot w:val="67AD172E"/>
    <w:rsid w:val="67AD17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200" w:firstLineChars="200"/>
    </w:pPr>
  </w:style>
  <w:style w:type="paragraph" w:styleId="3">
    <w:name w:val="Body Text Indent"/>
    <w:basedOn w:val="1"/>
    <w:next w:val="2"/>
    <w:qFormat/>
    <w:uiPriority w:val="0"/>
    <w:pPr>
      <w:spacing w:after="120"/>
      <w:ind w:left="200" w:leftChars="200"/>
    </w:pPr>
  </w:style>
  <w:style w:type="paragraph" w:styleId="4">
    <w:name w:val="Body Text First Indent"/>
    <w:basedOn w:val="5"/>
    <w:qFormat/>
    <w:uiPriority w:val="0"/>
    <w:pPr>
      <w:ind w:firstLine="100" w:firstLineChars="100"/>
    </w:pPr>
  </w:style>
  <w:style w:type="paragraph" w:styleId="5">
    <w:name w:val="Body Text"/>
    <w:basedOn w:val="1"/>
    <w:next w:val="1"/>
    <w:qFormat/>
    <w:uiPriority w:val="0"/>
    <w:pPr>
      <w:spacing w:after="120"/>
    </w:pPr>
    <w:rPr>
      <w:rFonts w:ascii="等线" w:eastAsia="等线"/>
    </w:rPr>
  </w:style>
  <w:style w:type="paragraph" w:styleId="6">
    <w:name w:val="footer"/>
    <w:basedOn w:val="1"/>
    <w:unhideWhenUsed/>
    <w:uiPriority w:val="99"/>
    <w:pPr>
      <w:tabs>
        <w:tab w:val="center" w:pos="4153"/>
        <w:tab w:val="right" w:pos="8306"/>
      </w:tabs>
      <w:snapToGrid w:val="0"/>
      <w:jc w:val="left"/>
    </w:pPr>
    <w:rPr>
      <w:sz w:val="18"/>
      <w:szCs w:val="18"/>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2024-06-20T10:17:00Z</dcterms:created>
  <dc:creator>Administrator</dc:creator>
  <cp:lastModifiedBy>Administrator</cp:lastModifiedBy>
  <dcterms:modified xsi:type="dcterms:W3CDTF">2024-06-20T10:18:28Z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926EB0200D984D1CAAB298C355080D18_11</vt:lpwstr>
  </property>
</Properties>
</file>