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B0E30">
      <w:pPr>
        <w:spacing w:line="590" w:lineRule="exact"/>
        <w:ind w:right="-100" w:rightChars="-50"/>
        <w:jc w:val="center"/>
        <w:rPr>
          <w:rFonts w:hint="default" w:eastAsia="方正小标宋简体"/>
          <w:b/>
          <w:color w:val="000000"/>
          <w:sz w:val="44"/>
          <w:szCs w:val="44"/>
          <w:lang w:val="en-US" w:eastAsia="zh-CN"/>
        </w:rPr>
      </w:pPr>
      <w:r>
        <w:rPr>
          <w:rFonts w:hint="eastAsia" w:eastAsia="方正小标宋简体"/>
          <w:b/>
          <w:color w:val="000000"/>
          <w:sz w:val="44"/>
          <w:szCs w:val="44"/>
        </w:rPr>
        <w:t>济宁市兖州区</w:t>
      </w:r>
      <w:r>
        <w:rPr>
          <w:rFonts w:hint="eastAsia" w:eastAsia="方正小标宋简体"/>
          <w:b/>
          <w:color w:val="auto"/>
          <w:sz w:val="44"/>
          <w:szCs w:val="44"/>
          <w:highlight w:val="none"/>
          <w:lang w:val="en-US" w:eastAsia="zh-CN"/>
        </w:rPr>
        <w:t>农业农村局</w:t>
      </w:r>
    </w:p>
    <w:p w14:paraId="2A505FB3">
      <w:pPr>
        <w:spacing w:line="590" w:lineRule="exact"/>
        <w:ind w:right="-100" w:rightChars="-50"/>
        <w:jc w:val="center"/>
        <w:rPr>
          <w:rFonts w:eastAsia="方正小标宋简体"/>
          <w:b/>
          <w:color w:val="000000"/>
          <w:sz w:val="44"/>
          <w:szCs w:val="44"/>
        </w:rPr>
      </w:pPr>
      <w:r>
        <w:rPr>
          <w:rFonts w:eastAsia="方正小标宋简体"/>
          <w:b/>
          <w:color w:val="000000"/>
          <w:sz w:val="44"/>
          <w:szCs w:val="44"/>
        </w:rPr>
        <w:t>202</w:t>
      </w:r>
      <w:r>
        <w:rPr>
          <w:rFonts w:hint="eastAsia" w:eastAsia="方正小标宋简体"/>
          <w:b/>
          <w:color w:val="000000"/>
          <w:sz w:val="44"/>
          <w:szCs w:val="44"/>
          <w:lang w:val="en-US" w:eastAsia="zh-CN"/>
        </w:rPr>
        <w:t>5</w:t>
      </w:r>
      <w:r>
        <w:rPr>
          <w:rFonts w:eastAsia="方正小标宋简体"/>
          <w:b/>
          <w:color w:val="000000"/>
          <w:sz w:val="44"/>
          <w:szCs w:val="44"/>
        </w:rPr>
        <w:t>年政府信息公开工作年度报告</w:t>
      </w:r>
    </w:p>
    <w:p w14:paraId="69A0A1AA">
      <w:pPr>
        <w:spacing w:line="590" w:lineRule="exact"/>
        <w:ind w:right="-100" w:rightChars="-50" w:firstLine="643" w:firstLineChars="200"/>
        <w:rPr>
          <w:rFonts w:eastAsia="方正仿宋简体"/>
          <w:b/>
          <w:color w:val="000000"/>
          <w:sz w:val="32"/>
          <w:szCs w:val="32"/>
        </w:rPr>
      </w:pPr>
    </w:p>
    <w:p w14:paraId="0DA7D2E2">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仿宋简体"/>
          <w:b/>
          <w:color w:val="auto"/>
          <w:sz w:val="32"/>
          <w:szCs w:val="32"/>
        </w:rPr>
      </w:pPr>
      <w:r>
        <w:rPr>
          <w:rFonts w:eastAsia="方正仿宋简体"/>
          <w:b/>
          <w:color w:val="000000"/>
          <w:sz w:val="32"/>
          <w:szCs w:val="32"/>
        </w:rPr>
        <w:t>本报告由济宁市兖</w:t>
      </w:r>
      <w:r>
        <w:rPr>
          <w:rFonts w:eastAsia="方正仿宋简体"/>
          <w:b/>
          <w:color w:val="auto"/>
          <w:sz w:val="32"/>
          <w:szCs w:val="32"/>
        </w:rPr>
        <w:t>州区</w:t>
      </w:r>
      <w:r>
        <w:rPr>
          <w:rFonts w:hint="eastAsia" w:eastAsia="方正仿宋简体"/>
          <w:b/>
          <w:color w:val="auto"/>
          <w:sz w:val="32"/>
          <w:szCs w:val="32"/>
          <w:lang w:val="en-US" w:eastAsia="zh-CN"/>
        </w:rPr>
        <w:t>农业农村局</w:t>
      </w:r>
      <w:r>
        <w:rPr>
          <w:rFonts w:eastAsia="方正仿宋简体"/>
          <w:b/>
          <w:color w:val="auto"/>
          <w:sz w:val="32"/>
          <w:szCs w:val="32"/>
        </w:rPr>
        <w:t>按照《中华人民共和国政府信息公开条例》（以下简称《条例》）和《中华人民共和国政府信息公开工作年度报告格式》（国办公开办函〔2021〕30号）要求编制。</w:t>
      </w:r>
    </w:p>
    <w:p w14:paraId="4B67F008">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仿宋简体"/>
          <w:b/>
          <w:color w:val="auto"/>
          <w:sz w:val="32"/>
          <w:szCs w:val="32"/>
        </w:rPr>
      </w:pPr>
      <w:r>
        <w:rPr>
          <w:rFonts w:eastAsia="方正仿宋简体"/>
          <w:b/>
          <w:color w:val="auto"/>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0BB19B88">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仿宋简体"/>
          <w:b/>
          <w:color w:val="auto"/>
          <w:sz w:val="32"/>
          <w:szCs w:val="32"/>
        </w:rPr>
      </w:pPr>
      <w:r>
        <w:rPr>
          <w:rFonts w:eastAsia="方正仿宋简体"/>
          <w:b/>
          <w:color w:val="auto"/>
          <w:sz w:val="32"/>
          <w:szCs w:val="32"/>
        </w:rPr>
        <w:t>本报告所列数据的统计期限自202</w:t>
      </w:r>
      <w:r>
        <w:rPr>
          <w:rFonts w:hint="eastAsia" w:eastAsia="方正仿宋简体"/>
          <w:b/>
          <w:color w:val="auto"/>
          <w:sz w:val="32"/>
          <w:szCs w:val="32"/>
          <w:lang w:val="en-US" w:eastAsia="zh-CN"/>
        </w:rPr>
        <w:t>5</w:t>
      </w:r>
      <w:r>
        <w:rPr>
          <w:rFonts w:eastAsia="方正仿宋简体"/>
          <w:b/>
          <w:color w:val="auto"/>
          <w:sz w:val="32"/>
          <w:szCs w:val="32"/>
        </w:rPr>
        <w:t>年1月1日起至202</w:t>
      </w:r>
      <w:r>
        <w:rPr>
          <w:rFonts w:hint="eastAsia" w:eastAsia="方正仿宋简体"/>
          <w:b/>
          <w:color w:val="auto"/>
          <w:sz w:val="32"/>
          <w:szCs w:val="32"/>
          <w:lang w:val="en-US" w:eastAsia="zh-CN"/>
        </w:rPr>
        <w:t>5</w:t>
      </w:r>
      <w:r>
        <w:rPr>
          <w:rFonts w:eastAsia="方正仿宋简体"/>
          <w:b/>
          <w:color w:val="auto"/>
          <w:sz w:val="32"/>
          <w:szCs w:val="32"/>
        </w:rPr>
        <w:t>年12月31日止。本报告电子版可在“中国·</w:t>
      </w:r>
      <w:r>
        <w:rPr>
          <w:rFonts w:hint="eastAsia" w:eastAsia="方正仿宋简体"/>
          <w:b/>
          <w:color w:val="auto"/>
          <w:sz w:val="32"/>
          <w:szCs w:val="32"/>
        </w:rPr>
        <w:t>兖州</w:t>
      </w:r>
      <w:r>
        <w:rPr>
          <w:rFonts w:eastAsia="方正仿宋简体"/>
          <w:b/>
          <w:color w:val="auto"/>
          <w:sz w:val="32"/>
          <w:szCs w:val="32"/>
        </w:rPr>
        <w:t>”政府门户网站（www.yanzhou.gov.cn）查阅或下载。如对本报告有疑问，请与济宁市兖州区</w:t>
      </w:r>
      <w:r>
        <w:rPr>
          <w:rFonts w:hint="eastAsia" w:eastAsia="方正仿宋简体"/>
          <w:b/>
          <w:color w:val="auto"/>
          <w:sz w:val="32"/>
          <w:szCs w:val="32"/>
          <w:lang w:val="en-US" w:eastAsia="zh-CN"/>
        </w:rPr>
        <w:t>农业农村局</w:t>
      </w:r>
      <w:r>
        <w:rPr>
          <w:rFonts w:eastAsia="方正仿宋简体"/>
          <w:b/>
          <w:color w:val="auto"/>
          <w:sz w:val="32"/>
          <w:szCs w:val="32"/>
        </w:rPr>
        <w:t>联系（地址：济宁市兖州区</w:t>
      </w:r>
      <w:r>
        <w:rPr>
          <w:rFonts w:hint="eastAsia" w:eastAsia="方正仿宋简体"/>
          <w:b/>
          <w:color w:val="auto"/>
          <w:sz w:val="32"/>
          <w:szCs w:val="32"/>
          <w:lang w:eastAsia="zh-CN"/>
        </w:rPr>
        <w:t>迎</w:t>
      </w:r>
      <w:r>
        <w:rPr>
          <w:rFonts w:hint="eastAsia" w:eastAsia="方正仿宋简体"/>
          <w:b/>
          <w:color w:val="auto"/>
          <w:sz w:val="32"/>
          <w:szCs w:val="32"/>
          <w:lang w:val="en-US" w:eastAsia="zh-CN"/>
        </w:rPr>
        <w:t>春路北首农高园大楼11楼</w:t>
      </w:r>
      <w:r>
        <w:rPr>
          <w:rFonts w:eastAsia="方正仿宋简体"/>
          <w:b/>
          <w:color w:val="auto"/>
          <w:sz w:val="32"/>
          <w:szCs w:val="32"/>
        </w:rPr>
        <w:t>，联系电话：0537</w:t>
      </w:r>
      <w:r>
        <w:rPr>
          <w:rFonts w:hint="eastAsia" w:eastAsia="方正仿宋简体"/>
          <w:b/>
          <w:color w:val="auto"/>
          <w:sz w:val="32"/>
          <w:szCs w:val="32"/>
        </w:rPr>
        <w:t>—</w:t>
      </w:r>
      <w:r>
        <w:rPr>
          <w:rFonts w:hint="eastAsia" w:eastAsia="方正仿宋简体"/>
          <w:b/>
          <w:color w:val="auto"/>
          <w:sz w:val="32"/>
          <w:szCs w:val="32"/>
          <w:lang w:val="en-US" w:eastAsia="zh-CN"/>
        </w:rPr>
        <w:t>3412713</w:t>
      </w:r>
      <w:r>
        <w:rPr>
          <w:rFonts w:eastAsia="方正仿宋简体"/>
          <w:b/>
          <w:color w:val="auto"/>
          <w:sz w:val="32"/>
          <w:szCs w:val="32"/>
        </w:rPr>
        <w:t>）。</w:t>
      </w:r>
    </w:p>
    <w:p w14:paraId="416D5E5F">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color w:val="000000"/>
          <w:sz w:val="32"/>
          <w:szCs w:val="32"/>
        </w:rPr>
      </w:pPr>
      <w:r>
        <w:rPr>
          <w:rFonts w:eastAsia="方正黑体简体"/>
          <w:b/>
          <w:color w:val="000000"/>
          <w:sz w:val="32"/>
          <w:szCs w:val="32"/>
        </w:rPr>
        <w:t>一、总体情况</w:t>
      </w:r>
    </w:p>
    <w:p w14:paraId="7D17ABD4">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仿宋简体"/>
          <w:b/>
          <w:color w:val="000000"/>
          <w:sz w:val="32"/>
          <w:lang w:eastAsia="zh-CN"/>
        </w:rPr>
      </w:pPr>
      <w:r>
        <w:rPr>
          <w:rFonts w:hint="eastAsia" w:eastAsia="方正仿宋简体"/>
          <w:b/>
          <w:color w:val="000000"/>
          <w:sz w:val="32"/>
          <w:lang w:val="en-US" w:eastAsia="zh-CN"/>
        </w:rPr>
        <w:t>2025年，区农业农村局严格按照《条例》规定，认真落实区政府关于深化政务公开工作的各项要求。紧密围绕全区“三农”工作重点任务，不断健全工作机制，创新公开方式，强化解读回应，持续深化农业农村领域政府信息公开工作，全年政府信息公开各项任务顺利完成。</w:t>
      </w:r>
    </w:p>
    <w:p w14:paraId="418205BB">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FF"/>
          <w:sz w:val="32"/>
          <w:szCs w:val="32"/>
          <w:lang w:eastAsia="zh-CN"/>
        </w:rPr>
      </w:pPr>
      <w:r>
        <w:rPr>
          <w:rFonts w:eastAsia="方正楷体简体"/>
          <w:b/>
          <w:color w:val="000000"/>
          <w:sz w:val="32"/>
          <w:szCs w:val="32"/>
        </w:rPr>
        <w:t>（一）主动公开</w:t>
      </w:r>
    </w:p>
    <w:p w14:paraId="30B0EA10">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仿宋简体" w:cs="Times New Roman"/>
          <w:b/>
          <w:color w:val="000000"/>
          <w:sz w:val="32"/>
          <w:lang w:val="en-US" w:eastAsia="zh-CN"/>
        </w:rPr>
        <w:t>区农业农村局全力推进政府信息公开工作有序开展，2025年共主</w:t>
      </w:r>
      <w:r>
        <w:rPr>
          <w:rFonts w:hint="eastAsia" w:ascii="Times New Roman" w:hAnsi="Times New Roman" w:eastAsia="方正仿宋简体" w:cs="Times New Roman"/>
          <w:b/>
          <w:color w:val="000000"/>
          <w:sz w:val="32"/>
          <w:shd w:val="clear" w:color="auto" w:fill="auto"/>
          <w:lang w:val="en-US" w:eastAsia="zh-CN"/>
        </w:rPr>
        <w:t>动公开信息140条。其中，公开公告公示28条，行政执法公示30条，财政预算决算17条，建议提案办理答复8条，涉农补贴专栏22条，乡村振兴专栏5条，“双随机、一公开”专栏5条，民生实事工作落实5条，其他20条。</w:t>
      </w:r>
    </w:p>
    <w:p w14:paraId="55618384">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方正仿宋简体" w:cs="Times New Roman"/>
          <w:b/>
          <w:color w:val="000000"/>
          <w:sz w:val="32"/>
          <w:lang w:val="en-US" w:eastAsia="zh-CN"/>
        </w:rPr>
      </w:pPr>
      <w:r>
        <w:drawing>
          <wp:inline distT="0" distB="0" distL="114300" distR="114300">
            <wp:extent cx="5270500" cy="3639185"/>
            <wp:effectExtent l="0" t="0" r="6350" b="18415"/>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bookmarkStart w:id="1" w:name="_GoBack"/>
      <w:bookmarkEnd w:id="1"/>
    </w:p>
    <w:p w14:paraId="231E7E2B">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楷体简体"/>
          <w:b/>
          <w:color w:val="000000"/>
          <w:sz w:val="32"/>
          <w:szCs w:val="32"/>
        </w:rPr>
      </w:pPr>
      <w:r>
        <w:rPr>
          <w:rFonts w:eastAsia="方正楷体简体"/>
          <w:b/>
          <w:color w:val="000000"/>
          <w:sz w:val="32"/>
          <w:szCs w:val="32"/>
        </w:rPr>
        <w:t>（二）依申请公开</w:t>
      </w:r>
    </w:p>
    <w:p w14:paraId="06577797">
      <w:pPr>
        <w:pStyle w:val="3"/>
        <w:keepNext w:val="0"/>
        <w:keepLines w:val="0"/>
        <w:pageBreakBefore w:val="0"/>
        <w:widowControl w:val="0"/>
        <w:kinsoku/>
        <w:wordWrap/>
        <w:overflowPunct/>
        <w:topLinePunct w:val="0"/>
        <w:autoSpaceDE/>
        <w:autoSpaceDN/>
        <w:bidi w:val="0"/>
        <w:adjustRightInd/>
        <w:snapToGrid/>
        <w:spacing w:after="0" w:line="590" w:lineRule="exact"/>
        <w:ind w:right="0" w:rightChars="0" w:firstLine="643" w:firstLineChars="200"/>
        <w:jc w:val="left"/>
        <w:textAlignment w:val="auto"/>
        <w:rPr>
          <w:rFonts w:hint="eastAsia" w:eastAsia="宋体"/>
          <w:b/>
          <w:bCs/>
          <w:lang w:eastAsia="zh-CN"/>
        </w:rPr>
      </w:pPr>
      <w:r>
        <w:rPr>
          <w:rFonts w:hint="eastAsia" w:ascii="Times New Roman" w:hAnsi="Times New Roman" w:eastAsia="方正仿宋简体" w:cs="Times New Roman"/>
          <w:b/>
          <w:color w:val="000000"/>
          <w:sz w:val="32"/>
          <w:lang w:val="en-US" w:eastAsia="zh-CN"/>
        </w:rPr>
        <w:t>2025年度区农业农村局收到政府信息公开申请1条，与2024年申请数量持平，结转2026年继续办理。年内未收取任何费用。</w:t>
      </w:r>
    </w:p>
    <w:p w14:paraId="00FCEB54">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FF"/>
          <w:sz w:val="32"/>
          <w:szCs w:val="32"/>
          <w:lang w:eastAsia="zh-CN"/>
        </w:rPr>
      </w:pPr>
      <w:r>
        <w:rPr>
          <w:rFonts w:eastAsia="方正楷体简体"/>
          <w:b/>
          <w:color w:val="000000"/>
          <w:sz w:val="32"/>
          <w:szCs w:val="32"/>
        </w:rPr>
        <w:t>（三）</w:t>
      </w:r>
      <w:r>
        <w:rPr>
          <w:rFonts w:hint="eastAsia" w:eastAsia="方正楷体简体"/>
          <w:b/>
          <w:color w:val="000000"/>
          <w:sz w:val="32"/>
          <w:szCs w:val="32"/>
        </w:rPr>
        <w:t>政府信息管理</w:t>
      </w:r>
    </w:p>
    <w:p w14:paraId="67053A2E">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default" w:ascii="Times New Roman" w:hAnsi="Times New Roman" w:eastAsia="方正仿宋简体" w:cs="Times New Roman"/>
          <w:b/>
          <w:bCs/>
          <w:color w:val="FF0000"/>
          <w:sz w:val="32"/>
          <w:szCs w:val="32"/>
          <w:lang w:val="en-US" w:eastAsia="zh-CN"/>
        </w:rPr>
      </w:pPr>
      <w:r>
        <w:rPr>
          <w:rFonts w:hint="eastAsia" w:ascii="Times New Roman" w:hAnsi="Times New Roman" w:eastAsia="方正仿宋简体" w:cs="Times New Roman"/>
          <w:b/>
          <w:color w:val="000000"/>
          <w:sz w:val="32"/>
          <w:lang w:val="en-US" w:eastAsia="zh-CN"/>
        </w:rPr>
        <w:t>区农业农村局高度重视政府信息的发布与管理工作，遵循“一事一审”的原则，不断完善信息发布审核机制，制定《济宁市兖州区农业农村局政府信息公开保密审查制度》，所有拟发布信息均需由拟稿人、科室负责人、科室分管领导进行三级审核，并按规定填写《农业农村局政府信息公开保密审查表》，由专人统一归档保存，确保信息发布内容真实、准确、规范、安全。建立健全已公开信息动态监测，不定时进行抽查，发现问题及时整改，筑牢信息公开安全底线。</w:t>
      </w:r>
    </w:p>
    <w:p w14:paraId="1EF5D978">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FF"/>
          <w:sz w:val="32"/>
          <w:szCs w:val="32"/>
          <w:lang w:eastAsia="zh-CN"/>
        </w:rPr>
      </w:pPr>
      <w:r>
        <w:rPr>
          <w:rFonts w:eastAsia="方正楷体简体"/>
          <w:b/>
          <w:color w:val="000000"/>
          <w:sz w:val="32"/>
          <w:szCs w:val="32"/>
        </w:rPr>
        <w:t>（四）政府信息公开平台建设</w:t>
      </w:r>
    </w:p>
    <w:p w14:paraId="75A3A8B0">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bCs/>
          <w:color w:val="FF0000"/>
          <w:sz w:val="32"/>
          <w:szCs w:val="32"/>
          <w:lang w:val="en-US" w:eastAsia="zh-CN"/>
        </w:rPr>
      </w:pPr>
      <w:r>
        <w:rPr>
          <w:rFonts w:hint="eastAsia" w:ascii="Times New Roman" w:hAnsi="Times New Roman" w:eastAsia="方正仿宋简体" w:cs="Times New Roman"/>
          <w:b/>
          <w:strike w:val="0"/>
          <w:dstrike w:val="0"/>
          <w:color w:val="000000"/>
          <w:sz w:val="32"/>
          <w:lang w:val="en-US" w:eastAsia="zh-CN"/>
        </w:rPr>
        <w:t>区农业农村局把区政府门户网站作为农业农村领域信息公开主阵地，</w:t>
      </w:r>
      <w:r>
        <w:rPr>
          <w:rFonts w:hint="eastAsia" w:ascii="Times New Roman" w:hAnsi="Times New Roman" w:eastAsia="方正仿宋简体" w:cs="Times New Roman"/>
          <w:b/>
          <w:color w:val="000000"/>
          <w:sz w:val="32"/>
          <w:lang w:val="en-US" w:eastAsia="zh-CN"/>
        </w:rPr>
        <w:t>以主动、规范、透明、便民为导向，积极回应社会关切。通过“乡村振兴”、“涉农补贴”等专题栏目，集中发布农业农村领域重要政策解读与阶段性工作进展，并在农业农村局设立政府信息公开查阅点，便于群众线下查询、准确掌握相关政策与动态，有效增强信息传播与公众参与。</w:t>
      </w:r>
    </w:p>
    <w:p w14:paraId="56AD61F9">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FF"/>
          <w:sz w:val="32"/>
          <w:szCs w:val="32"/>
          <w:lang w:eastAsia="zh-CN"/>
        </w:rPr>
      </w:pPr>
      <w:r>
        <w:rPr>
          <w:rFonts w:eastAsia="方正楷体简体"/>
          <w:b/>
          <w:color w:val="000000"/>
          <w:sz w:val="32"/>
          <w:szCs w:val="32"/>
        </w:rPr>
        <w:t>（五）监督保障</w:t>
      </w:r>
    </w:p>
    <w:p w14:paraId="1D10ED5E">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bCs/>
          <w:strike/>
          <w:dstrike w:val="0"/>
          <w:color w:val="FF0000"/>
          <w:sz w:val="32"/>
          <w:szCs w:val="32"/>
          <w:lang w:val="en-US" w:eastAsia="zh-CN"/>
        </w:rPr>
      </w:pPr>
      <w:r>
        <w:rPr>
          <w:rFonts w:hint="eastAsia" w:ascii="Times New Roman" w:hAnsi="Times New Roman" w:eastAsia="方正仿宋简体" w:cs="Times New Roman"/>
          <w:b/>
          <w:color w:val="000000"/>
          <w:sz w:val="32"/>
          <w:lang w:val="en-US" w:eastAsia="zh-CN"/>
        </w:rPr>
        <w:t>区农业农村局持续加强信息公开工作的组织保障与机制建设。明确办公室作为政府信息公开专职机构，配备1名专职工作人员负责政务公开日常事务，确保工作责任到人、落实到位。加强业务培训，每年组织各科室学习《条例》和相关法律法规，增强规范公开意识和业务水平，确保信息公开依法依规、标准有序。</w:t>
      </w:r>
    </w:p>
    <w:p w14:paraId="441519AC">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color w:val="000000"/>
          <w:sz w:val="32"/>
          <w:szCs w:val="32"/>
        </w:rPr>
      </w:pPr>
      <w:r>
        <w:rPr>
          <w:rFonts w:eastAsia="方正黑体简体"/>
          <w:b/>
          <w:color w:val="000000"/>
          <w:sz w:val="32"/>
          <w:szCs w:val="32"/>
        </w:rPr>
        <w:t>二、主动公开政府信息情况</w:t>
      </w:r>
    </w:p>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128"/>
        <w:gridCol w:w="2128"/>
        <w:gridCol w:w="2137"/>
      </w:tblGrid>
      <w:tr w14:paraId="5EBB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516C1A64">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第二十条第（一）项</w:t>
            </w:r>
          </w:p>
        </w:tc>
      </w:tr>
      <w:tr w14:paraId="51DB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7D463C36">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1249" w:type="pct"/>
            <w:noWrap w:val="0"/>
            <w:vAlign w:val="center"/>
          </w:tcPr>
          <w:p w14:paraId="66CAAB4E">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本年制发件数</w:t>
            </w:r>
          </w:p>
        </w:tc>
        <w:tc>
          <w:tcPr>
            <w:tcW w:w="1249" w:type="pct"/>
            <w:noWrap w:val="0"/>
            <w:vAlign w:val="center"/>
          </w:tcPr>
          <w:p w14:paraId="3EFCD94D">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本年废止件数</w:t>
            </w:r>
          </w:p>
        </w:tc>
        <w:tc>
          <w:tcPr>
            <w:tcW w:w="1252" w:type="pct"/>
            <w:noWrap w:val="0"/>
            <w:vAlign w:val="center"/>
          </w:tcPr>
          <w:p w14:paraId="332DB5D3">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现行有效件数</w:t>
            </w:r>
          </w:p>
        </w:tc>
      </w:tr>
      <w:tr w14:paraId="1BD2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4E74DA8F">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规章</w:t>
            </w:r>
          </w:p>
        </w:tc>
        <w:tc>
          <w:tcPr>
            <w:tcW w:w="1249" w:type="pct"/>
            <w:noWrap w:val="0"/>
            <w:vAlign w:val="center"/>
          </w:tcPr>
          <w:p w14:paraId="674A94BA">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noWrap w:val="0"/>
            <w:vAlign w:val="center"/>
          </w:tcPr>
          <w:p w14:paraId="7597C298">
            <w:pPr>
              <w:widowControl/>
              <w:jc w:val="center"/>
              <w:rPr>
                <w:rFonts w:hint="eastAsia"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noWrap w:val="0"/>
            <w:vAlign w:val="center"/>
          </w:tcPr>
          <w:p w14:paraId="5B84F655">
            <w:pPr>
              <w:widowControl/>
              <w:jc w:val="center"/>
              <w:rPr>
                <w:rFonts w:hint="eastAsia"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14:paraId="2F4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7EDA83E0">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行政规范性文件</w:t>
            </w:r>
          </w:p>
        </w:tc>
        <w:tc>
          <w:tcPr>
            <w:tcW w:w="1249" w:type="pct"/>
            <w:noWrap w:val="0"/>
            <w:vAlign w:val="center"/>
          </w:tcPr>
          <w:p w14:paraId="407BFCF7">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49" w:type="pct"/>
            <w:noWrap w:val="0"/>
            <w:vAlign w:val="center"/>
          </w:tcPr>
          <w:p w14:paraId="0DF360F4">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0</w:t>
            </w:r>
          </w:p>
        </w:tc>
        <w:tc>
          <w:tcPr>
            <w:tcW w:w="1252" w:type="pct"/>
            <w:noWrap w:val="0"/>
            <w:vAlign w:val="center"/>
          </w:tcPr>
          <w:p w14:paraId="2473D337">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r w14:paraId="2288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48745733">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第二十条第（五）项</w:t>
            </w:r>
          </w:p>
        </w:tc>
      </w:tr>
      <w:tr w14:paraId="6483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2D025CA9">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noWrap w:val="0"/>
            <w:vAlign w:val="center"/>
          </w:tcPr>
          <w:p w14:paraId="4D8D868D">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14:paraId="75B8A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71D9ACBE">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行政许可</w:t>
            </w:r>
          </w:p>
        </w:tc>
        <w:tc>
          <w:tcPr>
            <w:tcW w:w="3751" w:type="pct"/>
            <w:gridSpan w:val="3"/>
            <w:noWrap w:val="0"/>
            <w:vAlign w:val="center"/>
          </w:tcPr>
          <w:p w14:paraId="0ECD6727">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651</w:t>
            </w:r>
          </w:p>
        </w:tc>
      </w:tr>
      <w:tr w14:paraId="5C45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75875F3A">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第二十条第（六）项</w:t>
            </w:r>
          </w:p>
        </w:tc>
      </w:tr>
      <w:tr w14:paraId="5E67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37B697B6">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noWrap w:val="0"/>
            <w:vAlign w:val="center"/>
          </w:tcPr>
          <w:p w14:paraId="2E955A1A">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本年处理决定数量</w:t>
            </w:r>
          </w:p>
        </w:tc>
      </w:tr>
      <w:tr w14:paraId="1653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1CD680D8">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行政处罚</w:t>
            </w:r>
          </w:p>
        </w:tc>
        <w:tc>
          <w:tcPr>
            <w:tcW w:w="3751" w:type="pct"/>
            <w:gridSpan w:val="3"/>
            <w:noWrap w:val="0"/>
            <w:vAlign w:val="center"/>
          </w:tcPr>
          <w:p w14:paraId="29D6D82F">
            <w:pPr>
              <w:widowControl/>
              <w:tabs>
                <w:tab w:val="center" w:pos="3247"/>
              </w:tabs>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16</w:t>
            </w:r>
          </w:p>
        </w:tc>
      </w:tr>
      <w:tr w14:paraId="5EE28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39B0799E">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行政强制</w:t>
            </w:r>
          </w:p>
        </w:tc>
        <w:tc>
          <w:tcPr>
            <w:tcW w:w="3751" w:type="pct"/>
            <w:gridSpan w:val="3"/>
            <w:noWrap w:val="0"/>
            <w:vAlign w:val="center"/>
          </w:tcPr>
          <w:p w14:paraId="6B564CED">
            <w:pPr>
              <w:widowControl/>
              <w:jc w:val="center"/>
              <w:rPr>
                <w:rFonts w:hint="default" w:ascii="Times New Roman" w:hAnsi="Times New Roman" w:eastAsia="仿宋_GB2312" w:cs="宋体"/>
                <w:color w:val="000000"/>
                <w:kern w:val="0"/>
                <w:szCs w:val="21"/>
                <w:lang w:val="en-US" w:eastAsia="zh-CN"/>
              </w:rPr>
            </w:pPr>
            <w:r>
              <w:rPr>
                <w:rFonts w:hint="eastAsia" w:ascii="Times New Roman" w:hAnsi="Times New Roman" w:eastAsia="仿宋_GB2312" w:cs="宋体"/>
                <w:color w:val="000000"/>
                <w:kern w:val="0"/>
                <w:szCs w:val="21"/>
                <w:lang w:val="en-US" w:eastAsia="zh-CN"/>
              </w:rPr>
              <w:t>1</w:t>
            </w:r>
          </w:p>
        </w:tc>
      </w:tr>
      <w:tr w14:paraId="24D1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4"/>
            <w:shd w:val="clear" w:color="000000" w:fill="C6D9F1"/>
            <w:noWrap w:val="0"/>
            <w:vAlign w:val="center"/>
          </w:tcPr>
          <w:p w14:paraId="6F3497BC">
            <w:pPr>
              <w:widowControl/>
              <w:jc w:val="center"/>
              <w:rPr>
                <w:rFonts w:ascii="Times New Roman" w:hAnsi="Times New Roman" w:eastAsia="黑体" w:cs="宋体"/>
                <w:color w:val="000000"/>
                <w:kern w:val="0"/>
                <w:szCs w:val="21"/>
              </w:rPr>
            </w:pPr>
            <w:r>
              <w:rPr>
                <w:rFonts w:hint="eastAsia" w:ascii="Times New Roman" w:hAnsi="Times New Roman" w:eastAsia="黑体" w:cs="宋体"/>
                <w:color w:val="000000"/>
                <w:kern w:val="0"/>
                <w:szCs w:val="21"/>
              </w:rPr>
              <w:t>第二十条第（八）项</w:t>
            </w:r>
          </w:p>
        </w:tc>
      </w:tr>
      <w:tr w14:paraId="0707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052DDF13">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信息内容</w:t>
            </w:r>
          </w:p>
        </w:tc>
        <w:tc>
          <w:tcPr>
            <w:tcW w:w="3751" w:type="pct"/>
            <w:gridSpan w:val="3"/>
            <w:noWrap w:val="0"/>
            <w:vAlign w:val="center"/>
          </w:tcPr>
          <w:p w14:paraId="67F918B7">
            <w:pPr>
              <w:widowControl/>
              <w:jc w:val="center"/>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本年收费金额（单位：万元）</w:t>
            </w:r>
          </w:p>
        </w:tc>
      </w:tr>
      <w:tr w14:paraId="3508B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48" w:type="pct"/>
            <w:noWrap w:val="0"/>
            <w:vAlign w:val="center"/>
          </w:tcPr>
          <w:p w14:paraId="586DFB82">
            <w:pPr>
              <w:widowControl/>
              <w:jc w:val="left"/>
              <w:rPr>
                <w:rFonts w:ascii="Times New Roman" w:hAnsi="Times New Roman" w:eastAsia="仿宋_GB2312" w:cs="宋体"/>
                <w:color w:val="000000"/>
                <w:kern w:val="0"/>
                <w:szCs w:val="21"/>
              </w:rPr>
            </w:pPr>
            <w:r>
              <w:rPr>
                <w:rFonts w:hint="eastAsia" w:ascii="Times New Roman" w:hAnsi="Times New Roman" w:eastAsia="仿宋_GB2312" w:cs="宋体"/>
                <w:color w:val="000000"/>
                <w:kern w:val="0"/>
                <w:szCs w:val="21"/>
              </w:rPr>
              <w:t>行政事业性收费</w:t>
            </w:r>
          </w:p>
        </w:tc>
        <w:tc>
          <w:tcPr>
            <w:tcW w:w="3751" w:type="pct"/>
            <w:gridSpan w:val="3"/>
            <w:noWrap w:val="0"/>
            <w:vAlign w:val="center"/>
          </w:tcPr>
          <w:p w14:paraId="037A965E">
            <w:pPr>
              <w:widowControl/>
              <w:jc w:val="center"/>
              <w:rPr>
                <w:rFonts w:hint="default" w:ascii="Times New Roman" w:hAnsi="Times New Roman" w:eastAsia="仿宋_GB2312" w:cs="Calibri"/>
                <w:color w:val="000000"/>
                <w:kern w:val="0"/>
                <w:szCs w:val="21"/>
                <w:lang w:val="en-US" w:eastAsia="zh-CN"/>
              </w:rPr>
            </w:pPr>
            <w:r>
              <w:rPr>
                <w:rFonts w:hint="eastAsia" w:ascii="Times New Roman" w:hAnsi="Times New Roman" w:eastAsia="仿宋_GB2312" w:cs="Calibri"/>
                <w:color w:val="000000"/>
                <w:kern w:val="0"/>
                <w:szCs w:val="21"/>
                <w:lang w:val="en-US" w:eastAsia="zh-CN"/>
              </w:rPr>
              <w:t>0</w:t>
            </w:r>
          </w:p>
        </w:tc>
      </w:tr>
    </w:tbl>
    <w:p w14:paraId="32AC64A2">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hint="eastAsia" w:eastAsia="方正黑体简体"/>
          <w:b/>
          <w:color w:val="FF0000"/>
          <w:sz w:val="32"/>
          <w:szCs w:val="32"/>
          <w:lang w:eastAsia="zh-CN"/>
        </w:rPr>
      </w:pPr>
      <w:r>
        <w:rPr>
          <w:rFonts w:eastAsia="方正黑体简体"/>
          <w:b/>
          <w:sz w:val="32"/>
          <w:szCs w:val="32"/>
        </w:rPr>
        <w:t>三、收到和处理政府信息公开申请情况</w:t>
      </w:r>
    </w:p>
    <w:tbl>
      <w:tblPr>
        <w:tblStyle w:val="10"/>
        <w:tblpPr w:leftFromText="180" w:rightFromText="180" w:vertAnchor="text" w:horzAnchor="page" w:tblpX="1092" w:tblpY="296"/>
        <w:tblOverlap w:val="never"/>
        <w:tblW w:w="99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4D66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5093" w:type="dxa"/>
            <w:gridSpan w:val="3"/>
            <w:vMerge w:val="restart"/>
            <w:noWrap w:val="0"/>
            <w:tcMar>
              <w:left w:w="108" w:type="dxa"/>
              <w:right w:w="108" w:type="dxa"/>
            </w:tcMar>
            <w:vAlign w:val="center"/>
          </w:tcPr>
          <w:p w14:paraId="30142321">
            <w:pPr>
              <w:widowControl/>
              <w:jc w:val="center"/>
              <w:rPr>
                <w:rFonts w:ascii="Times New Roman" w:hAnsi="Times New Roman" w:eastAsia="楷体_GB2312"/>
                <w:kern w:val="0"/>
                <w:szCs w:val="21"/>
              </w:rPr>
            </w:pPr>
            <w:r>
              <w:rPr>
                <w:rFonts w:hint="eastAsia" w:ascii="Times New Roman" w:hAnsi="Times New Roman" w:eastAsia="楷体_GB2312"/>
                <w:kern w:val="0"/>
                <w:szCs w:val="21"/>
              </w:rPr>
              <w:t>（本列数据的勾稽关系为：第一项加第二项之和，</w:t>
            </w:r>
          </w:p>
          <w:p w14:paraId="19F0AB0B">
            <w:pPr>
              <w:widowControl/>
              <w:jc w:val="center"/>
              <w:rPr>
                <w:rFonts w:ascii="Times New Roman" w:hAnsi="Times New Roman" w:eastAsia="仿宋_GB2312"/>
                <w:szCs w:val="21"/>
              </w:rPr>
            </w:pPr>
            <w:r>
              <w:rPr>
                <w:rFonts w:hint="eastAsia" w:ascii="Times New Roman" w:hAnsi="Times New Roman" w:eastAsia="楷体_GB2312"/>
                <w:kern w:val="0"/>
                <w:szCs w:val="21"/>
              </w:rPr>
              <w:t>等于第三项加第四项之和）</w:t>
            </w:r>
          </w:p>
        </w:tc>
        <w:tc>
          <w:tcPr>
            <w:tcW w:w="4820" w:type="dxa"/>
            <w:gridSpan w:val="7"/>
            <w:noWrap w:val="0"/>
            <w:tcMar>
              <w:left w:w="108" w:type="dxa"/>
              <w:right w:w="108" w:type="dxa"/>
            </w:tcMar>
            <w:vAlign w:val="center"/>
          </w:tcPr>
          <w:p w14:paraId="6859D3D5">
            <w:pPr>
              <w:widowControl/>
              <w:spacing w:line="320" w:lineRule="exact"/>
              <w:jc w:val="center"/>
              <w:rPr>
                <w:rFonts w:ascii="Times New Roman" w:hAnsi="Times New Roman" w:eastAsia="黑体"/>
                <w:szCs w:val="21"/>
              </w:rPr>
            </w:pPr>
            <w:r>
              <w:rPr>
                <w:rFonts w:hint="eastAsia" w:ascii="Times New Roman" w:hAnsi="Times New Roman" w:eastAsia="黑体"/>
                <w:kern w:val="0"/>
                <w:szCs w:val="21"/>
              </w:rPr>
              <w:t>申请人情况</w:t>
            </w:r>
          </w:p>
        </w:tc>
      </w:tr>
      <w:tr w14:paraId="5C0B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trPr>
        <w:tc>
          <w:tcPr>
            <w:tcW w:w="5093" w:type="dxa"/>
            <w:gridSpan w:val="3"/>
            <w:vMerge w:val="continue"/>
            <w:noWrap w:val="0"/>
            <w:tcMar>
              <w:left w:w="108" w:type="dxa"/>
              <w:right w:w="108" w:type="dxa"/>
            </w:tcMar>
            <w:vAlign w:val="center"/>
          </w:tcPr>
          <w:p w14:paraId="3F87E9EF">
            <w:pPr>
              <w:jc w:val="center"/>
              <w:rPr>
                <w:rFonts w:ascii="Times New Roman" w:hAnsi="Times New Roman" w:eastAsia="仿宋_GB2312"/>
                <w:szCs w:val="21"/>
              </w:rPr>
            </w:pPr>
          </w:p>
        </w:tc>
        <w:tc>
          <w:tcPr>
            <w:tcW w:w="829" w:type="dxa"/>
            <w:vMerge w:val="restart"/>
            <w:noWrap w:val="0"/>
            <w:tcMar>
              <w:left w:w="108" w:type="dxa"/>
              <w:right w:w="108" w:type="dxa"/>
            </w:tcMar>
            <w:vAlign w:val="center"/>
          </w:tcPr>
          <w:p w14:paraId="354E05CD">
            <w:pPr>
              <w:widowControl/>
              <w:jc w:val="center"/>
              <w:rPr>
                <w:rFonts w:ascii="Times New Roman" w:hAnsi="Times New Roman" w:eastAsia="黑体"/>
                <w:szCs w:val="21"/>
              </w:rPr>
            </w:pPr>
            <w:r>
              <w:rPr>
                <w:rFonts w:hint="eastAsia" w:ascii="Times New Roman" w:hAnsi="Times New Roman" w:eastAsia="黑体"/>
                <w:kern w:val="0"/>
                <w:szCs w:val="21"/>
              </w:rPr>
              <w:t>自然人</w:t>
            </w:r>
          </w:p>
        </w:tc>
        <w:tc>
          <w:tcPr>
            <w:tcW w:w="3140" w:type="dxa"/>
            <w:gridSpan w:val="5"/>
            <w:noWrap w:val="0"/>
            <w:tcMar>
              <w:left w:w="108" w:type="dxa"/>
              <w:right w:w="108" w:type="dxa"/>
            </w:tcMar>
            <w:vAlign w:val="center"/>
          </w:tcPr>
          <w:p w14:paraId="6A15A4B4">
            <w:pPr>
              <w:widowControl/>
              <w:spacing w:line="320" w:lineRule="exact"/>
              <w:jc w:val="center"/>
              <w:rPr>
                <w:rFonts w:ascii="Times New Roman" w:hAnsi="Times New Roman" w:eastAsia="黑体"/>
                <w:szCs w:val="21"/>
              </w:rPr>
            </w:pPr>
            <w:r>
              <w:rPr>
                <w:rFonts w:hint="eastAsia" w:ascii="Times New Roman" w:hAnsi="Times New Roman" w:eastAsia="黑体"/>
                <w:kern w:val="0"/>
                <w:szCs w:val="21"/>
              </w:rPr>
              <w:t>法人或其他组织</w:t>
            </w:r>
          </w:p>
        </w:tc>
        <w:tc>
          <w:tcPr>
            <w:tcW w:w="851" w:type="dxa"/>
            <w:vMerge w:val="restart"/>
            <w:noWrap w:val="0"/>
            <w:tcMar>
              <w:left w:w="108" w:type="dxa"/>
              <w:right w:w="108" w:type="dxa"/>
            </w:tcMar>
            <w:vAlign w:val="center"/>
          </w:tcPr>
          <w:p w14:paraId="42C46F87">
            <w:pPr>
              <w:widowControl/>
              <w:jc w:val="center"/>
              <w:rPr>
                <w:rFonts w:ascii="Times New Roman" w:hAnsi="Times New Roman" w:eastAsia="黑体"/>
                <w:szCs w:val="21"/>
              </w:rPr>
            </w:pPr>
            <w:r>
              <w:rPr>
                <w:rFonts w:hint="eastAsia" w:ascii="Times New Roman" w:hAnsi="Times New Roman" w:eastAsia="黑体"/>
                <w:kern w:val="0"/>
                <w:szCs w:val="21"/>
              </w:rPr>
              <w:t>总计</w:t>
            </w:r>
          </w:p>
        </w:tc>
      </w:tr>
      <w:tr w14:paraId="0F51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5093" w:type="dxa"/>
            <w:gridSpan w:val="3"/>
            <w:vMerge w:val="continue"/>
            <w:noWrap w:val="0"/>
            <w:tcMar>
              <w:left w:w="108" w:type="dxa"/>
              <w:right w:w="108" w:type="dxa"/>
            </w:tcMar>
            <w:vAlign w:val="center"/>
          </w:tcPr>
          <w:p w14:paraId="7BF2AA49">
            <w:pPr>
              <w:jc w:val="center"/>
              <w:rPr>
                <w:rFonts w:ascii="Times New Roman" w:hAnsi="Times New Roman" w:eastAsia="仿宋_GB2312"/>
                <w:szCs w:val="21"/>
              </w:rPr>
            </w:pPr>
          </w:p>
        </w:tc>
        <w:tc>
          <w:tcPr>
            <w:tcW w:w="829" w:type="dxa"/>
            <w:vMerge w:val="continue"/>
            <w:noWrap w:val="0"/>
            <w:tcMar>
              <w:left w:w="108" w:type="dxa"/>
              <w:right w:w="108" w:type="dxa"/>
            </w:tcMar>
            <w:vAlign w:val="center"/>
          </w:tcPr>
          <w:p w14:paraId="1363D438">
            <w:pPr>
              <w:jc w:val="center"/>
              <w:rPr>
                <w:rFonts w:ascii="Times New Roman" w:hAnsi="Times New Roman" w:eastAsia="黑体"/>
                <w:szCs w:val="21"/>
              </w:rPr>
            </w:pPr>
          </w:p>
        </w:tc>
        <w:tc>
          <w:tcPr>
            <w:tcW w:w="567" w:type="dxa"/>
            <w:noWrap w:val="0"/>
            <w:tcMar>
              <w:left w:w="108" w:type="dxa"/>
              <w:right w:w="108" w:type="dxa"/>
            </w:tcMar>
            <w:vAlign w:val="center"/>
          </w:tcPr>
          <w:p w14:paraId="703822F4">
            <w:pPr>
              <w:widowControl/>
              <w:spacing w:line="320" w:lineRule="exact"/>
              <w:ind w:left="-101" w:leftChars="-51" w:right="-102" w:rightChars="-51" w:hanging="1"/>
              <w:jc w:val="center"/>
              <w:rPr>
                <w:rFonts w:ascii="Times New Roman" w:hAnsi="Times New Roman" w:eastAsia="黑体"/>
                <w:szCs w:val="21"/>
              </w:rPr>
            </w:pPr>
            <w:r>
              <w:rPr>
                <w:rFonts w:hint="eastAsia" w:ascii="Times New Roman" w:hAnsi="Times New Roman" w:eastAsia="黑体"/>
                <w:kern w:val="0"/>
                <w:szCs w:val="21"/>
              </w:rPr>
              <w:t>商业企业</w:t>
            </w:r>
          </w:p>
        </w:tc>
        <w:tc>
          <w:tcPr>
            <w:tcW w:w="567" w:type="dxa"/>
            <w:noWrap w:val="0"/>
            <w:tcMar>
              <w:left w:w="108" w:type="dxa"/>
              <w:right w:w="108" w:type="dxa"/>
            </w:tcMar>
            <w:vAlign w:val="center"/>
          </w:tcPr>
          <w:p w14:paraId="28BE1937">
            <w:pPr>
              <w:widowControl/>
              <w:spacing w:line="320" w:lineRule="exact"/>
              <w:ind w:left="-102" w:leftChars="-51" w:right="-102" w:rightChars="-51"/>
              <w:jc w:val="center"/>
              <w:rPr>
                <w:rFonts w:ascii="Times New Roman" w:hAnsi="Times New Roman" w:eastAsia="黑体"/>
                <w:szCs w:val="21"/>
              </w:rPr>
            </w:pPr>
            <w:r>
              <w:rPr>
                <w:rFonts w:hint="eastAsia" w:ascii="Times New Roman" w:hAnsi="Times New Roman" w:eastAsia="黑体"/>
                <w:kern w:val="0"/>
                <w:szCs w:val="21"/>
              </w:rPr>
              <w:t>科研机构</w:t>
            </w:r>
          </w:p>
        </w:tc>
        <w:tc>
          <w:tcPr>
            <w:tcW w:w="731" w:type="dxa"/>
            <w:noWrap w:val="0"/>
            <w:tcMar>
              <w:left w:w="108" w:type="dxa"/>
              <w:right w:w="108" w:type="dxa"/>
            </w:tcMar>
            <w:vAlign w:val="center"/>
          </w:tcPr>
          <w:p w14:paraId="10FB652B">
            <w:pPr>
              <w:widowControl/>
              <w:spacing w:line="320" w:lineRule="exact"/>
              <w:ind w:left="-102" w:leftChars="-51" w:right="-102" w:rightChars="-51"/>
              <w:jc w:val="center"/>
              <w:rPr>
                <w:rFonts w:ascii="Times New Roman" w:hAnsi="Times New Roman" w:eastAsia="黑体"/>
                <w:szCs w:val="21"/>
              </w:rPr>
            </w:pPr>
            <w:r>
              <w:rPr>
                <w:rFonts w:hint="eastAsia" w:ascii="Times New Roman" w:hAnsi="Times New Roman" w:eastAsia="黑体"/>
                <w:kern w:val="0"/>
                <w:szCs w:val="21"/>
              </w:rPr>
              <w:t>社会公益组织</w:t>
            </w:r>
          </w:p>
        </w:tc>
        <w:tc>
          <w:tcPr>
            <w:tcW w:w="708" w:type="dxa"/>
            <w:noWrap w:val="0"/>
            <w:tcMar>
              <w:left w:w="108" w:type="dxa"/>
              <w:right w:w="108" w:type="dxa"/>
            </w:tcMar>
            <w:vAlign w:val="center"/>
          </w:tcPr>
          <w:p w14:paraId="73C9E7EA">
            <w:pPr>
              <w:widowControl/>
              <w:spacing w:line="320" w:lineRule="exact"/>
              <w:ind w:left="-101" w:leftChars="-51" w:right="-102" w:rightChars="-51" w:hanging="1"/>
              <w:jc w:val="center"/>
              <w:rPr>
                <w:rFonts w:ascii="Times New Roman" w:hAnsi="Times New Roman" w:eastAsia="黑体"/>
                <w:szCs w:val="21"/>
              </w:rPr>
            </w:pPr>
            <w:r>
              <w:rPr>
                <w:rFonts w:hint="eastAsia" w:ascii="Times New Roman" w:hAnsi="Times New Roman" w:eastAsia="黑体"/>
                <w:kern w:val="0"/>
                <w:szCs w:val="21"/>
              </w:rPr>
              <w:t>法律服务机构</w:t>
            </w:r>
          </w:p>
        </w:tc>
        <w:tc>
          <w:tcPr>
            <w:tcW w:w="567" w:type="dxa"/>
            <w:noWrap w:val="0"/>
            <w:tcMar>
              <w:left w:w="108" w:type="dxa"/>
              <w:right w:w="108" w:type="dxa"/>
            </w:tcMar>
            <w:vAlign w:val="center"/>
          </w:tcPr>
          <w:p w14:paraId="56A2849D">
            <w:pPr>
              <w:widowControl/>
              <w:spacing w:line="360" w:lineRule="exact"/>
              <w:ind w:left="-60" w:leftChars="-30" w:right="-128" w:rightChars="-64"/>
              <w:jc w:val="center"/>
              <w:rPr>
                <w:rFonts w:ascii="Times New Roman" w:hAnsi="Times New Roman" w:eastAsia="黑体"/>
                <w:szCs w:val="21"/>
              </w:rPr>
            </w:pPr>
            <w:r>
              <w:rPr>
                <w:rFonts w:hint="eastAsia" w:ascii="Times New Roman" w:hAnsi="Times New Roman" w:eastAsia="黑体"/>
                <w:kern w:val="0"/>
                <w:szCs w:val="21"/>
              </w:rPr>
              <w:t>其他</w:t>
            </w:r>
          </w:p>
        </w:tc>
        <w:tc>
          <w:tcPr>
            <w:tcW w:w="851" w:type="dxa"/>
            <w:vMerge w:val="continue"/>
            <w:noWrap w:val="0"/>
            <w:tcMar>
              <w:left w:w="108" w:type="dxa"/>
              <w:right w:w="108" w:type="dxa"/>
            </w:tcMar>
            <w:vAlign w:val="center"/>
          </w:tcPr>
          <w:p w14:paraId="042F0B8E">
            <w:pPr>
              <w:jc w:val="center"/>
              <w:rPr>
                <w:rFonts w:ascii="Times New Roman" w:hAnsi="Times New Roman" w:eastAsia="仿宋_GB2312"/>
                <w:szCs w:val="21"/>
              </w:rPr>
            </w:pPr>
          </w:p>
        </w:tc>
      </w:tr>
      <w:tr w14:paraId="0CC4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3415DD4E">
            <w:pPr>
              <w:widowControl/>
              <w:rPr>
                <w:rFonts w:ascii="Times New Roman" w:hAnsi="Times New Roman" w:eastAsia="黑体"/>
                <w:szCs w:val="21"/>
              </w:rPr>
            </w:pPr>
            <w:r>
              <w:rPr>
                <w:rFonts w:hint="eastAsia" w:ascii="Times New Roman" w:hAnsi="Times New Roman" w:eastAsia="黑体"/>
                <w:kern w:val="0"/>
                <w:szCs w:val="21"/>
              </w:rPr>
              <w:t>一、本年新收政府信息公开申请数量</w:t>
            </w:r>
          </w:p>
        </w:tc>
        <w:tc>
          <w:tcPr>
            <w:tcW w:w="829" w:type="dxa"/>
            <w:noWrap w:val="0"/>
            <w:tcMar>
              <w:left w:w="108" w:type="dxa"/>
              <w:right w:w="108" w:type="dxa"/>
            </w:tcMar>
            <w:vAlign w:val="center"/>
          </w:tcPr>
          <w:p w14:paraId="423C0D8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1</w:t>
            </w:r>
          </w:p>
        </w:tc>
        <w:tc>
          <w:tcPr>
            <w:tcW w:w="567" w:type="dxa"/>
            <w:noWrap w:val="0"/>
            <w:tcMar>
              <w:left w:w="108" w:type="dxa"/>
              <w:right w:w="108" w:type="dxa"/>
            </w:tcMar>
            <w:vAlign w:val="center"/>
          </w:tcPr>
          <w:p w14:paraId="53A8D8A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3AF4DB0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498B364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7627C95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540D912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18B09A8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1</w:t>
            </w:r>
          </w:p>
        </w:tc>
      </w:tr>
      <w:tr w14:paraId="1424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093" w:type="dxa"/>
            <w:gridSpan w:val="3"/>
            <w:noWrap w:val="0"/>
            <w:tcMar>
              <w:left w:w="108" w:type="dxa"/>
              <w:right w:w="108" w:type="dxa"/>
            </w:tcMar>
            <w:vAlign w:val="center"/>
          </w:tcPr>
          <w:p w14:paraId="0DB07E34">
            <w:pPr>
              <w:widowControl/>
              <w:rPr>
                <w:rFonts w:ascii="Times New Roman" w:hAnsi="Times New Roman" w:eastAsia="黑体"/>
                <w:szCs w:val="21"/>
              </w:rPr>
            </w:pPr>
            <w:r>
              <w:rPr>
                <w:rFonts w:hint="eastAsia" w:ascii="Times New Roman" w:hAnsi="Times New Roman" w:eastAsia="黑体"/>
                <w:kern w:val="0"/>
                <w:szCs w:val="21"/>
              </w:rPr>
              <w:t>二、上年结转政府信息公开申请数量</w:t>
            </w:r>
          </w:p>
        </w:tc>
        <w:tc>
          <w:tcPr>
            <w:tcW w:w="829" w:type="dxa"/>
            <w:noWrap w:val="0"/>
            <w:tcMar>
              <w:left w:w="108" w:type="dxa"/>
              <w:right w:w="108" w:type="dxa"/>
            </w:tcMar>
            <w:vAlign w:val="center"/>
          </w:tcPr>
          <w:p w14:paraId="1662C88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25F43A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601E8A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C5ABEC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4A51F8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A08D2E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6B8AA5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324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restart"/>
            <w:noWrap w:val="0"/>
            <w:tcMar>
              <w:left w:w="108" w:type="dxa"/>
              <w:right w:w="108" w:type="dxa"/>
            </w:tcMar>
            <w:vAlign w:val="center"/>
          </w:tcPr>
          <w:p w14:paraId="6E63B680">
            <w:pPr>
              <w:widowControl/>
              <w:spacing w:after="180"/>
              <w:rPr>
                <w:rFonts w:ascii="Times New Roman" w:hAnsi="Times New Roman" w:eastAsia="黑体"/>
                <w:szCs w:val="21"/>
              </w:rPr>
            </w:pPr>
            <w:r>
              <w:rPr>
                <w:rFonts w:hint="eastAsia" w:ascii="Times New Roman" w:hAnsi="Times New Roman" w:eastAsia="黑体"/>
                <w:kern w:val="0"/>
                <w:szCs w:val="21"/>
              </w:rPr>
              <w:t>三、本年度办理结果</w:t>
            </w:r>
          </w:p>
        </w:tc>
        <w:tc>
          <w:tcPr>
            <w:tcW w:w="4677" w:type="dxa"/>
            <w:gridSpan w:val="2"/>
            <w:noWrap w:val="0"/>
            <w:tcMar>
              <w:left w:w="108" w:type="dxa"/>
              <w:right w:w="108" w:type="dxa"/>
            </w:tcMar>
            <w:vAlign w:val="center"/>
          </w:tcPr>
          <w:p w14:paraId="76A90797">
            <w:pPr>
              <w:widowControl/>
              <w:rPr>
                <w:rFonts w:ascii="Times New Roman" w:hAnsi="Times New Roman" w:eastAsia="黑体"/>
                <w:szCs w:val="21"/>
              </w:rPr>
            </w:pPr>
            <w:r>
              <w:rPr>
                <w:rFonts w:hint="eastAsia" w:ascii="Times New Roman" w:hAnsi="Times New Roman" w:eastAsia="黑体"/>
                <w:kern w:val="0"/>
                <w:szCs w:val="21"/>
              </w:rPr>
              <w:t>（一）予以公开</w:t>
            </w:r>
          </w:p>
        </w:tc>
        <w:tc>
          <w:tcPr>
            <w:tcW w:w="829" w:type="dxa"/>
            <w:noWrap w:val="0"/>
            <w:tcMar>
              <w:left w:w="108" w:type="dxa"/>
              <w:right w:w="108" w:type="dxa"/>
            </w:tcMar>
            <w:vAlign w:val="center"/>
          </w:tcPr>
          <w:p w14:paraId="0295FD0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85C3A5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E22ABD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AEB92B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F1D090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6EB02D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7B86F09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8F7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7D26ABB9">
            <w:pPr>
              <w:rPr>
                <w:rFonts w:ascii="Times New Roman" w:hAnsi="Times New Roman" w:eastAsia="黑体"/>
                <w:szCs w:val="21"/>
              </w:rPr>
            </w:pPr>
          </w:p>
        </w:tc>
        <w:tc>
          <w:tcPr>
            <w:tcW w:w="4677" w:type="dxa"/>
            <w:gridSpan w:val="2"/>
            <w:noWrap w:val="0"/>
            <w:tcMar>
              <w:left w:w="108" w:type="dxa"/>
              <w:right w:w="108" w:type="dxa"/>
            </w:tcMar>
            <w:vAlign w:val="center"/>
          </w:tcPr>
          <w:p w14:paraId="7569F158">
            <w:pPr>
              <w:widowControl/>
              <w:rPr>
                <w:rFonts w:ascii="Times New Roman" w:hAnsi="Times New Roman" w:eastAsia="黑体"/>
                <w:szCs w:val="21"/>
              </w:rPr>
            </w:pPr>
            <w:r>
              <w:rPr>
                <w:rFonts w:hint="eastAsia" w:ascii="Times New Roman" w:hAnsi="Times New Roman" w:eastAsia="黑体"/>
                <w:kern w:val="0"/>
                <w:szCs w:val="21"/>
              </w:rPr>
              <w:t>（二）部分公开</w:t>
            </w:r>
            <w:r>
              <w:rPr>
                <w:rFonts w:hint="eastAsia" w:ascii="Times New Roman" w:hAnsi="Times New Roman" w:eastAsia="仿宋_GB2312" w:cs="Times New Roman"/>
                <w:kern w:val="0"/>
                <w:szCs w:val="21"/>
              </w:rPr>
              <w:t>（区分处理的，只计这一情形，不计其他情形）</w:t>
            </w:r>
          </w:p>
        </w:tc>
        <w:tc>
          <w:tcPr>
            <w:tcW w:w="829" w:type="dxa"/>
            <w:noWrap w:val="0"/>
            <w:tcMar>
              <w:left w:w="108" w:type="dxa"/>
              <w:right w:w="108" w:type="dxa"/>
            </w:tcMar>
            <w:vAlign w:val="center"/>
          </w:tcPr>
          <w:p w14:paraId="1B4CFAD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9A245E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3426CF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BC606A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16E66FC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20FC95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10FB77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F47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3191D4E9">
            <w:pPr>
              <w:rPr>
                <w:rFonts w:ascii="Times New Roman" w:hAnsi="Times New Roman" w:eastAsia="黑体"/>
                <w:szCs w:val="21"/>
              </w:rPr>
            </w:pPr>
          </w:p>
        </w:tc>
        <w:tc>
          <w:tcPr>
            <w:tcW w:w="1701" w:type="dxa"/>
            <w:vMerge w:val="restart"/>
            <w:noWrap w:val="0"/>
            <w:tcMar>
              <w:left w:w="108" w:type="dxa"/>
              <w:right w:w="108" w:type="dxa"/>
            </w:tcMar>
            <w:vAlign w:val="center"/>
          </w:tcPr>
          <w:p w14:paraId="2679E676">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（三）不予公开</w:t>
            </w:r>
          </w:p>
        </w:tc>
        <w:tc>
          <w:tcPr>
            <w:tcW w:w="2976" w:type="dxa"/>
            <w:noWrap w:val="0"/>
            <w:tcMar>
              <w:left w:w="108" w:type="dxa"/>
              <w:right w:w="108" w:type="dxa"/>
            </w:tcMar>
            <w:vAlign w:val="center"/>
          </w:tcPr>
          <w:p w14:paraId="587F25D7">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1.属于国家秘密</w:t>
            </w:r>
          </w:p>
        </w:tc>
        <w:tc>
          <w:tcPr>
            <w:tcW w:w="829" w:type="dxa"/>
            <w:noWrap w:val="0"/>
            <w:tcMar>
              <w:left w:w="108" w:type="dxa"/>
              <w:right w:w="108" w:type="dxa"/>
            </w:tcMar>
            <w:vAlign w:val="center"/>
          </w:tcPr>
          <w:p w14:paraId="754E0CA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175AF0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09B499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2EE487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6050A4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02253C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5090D4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D57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145C8292">
            <w:pPr>
              <w:rPr>
                <w:rFonts w:ascii="Times New Roman" w:hAnsi="Times New Roman" w:eastAsia="黑体"/>
                <w:szCs w:val="21"/>
              </w:rPr>
            </w:pPr>
          </w:p>
        </w:tc>
        <w:tc>
          <w:tcPr>
            <w:tcW w:w="1701" w:type="dxa"/>
            <w:vMerge w:val="continue"/>
            <w:noWrap w:val="0"/>
            <w:tcMar>
              <w:left w:w="108" w:type="dxa"/>
              <w:right w:w="108" w:type="dxa"/>
            </w:tcMar>
            <w:vAlign w:val="center"/>
          </w:tcPr>
          <w:p w14:paraId="461EE42C">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57FB2E41">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2.其他法律行政法规禁止公开</w:t>
            </w:r>
          </w:p>
        </w:tc>
        <w:tc>
          <w:tcPr>
            <w:tcW w:w="829" w:type="dxa"/>
            <w:noWrap w:val="0"/>
            <w:tcMar>
              <w:left w:w="108" w:type="dxa"/>
              <w:right w:w="108" w:type="dxa"/>
            </w:tcMar>
            <w:vAlign w:val="center"/>
          </w:tcPr>
          <w:p w14:paraId="61EDBEA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A026CA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1ACA0B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D03D70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DFD5D9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BB55FA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08B1568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4568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3E695941">
            <w:pPr>
              <w:rPr>
                <w:rFonts w:ascii="Times New Roman" w:hAnsi="Times New Roman" w:eastAsia="黑体"/>
                <w:szCs w:val="21"/>
              </w:rPr>
            </w:pPr>
          </w:p>
        </w:tc>
        <w:tc>
          <w:tcPr>
            <w:tcW w:w="1701" w:type="dxa"/>
            <w:vMerge w:val="continue"/>
            <w:noWrap w:val="0"/>
            <w:tcMar>
              <w:left w:w="108" w:type="dxa"/>
              <w:right w:w="108" w:type="dxa"/>
            </w:tcMar>
            <w:vAlign w:val="center"/>
          </w:tcPr>
          <w:p w14:paraId="2073BB4D">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47551601">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3.危及“三安全一稳定”</w:t>
            </w:r>
          </w:p>
        </w:tc>
        <w:tc>
          <w:tcPr>
            <w:tcW w:w="829" w:type="dxa"/>
            <w:noWrap w:val="0"/>
            <w:tcMar>
              <w:left w:w="108" w:type="dxa"/>
              <w:right w:w="108" w:type="dxa"/>
            </w:tcMar>
            <w:vAlign w:val="center"/>
          </w:tcPr>
          <w:p w14:paraId="2607B41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84D104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36C8D4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8ED5FD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58D934B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1F4D7A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688CAF4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22C4F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AC4AEDA">
            <w:pPr>
              <w:rPr>
                <w:rFonts w:ascii="Times New Roman" w:hAnsi="Times New Roman" w:eastAsia="黑体"/>
                <w:szCs w:val="21"/>
              </w:rPr>
            </w:pPr>
          </w:p>
        </w:tc>
        <w:tc>
          <w:tcPr>
            <w:tcW w:w="1701" w:type="dxa"/>
            <w:vMerge w:val="continue"/>
            <w:noWrap w:val="0"/>
            <w:tcMar>
              <w:left w:w="108" w:type="dxa"/>
              <w:right w:w="108" w:type="dxa"/>
            </w:tcMar>
            <w:vAlign w:val="center"/>
          </w:tcPr>
          <w:p w14:paraId="4D8A7121">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43B7D65B">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4.保护第三方合法权益</w:t>
            </w:r>
          </w:p>
        </w:tc>
        <w:tc>
          <w:tcPr>
            <w:tcW w:w="829" w:type="dxa"/>
            <w:noWrap w:val="0"/>
            <w:tcMar>
              <w:left w:w="108" w:type="dxa"/>
              <w:right w:w="108" w:type="dxa"/>
            </w:tcMar>
            <w:vAlign w:val="center"/>
          </w:tcPr>
          <w:p w14:paraId="107DA4A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5A3E10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077128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9E1CE1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352E93B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83A534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4A7DB3B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0725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370A346F">
            <w:pPr>
              <w:rPr>
                <w:rFonts w:ascii="Times New Roman" w:hAnsi="Times New Roman" w:eastAsia="黑体"/>
                <w:szCs w:val="21"/>
              </w:rPr>
            </w:pPr>
          </w:p>
        </w:tc>
        <w:tc>
          <w:tcPr>
            <w:tcW w:w="1701" w:type="dxa"/>
            <w:vMerge w:val="continue"/>
            <w:noWrap w:val="0"/>
            <w:tcMar>
              <w:left w:w="108" w:type="dxa"/>
              <w:right w:w="108" w:type="dxa"/>
            </w:tcMar>
            <w:vAlign w:val="center"/>
          </w:tcPr>
          <w:p w14:paraId="35269EB7">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30573734">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5.属于三类内部事务信息</w:t>
            </w:r>
          </w:p>
        </w:tc>
        <w:tc>
          <w:tcPr>
            <w:tcW w:w="829" w:type="dxa"/>
            <w:noWrap w:val="0"/>
            <w:tcMar>
              <w:left w:w="108" w:type="dxa"/>
              <w:right w:w="108" w:type="dxa"/>
            </w:tcMar>
            <w:vAlign w:val="center"/>
          </w:tcPr>
          <w:p w14:paraId="6CA74A22">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4E95DC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232A73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7BC336D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5533DA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4CD7DA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CC1B1D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C5F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6B5A7244">
            <w:pPr>
              <w:rPr>
                <w:rFonts w:ascii="Times New Roman" w:hAnsi="Times New Roman" w:eastAsia="黑体"/>
                <w:szCs w:val="21"/>
              </w:rPr>
            </w:pPr>
          </w:p>
        </w:tc>
        <w:tc>
          <w:tcPr>
            <w:tcW w:w="1701" w:type="dxa"/>
            <w:vMerge w:val="continue"/>
            <w:noWrap w:val="0"/>
            <w:tcMar>
              <w:left w:w="108" w:type="dxa"/>
              <w:right w:w="108" w:type="dxa"/>
            </w:tcMar>
            <w:vAlign w:val="center"/>
          </w:tcPr>
          <w:p w14:paraId="726C623E">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73C701B6">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6.属于四类过程性信息</w:t>
            </w:r>
          </w:p>
        </w:tc>
        <w:tc>
          <w:tcPr>
            <w:tcW w:w="829" w:type="dxa"/>
            <w:noWrap w:val="0"/>
            <w:tcMar>
              <w:left w:w="108" w:type="dxa"/>
              <w:right w:w="108" w:type="dxa"/>
            </w:tcMar>
            <w:vAlign w:val="center"/>
          </w:tcPr>
          <w:p w14:paraId="7BEFA94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0162DB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E7EDAD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1C034A9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464FD6C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F0CDA7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1D8B81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7FFA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9EB0371">
            <w:pPr>
              <w:rPr>
                <w:rFonts w:ascii="Times New Roman" w:hAnsi="Times New Roman" w:eastAsia="黑体"/>
                <w:szCs w:val="21"/>
              </w:rPr>
            </w:pPr>
          </w:p>
        </w:tc>
        <w:tc>
          <w:tcPr>
            <w:tcW w:w="1701" w:type="dxa"/>
            <w:vMerge w:val="continue"/>
            <w:noWrap w:val="0"/>
            <w:tcMar>
              <w:left w:w="108" w:type="dxa"/>
              <w:right w:w="108" w:type="dxa"/>
            </w:tcMar>
            <w:vAlign w:val="center"/>
          </w:tcPr>
          <w:p w14:paraId="7D0439B3">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4001480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7.属于行政执法案卷</w:t>
            </w:r>
          </w:p>
        </w:tc>
        <w:tc>
          <w:tcPr>
            <w:tcW w:w="829" w:type="dxa"/>
            <w:noWrap w:val="0"/>
            <w:tcMar>
              <w:left w:w="108" w:type="dxa"/>
              <w:right w:w="108" w:type="dxa"/>
            </w:tcMar>
            <w:vAlign w:val="center"/>
          </w:tcPr>
          <w:p w14:paraId="23949E9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ED9D5B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3E43C2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C2C071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6499D79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920C88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950C87E">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49459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655D074A">
            <w:pPr>
              <w:rPr>
                <w:rFonts w:ascii="Times New Roman" w:hAnsi="Times New Roman" w:eastAsia="黑体"/>
                <w:szCs w:val="21"/>
              </w:rPr>
            </w:pPr>
          </w:p>
        </w:tc>
        <w:tc>
          <w:tcPr>
            <w:tcW w:w="1701" w:type="dxa"/>
            <w:vMerge w:val="continue"/>
            <w:noWrap w:val="0"/>
            <w:tcMar>
              <w:left w:w="108" w:type="dxa"/>
              <w:right w:w="108" w:type="dxa"/>
            </w:tcMar>
            <w:vAlign w:val="center"/>
          </w:tcPr>
          <w:p w14:paraId="5F68B319">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10FBB2A2">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8.属于行政查询事项</w:t>
            </w:r>
          </w:p>
        </w:tc>
        <w:tc>
          <w:tcPr>
            <w:tcW w:w="829" w:type="dxa"/>
            <w:noWrap w:val="0"/>
            <w:tcMar>
              <w:left w:w="108" w:type="dxa"/>
              <w:right w:w="108" w:type="dxa"/>
            </w:tcMar>
            <w:vAlign w:val="center"/>
          </w:tcPr>
          <w:p w14:paraId="523C44E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212DD0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44BD07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30C99B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49514A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3CB048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6DAD55A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4631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14ED414">
            <w:pPr>
              <w:rPr>
                <w:rFonts w:ascii="Times New Roman" w:hAnsi="Times New Roman" w:eastAsia="黑体"/>
                <w:szCs w:val="21"/>
              </w:rPr>
            </w:pPr>
          </w:p>
        </w:tc>
        <w:tc>
          <w:tcPr>
            <w:tcW w:w="1701" w:type="dxa"/>
            <w:vMerge w:val="restart"/>
            <w:noWrap w:val="0"/>
            <w:tcMar>
              <w:left w:w="108" w:type="dxa"/>
              <w:right w:w="108" w:type="dxa"/>
            </w:tcMar>
            <w:vAlign w:val="center"/>
          </w:tcPr>
          <w:p w14:paraId="00426B30">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（四）无法提供</w:t>
            </w:r>
          </w:p>
        </w:tc>
        <w:tc>
          <w:tcPr>
            <w:tcW w:w="2976" w:type="dxa"/>
            <w:noWrap w:val="0"/>
            <w:tcMar>
              <w:left w:w="108" w:type="dxa"/>
              <w:right w:w="108" w:type="dxa"/>
            </w:tcMar>
            <w:vAlign w:val="center"/>
          </w:tcPr>
          <w:p w14:paraId="564070E4">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1.本机关不掌握相关政府信息</w:t>
            </w:r>
          </w:p>
        </w:tc>
        <w:tc>
          <w:tcPr>
            <w:tcW w:w="829" w:type="dxa"/>
            <w:noWrap w:val="0"/>
            <w:tcMar>
              <w:left w:w="108" w:type="dxa"/>
              <w:right w:w="108" w:type="dxa"/>
            </w:tcMar>
            <w:vAlign w:val="center"/>
          </w:tcPr>
          <w:p w14:paraId="72966EE4">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409EF4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735AE0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3BEA13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3A18A32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6B491F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09DFE564">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41B10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7E0F632A">
            <w:pPr>
              <w:rPr>
                <w:rFonts w:ascii="Times New Roman" w:hAnsi="Times New Roman" w:eastAsia="黑体"/>
                <w:szCs w:val="21"/>
              </w:rPr>
            </w:pPr>
          </w:p>
        </w:tc>
        <w:tc>
          <w:tcPr>
            <w:tcW w:w="1701" w:type="dxa"/>
            <w:vMerge w:val="continue"/>
            <w:noWrap w:val="0"/>
            <w:tcMar>
              <w:left w:w="108" w:type="dxa"/>
              <w:right w:w="108" w:type="dxa"/>
            </w:tcMar>
            <w:vAlign w:val="center"/>
          </w:tcPr>
          <w:p w14:paraId="75893DED">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p>
        </w:tc>
        <w:tc>
          <w:tcPr>
            <w:tcW w:w="2976" w:type="dxa"/>
            <w:noWrap w:val="0"/>
            <w:tcMar>
              <w:left w:w="108" w:type="dxa"/>
              <w:right w:w="108" w:type="dxa"/>
            </w:tcMar>
            <w:vAlign w:val="center"/>
          </w:tcPr>
          <w:p w14:paraId="53EC946E">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2.没有现成信息需要另行制作</w:t>
            </w:r>
          </w:p>
        </w:tc>
        <w:tc>
          <w:tcPr>
            <w:tcW w:w="829" w:type="dxa"/>
            <w:noWrap w:val="0"/>
            <w:tcMar>
              <w:left w:w="108" w:type="dxa"/>
              <w:right w:w="108" w:type="dxa"/>
            </w:tcMar>
            <w:vAlign w:val="center"/>
          </w:tcPr>
          <w:p w14:paraId="5FACA0B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2E0861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C1A3AA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35058E9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E7C02D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FA5479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7C56CA8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4C4C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04D72389">
            <w:pPr>
              <w:rPr>
                <w:rFonts w:ascii="Times New Roman" w:hAnsi="Times New Roman" w:eastAsia="黑体"/>
                <w:szCs w:val="21"/>
              </w:rPr>
            </w:pPr>
          </w:p>
        </w:tc>
        <w:tc>
          <w:tcPr>
            <w:tcW w:w="1701" w:type="dxa"/>
            <w:vMerge w:val="continue"/>
            <w:noWrap w:val="0"/>
            <w:tcMar>
              <w:left w:w="108" w:type="dxa"/>
              <w:right w:w="108" w:type="dxa"/>
            </w:tcMar>
            <w:vAlign w:val="center"/>
          </w:tcPr>
          <w:p w14:paraId="66BB8768">
            <w:pPr>
              <w:keepNext w:val="0"/>
              <w:keepLines w:val="0"/>
              <w:pageBreakBefore w:val="0"/>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p>
        </w:tc>
        <w:tc>
          <w:tcPr>
            <w:tcW w:w="2976" w:type="dxa"/>
            <w:noWrap w:val="0"/>
            <w:tcMar>
              <w:left w:w="108" w:type="dxa"/>
              <w:right w:w="108" w:type="dxa"/>
            </w:tcMar>
            <w:vAlign w:val="center"/>
          </w:tcPr>
          <w:p w14:paraId="1801FAAA">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3.补正后申请内容仍不明确</w:t>
            </w:r>
          </w:p>
        </w:tc>
        <w:tc>
          <w:tcPr>
            <w:tcW w:w="829" w:type="dxa"/>
            <w:noWrap w:val="0"/>
            <w:tcMar>
              <w:left w:w="108" w:type="dxa"/>
              <w:right w:w="108" w:type="dxa"/>
            </w:tcMar>
            <w:vAlign w:val="center"/>
          </w:tcPr>
          <w:p w14:paraId="3FF34390">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D4342C8">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4D5DCD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222672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4880B77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08B7F5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0D5786D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71F5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23CC7FAF">
            <w:pPr>
              <w:rPr>
                <w:rFonts w:ascii="Times New Roman" w:hAnsi="Times New Roman" w:eastAsia="黑体"/>
                <w:szCs w:val="21"/>
              </w:rPr>
            </w:pPr>
          </w:p>
        </w:tc>
        <w:tc>
          <w:tcPr>
            <w:tcW w:w="1701" w:type="dxa"/>
            <w:vMerge w:val="restart"/>
            <w:noWrap w:val="0"/>
            <w:tcMar>
              <w:left w:w="108" w:type="dxa"/>
              <w:right w:w="108" w:type="dxa"/>
            </w:tcMar>
            <w:vAlign w:val="center"/>
          </w:tcPr>
          <w:p w14:paraId="698BCD50">
            <w:pPr>
              <w:keepNext w:val="0"/>
              <w:keepLines w:val="0"/>
              <w:pageBreakBefore w:val="0"/>
              <w:widowControl/>
              <w:kinsoku/>
              <w:wordWrap/>
              <w:overflowPunct/>
              <w:topLinePunct w:val="0"/>
              <w:autoSpaceDE/>
              <w:autoSpaceDN/>
              <w:bidi w:val="0"/>
              <w:adjustRightInd/>
              <w:snapToGrid/>
              <w:spacing w:line="300" w:lineRule="exact"/>
              <w:ind w:left="-102" w:leftChars="-51"/>
              <w:textAlignment w:val="auto"/>
              <w:rPr>
                <w:rFonts w:ascii="Times New Roman" w:hAnsi="Times New Roman" w:eastAsia="黑体"/>
                <w:szCs w:val="21"/>
              </w:rPr>
            </w:pPr>
            <w:r>
              <w:rPr>
                <w:rFonts w:hint="eastAsia" w:ascii="Times New Roman" w:hAnsi="Times New Roman" w:eastAsia="黑体"/>
                <w:kern w:val="0"/>
                <w:szCs w:val="21"/>
              </w:rPr>
              <w:t>（五）不予处理</w:t>
            </w:r>
          </w:p>
        </w:tc>
        <w:tc>
          <w:tcPr>
            <w:tcW w:w="2976" w:type="dxa"/>
            <w:noWrap w:val="0"/>
            <w:tcMar>
              <w:left w:w="108" w:type="dxa"/>
              <w:right w:w="108" w:type="dxa"/>
            </w:tcMar>
            <w:vAlign w:val="center"/>
          </w:tcPr>
          <w:p w14:paraId="54677C6B">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1.信访举报投诉类申请</w:t>
            </w:r>
          </w:p>
        </w:tc>
        <w:tc>
          <w:tcPr>
            <w:tcW w:w="829" w:type="dxa"/>
            <w:noWrap w:val="0"/>
            <w:tcMar>
              <w:left w:w="108" w:type="dxa"/>
              <w:right w:w="108" w:type="dxa"/>
            </w:tcMar>
            <w:vAlign w:val="center"/>
          </w:tcPr>
          <w:p w14:paraId="738715A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295766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3A18BA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2CCDE2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38B1C08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262FBE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0469A2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7132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35B85BDA">
            <w:pPr>
              <w:rPr>
                <w:rFonts w:ascii="Times New Roman" w:hAnsi="Times New Roman" w:eastAsia="黑体"/>
                <w:szCs w:val="21"/>
              </w:rPr>
            </w:pPr>
          </w:p>
        </w:tc>
        <w:tc>
          <w:tcPr>
            <w:tcW w:w="1701" w:type="dxa"/>
            <w:vMerge w:val="continue"/>
            <w:noWrap w:val="0"/>
            <w:tcMar>
              <w:left w:w="108" w:type="dxa"/>
              <w:right w:w="108" w:type="dxa"/>
            </w:tcMar>
            <w:vAlign w:val="center"/>
          </w:tcPr>
          <w:p w14:paraId="780CE1F2">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78E75F11">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kern w:val="0"/>
                <w:szCs w:val="21"/>
              </w:rPr>
              <w:t>2.重复申请</w:t>
            </w:r>
          </w:p>
        </w:tc>
        <w:tc>
          <w:tcPr>
            <w:tcW w:w="829" w:type="dxa"/>
            <w:noWrap w:val="0"/>
            <w:tcMar>
              <w:left w:w="108" w:type="dxa"/>
              <w:right w:w="108" w:type="dxa"/>
            </w:tcMar>
            <w:vAlign w:val="center"/>
          </w:tcPr>
          <w:p w14:paraId="68E4EE4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2C4DDBE">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A816C3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411F54D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3B9903E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B750C7F">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6FFC11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64C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16" w:type="dxa"/>
            <w:vMerge w:val="continue"/>
            <w:noWrap w:val="0"/>
            <w:tcMar>
              <w:left w:w="108" w:type="dxa"/>
              <w:right w:w="108" w:type="dxa"/>
            </w:tcMar>
            <w:vAlign w:val="center"/>
          </w:tcPr>
          <w:p w14:paraId="57D49110">
            <w:pPr>
              <w:rPr>
                <w:rFonts w:ascii="Times New Roman" w:hAnsi="Times New Roman" w:eastAsia="黑体"/>
                <w:szCs w:val="21"/>
              </w:rPr>
            </w:pPr>
          </w:p>
        </w:tc>
        <w:tc>
          <w:tcPr>
            <w:tcW w:w="1701" w:type="dxa"/>
            <w:vMerge w:val="continue"/>
            <w:noWrap w:val="0"/>
            <w:tcMar>
              <w:left w:w="108" w:type="dxa"/>
              <w:right w:w="108" w:type="dxa"/>
            </w:tcMar>
            <w:vAlign w:val="center"/>
          </w:tcPr>
          <w:p w14:paraId="23EA7A5F">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0E797330">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3.要求提供公开出版物</w:t>
            </w:r>
          </w:p>
        </w:tc>
        <w:tc>
          <w:tcPr>
            <w:tcW w:w="829" w:type="dxa"/>
            <w:noWrap w:val="0"/>
            <w:tcMar>
              <w:left w:w="108" w:type="dxa"/>
              <w:right w:w="108" w:type="dxa"/>
            </w:tcMar>
            <w:vAlign w:val="center"/>
          </w:tcPr>
          <w:p w14:paraId="7F4CA47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AC1ECC3">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021C5D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62F621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B766C4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7B715D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BE833D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40B3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exact"/>
        </w:trPr>
        <w:tc>
          <w:tcPr>
            <w:tcW w:w="416" w:type="dxa"/>
            <w:vMerge w:val="continue"/>
            <w:noWrap w:val="0"/>
            <w:tcMar>
              <w:left w:w="108" w:type="dxa"/>
              <w:right w:w="108" w:type="dxa"/>
            </w:tcMar>
            <w:vAlign w:val="center"/>
          </w:tcPr>
          <w:p w14:paraId="71D7A5C8">
            <w:pPr>
              <w:rPr>
                <w:rFonts w:ascii="Times New Roman" w:hAnsi="Times New Roman" w:eastAsia="黑体"/>
                <w:szCs w:val="21"/>
              </w:rPr>
            </w:pPr>
          </w:p>
        </w:tc>
        <w:tc>
          <w:tcPr>
            <w:tcW w:w="1701" w:type="dxa"/>
            <w:vMerge w:val="continue"/>
            <w:noWrap w:val="0"/>
            <w:tcMar>
              <w:left w:w="108" w:type="dxa"/>
              <w:right w:w="108" w:type="dxa"/>
            </w:tcMar>
            <w:vAlign w:val="center"/>
          </w:tcPr>
          <w:p w14:paraId="0DFB8D14">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11F35ED1">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4.无正当理由大量反复申请</w:t>
            </w:r>
          </w:p>
        </w:tc>
        <w:tc>
          <w:tcPr>
            <w:tcW w:w="829" w:type="dxa"/>
            <w:noWrap w:val="0"/>
            <w:tcMar>
              <w:left w:w="108" w:type="dxa"/>
              <w:right w:w="108" w:type="dxa"/>
            </w:tcMar>
            <w:vAlign w:val="center"/>
          </w:tcPr>
          <w:p w14:paraId="36724AB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D3675E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D1FF2B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589B209">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F31126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095121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5411996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0FE7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416" w:type="dxa"/>
            <w:vMerge w:val="continue"/>
            <w:noWrap w:val="0"/>
            <w:tcMar>
              <w:left w:w="108" w:type="dxa"/>
              <w:right w:w="108" w:type="dxa"/>
            </w:tcMar>
            <w:vAlign w:val="center"/>
          </w:tcPr>
          <w:p w14:paraId="24122B77">
            <w:pPr>
              <w:rPr>
                <w:rFonts w:ascii="Times New Roman" w:hAnsi="Times New Roman" w:eastAsia="黑体"/>
                <w:szCs w:val="21"/>
              </w:rPr>
            </w:pPr>
          </w:p>
        </w:tc>
        <w:tc>
          <w:tcPr>
            <w:tcW w:w="1701" w:type="dxa"/>
            <w:vMerge w:val="continue"/>
            <w:noWrap w:val="0"/>
            <w:tcMar>
              <w:left w:w="108" w:type="dxa"/>
              <w:right w:w="108" w:type="dxa"/>
            </w:tcMar>
            <w:vAlign w:val="center"/>
          </w:tcPr>
          <w:p w14:paraId="7BD18E68">
            <w:pPr>
              <w:keepNext w:val="0"/>
              <w:keepLines w:val="0"/>
              <w:pageBreakBefore w:val="0"/>
              <w:kinsoku/>
              <w:wordWrap/>
              <w:overflowPunct/>
              <w:topLinePunct w:val="0"/>
              <w:autoSpaceDE/>
              <w:autoSpaceDN/>
              <w:bidi w:val="0"/>
              <w:adjustRightInd/>
              <w:snapToGrid/>
              <w:spacing w:line="300" w:lineRule="exact"/>
              <w:textAlignment w:val="auto"/>
              <w:rPr>
                <w:rFonts w:ascii="Times New Roman" w:hAnsi="Times New Roman" w:eastAsia="黑体"/>
                <w:szCs w:val="21"/>
              </w:rPr>
            </w:pPr>
          </w:p>
        </w:tc>
        <w:tc>
          <w:tcPr>
            <w:tcW w:w="2976" w:type="dxa"/>
            <w:noWrap w:val="0"/>
            <w:tcMar>
              <w:left w:w="108" w:type="dxa"/>
              <w:right w:w="108" w:type="dxa"/>
            </w:tcMar>
            <w:vAlign w:val="center"/>
          </w:tcPr>
          <w:p w14:paraId="11743CB4">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szCs w:val="21"/>
              </w:rPr>
            </w:pPr>
            <w:r>
              <w:rPr>
                <w:rFonts w:hint="eastAsia" w:ascii="Times New Roman" w:hAnsi="Times New Roman" w:eastAsia="仿宋_GB2312"/>
                <w:kern w:val="0"/>
                <w:szCs w:val="21"/>
              </w:rPr>
              <w:t>5.要求行政机关确认或重新出具已获取信息</w:t>
            </w:r>
          </w:p>
        </w:tc>
        <w:tc>
          <w:tcPr>
            <w:tcW w:w="829" w:type="dxa"/>
            <w:noWrap w:val="0"/>
            <w:tcMar>
              <w:left w:w="108" w:type="dxa"/>
              <w:right w:w="108" w:type="dxa"/>
            </w:tcMar>
            <w:vAlign w:val="center"/>
          </w:tcPr>
          <w:p w14:paraId="5EB83FE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1E4428C">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29C7669">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29A8E64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66A0CF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184220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7867FFF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777E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3C9E9A01">
            <w:pPr>
              <w:rPr>
                <w:rFonts w:ascii="Times New Roman" w:hAnsi="Times New Roman" w:eastAsia="黑体"/>
                <w:szCs w:val="21"/>
              </w:rPr>
            </w:pPr>
          </w:p>
        </w:tc>
        <w:tc>
          <w:tcPr>
            <w:tcW w:w="1701" w:type="dxa"/>
            <w:vMerge w:val="restart"/>
            <w:noWrap w:val="0"/>
            <w:tcMar>
              <w:left w:w="108" w:type="dxa"/>
              <w:right w:w="108" w:type="dxa"/>
            </w:tcMar>
            <w:vAlign w:val="center"/>
          </w:tcPr>
          <w:p w14:paraId="35908774">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黑体"/>
                <w:kern w:val="0"/>
                <w:szCs w:val="21"/>
              </w:rPr>
            </w:pPr>
            <w:r>
              <w:rPr>
                <w:rFonts w:hint="eastAsia" w:ascii="Times New Roman" w:hAnsi="Times New Roman" w:eastAsia="黑体"/>
                <w:kern w:val="0"/>
                <w:szCs w:val="21"/>
              </w:rPr>
              <w:t>（六）其他处理</w:t>
            </w:r>
          </w:p>
        </w:tc>
        <w:tc>
          <w:tcPr>
            <w:tcW w:w="2976" w:type="dxa"/>
            <w:noWrap w:val="0"/>
            <w:vAlign w:val="center"/>
          </w:tcPr>
          <w:p w14:paraId="4436193F">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rPr>
            </w:pPr>
            <w:r>
              <w:rPr>
                <w:rFonts w:hint="eastAsia" w:ascii="Times New Roman" w:hAnsi="Times New Roman" w:eastAsia="仿宋_GB2312"/>
              </w:rPr>
              <w:t>1.申请人无正当理由逾期不补正、行政机关不再处理其政府信息公开申请</w:t>
            </w:r>
          </w:p>
        </w:tc>
        <w:tc>
          <w:tcPr>
            <w:tcW w:w="829" w:type="dxa"/>
            <w:noWrap w:val="0"/>
            <w:tcMar>
              <w:left w:w="108" w:type="dxa"/>
              <w:right w:w="108" w:type="dxa"/>
            </w:tcMar>
            <w:vAlign w:val="center"/>
          </w:tcPr>
          <w:p w14:paraId="11D75447">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0E96E5EB">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10E912F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693B58D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F90571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5E99A4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1458CF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306C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59898024">
            <w:pPr>
              <w:rPr>
                <w:rFonts w:ascii="Times New Roman" w:hAnsi="Times New Roman" w:eastAsia="黑体"/>
                <w:szCs w:val="21"/>
              </w:rPr>
            </w:pPr>
          </w:p>
        </w:tc>
        <w:tc>
          <w:tcPr>
            <w:tcW w:w="1701" w:type="dxa"/>
            <w:vMerge w:val="continue"/>
            <w:noWrap w:val="0"/>
            <w:tcMar>
              <w:left w:w="108" w:type="dxa"/>
              <w:right w:w="108" w:type="dxa"/>
            </w:tcMar>
            <w:vAlign w:val="center"/>
          </w:tcPr>
          <w:p w14:paraId="56763F95">
            <w:pPr>
              <w:widowControl/>
              <w:spacing w:line="300" w:lineRule="exact"/>
              <w:rPr>
                <w:rFonts w:ascii="Times New Roman" w:hAnsi="Times New Roman" w:eastAsia="黑体"/>
                <w:kern w:val="0"/>
                <w:szCs w:val="21"/>
              </w:rPr>
            </w:pPr>
          </w:p>
        </w:tc>
        <w:tc>
          <w:tcPr>
            <w:tcW w:w="2976" w:type="dxa"/>
            <w:noWrap w:val="0"/>
            <w:vAlign w:val="center"/>
          </w:tcPr>
          <w:p w14:paraId="3B9255FD">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2.申请人逾期未按收费通知要求缴纳费用、行政机关不再处理其政府信息公开申请</w:t>
            </w:r>
          </w:p>
        </w:tc>
        <w:tc>
          <w:tcPr>
            <w:tcW w:w="829" w:type="dxa"/>
            <w:noWrap w:val="0"/>
            <w:tcMar>
              <w:left w:w="108" w:type="dxa"/>
              <w:right w:w="108" w:type="dxa"/>
            </w:tcMar>
            <w:vAlign w:val="center"/>
          </w:tcPr>
          <w:p w14:paraId="144D53C5">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4A36DA2A">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FB3610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79C780ED">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2A695EF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2A7642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399FC92B">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6B87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29A1BD42">
            <w:pPr>
              <w:rPr>
                <w:rFonts w:ascii="Times New Roman" w:hAnsi="Times New Roman" w:eastAsia="黑体"/>
                <w:szCs w:val="21"/>
              </w:rPr>
            </w:pPr>
          </w:p>
        </w:tc>
        <w:tc>
          <w:tcPr>
            <w:tcW w:w="1701" w:type="dxa"/>
            <w:vMerge w:val="continue"/>
            <w:noWrap w:val="0"/>
            <w:tcMar>
              <w:left w:w="108" w:type="dxa"/>
              <w:right w:w="108" w:type="dxa"/>
            </w:tcMar>
            <w:vAlign w:val="center"/>
          </w:tcPr>
          <w:p w14:paraId="3239DAB9">
            <w:pPr>
              <w:widowControl/>
              <w:spacing w:line="300" w:lineRule="exact"/>
              <w:rPr>
                <w:rFonts w:ascii="Times New Roman" w:hAnsi="Times New Roman" w:eastAsia="黑体"/>
                <w:kern w:val="0"/>
                <w:szCs w:val="21"/>
              </w:rPr>
            </w:pPr>
          </w:p>
        </w:tc>
        <w:tc>
          <w:tcPr>
            <w:tcW w:w="2976" w:type="dxa"/>
            <w:noWrap w:val="0"/>
            <w:vAlign w:val="center"/>
          </w:tcPr>
          <w:p w14:paraId="3A5C8A92">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eastAsia="仿宋_GB2312"/>
                <w:kern w:val="0"/>
                <w:szCs w:val="21"/>
              </w:rPr>
            </w:pPr>
            <w:r>
              <w:rPr>
                <w:rFonts w:hint="eastAsia" w:ascii="Times New Roman" w:hAnsi="Times New Roman" w:eastAsia="仿宋_GB2312"/>
              </w:rPr>
              <w:t>3.其他</w:t>
            </w:r>
          </w:p>
        </w:tc>
        <w:tc>
          <w:tcPr>
            <w:tcW w:w="829" w:type="dxa"/>
            <w:noWrap w:val="0"/>
            <w:tcMar>
              <w:left w:w="108" w:type="dxa"/>
              <w:right w:w="108" w:type="dxa"/>
            </w:tcMar>
            <w:vAlign w:val="center"/>
          </w:tcPr>
          <w:p w14:paraId="1AC182B6">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18D5D19">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20688B2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52A325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79DDFF91">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300B2780">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17C7DA0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77E5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16" w:type="dxa"/>
            <w:vMerge w:val="continue"/>
            <w:noWrap w:val="0"/>
            <w:tcMar>
              <w:left w:w="108" w:type="dxa"/>
              <w:right w:w="108" w:type="dxa"/>
            </w:tcMar>
            <w:vAlign w:val="center"/>
          </w:tcPr>
          <w:p w14:paraId="71B569C9">
            <w:pPr>
              <w:rPr>
                <w:rFonts w:ascii="Times New Roman" w:hAnsi="Times New Roman" w:eastAsia="黑体"/>
                <w:szCs w:val="21"/>
              </w:rPr>
            </w:pPr>
          </w:p>
        </w:tc>
        <w:tc>
          <w:tcPr>
            <w:tcW w:w="4677" w:type="dxa"/>
            <w:gridSpan w:val="2"/>
            <w:noWrap w:val="0"/>
            <w:tcMar>
              <w:left w:w="108" w:type="dxa"/>
              <w:right w:w="108" w:type="dxa"/>
            </w:tcMar>
            <w:vAlign w:val="center"/>
          </w:tcPr>
          <w:p w14:paraId="20B90148">
            <w:pPr>
              <w:widowControl/>
              <w:spacing w:line="300" w:lineRule="exact"/>
              <w:rPr>
                <w:rFonts w:ascii="Times New Roman" w:hAnsi="Times New Roman" w:eastAsia="黑体"/>
                <w:kern w:val="0"/>
                <w:szCs w:val="21"/>
              </w:rPr>
            </w:pPr>
            <w:r>
              <w:rPr>
                <w:rFonts w:hint="eastAsia" w:ascii="Times New Roman" w:hAnsi="Times New Roman" w:eastAsia="黑体"/>
                <w:kern w:val="0"/>
                <w:szCs w:val="21"/>
              </w:rPr>
              <w:t>（七）总计</w:t>
            </w:r>
          </w:p>
        </w:tc>
        <w:tc>
          <w:tcPr>
            <w:tcW w:w="829" w:type="dxa"/>
            <w:noWrap w:val="0"/>
            <w:tcMar>
              <w:left w:w="108" w:type="dxa"/>
              <w:right w:w="108" w:type="dxa"/>
            </w:tcMar>
            <w:vAlign w:val="center"/>
          </w:tcPr>
          <w:p w14:paraId="59EA706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6E6E701F">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712C502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31" w:type="dxa"/>
            <w:noWrap w:val="0"/>
            <w:tcMar>
              <w:left w:w="108" w:type="dxa"/>
              <w:right w:w="108" w:type="dxa"/>
            </w:tcMar>
            <w:vAlign w:val="center"/>
          </w:tcPr>
          <w:p w14:paraId="03875AE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708" w:type="dxa"/>
            <w:noWrap w:val="0"/>
            <w:tcMar>
              <w:left w:w="108" w:type="dxa"/>
              <w:right w:w="108" w:type="dxa"/>
            </w:tcMar>
            <w:vAlign w:val="center"/>
          </w:tcPr>
          <w:p w14:paraId="065DF3E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567" w:type="dxa"/>
            <w:noWrap w:val="0"/>
            <w:tcMar>
              <w:left w:w="108" w:type="dxa"/>
              <w:right w:w="108" w:type="dxa"/>
            </w:tcMar>
            <w:vAlign w:val="center"/>
          </w:tcPr>
          <w:p w14:paraId="51702CC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851" w:type="dxa"/>
            <w:noWrap w:val="0"/>
            <w:tcMar>
              <w:left w:w="108" w:type="dxa"/>
              <w:right w:w="108" w:type="dxa"/>
            </w:tcMar>
            <w:vAlign w:val="center"/>
          </w:tcPr>
          <w:p w14:paraId="21012F0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r w14:paraId="578D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93" w:type="dxa"/>
            <w:gridSpan w:val="3"/>
            <w:noWrap w:val="0"/>
            <w:tcMar>
              <w:left w:w="108" w:type="dxa"/>
              <w:right w:w="108" w:type="dxa"/>
            </w:tcMar>
            <w:vAlign w:val="center"/>
          </w:tcPr>
          <w:p w14:paraId="0680C156">
            <w:pPr>
              <w:widowControl/>
              <w:spacing w:line="300" w:lineRule="exact"/>
              <w:rPr>
                <w:rFonts w:ascii="Times New Roman" w:hAnsi="Times New Roman" w:eastAsia="黑体"/>
                <w:kern w:val="0"/>
                <w:szCs w:val="21"/>
              </w:rPr>
            </w:pPr>
            <w:r>
              <w:rPr>
                <w:rFonts w:hint="eastAsia" w:ascii="Times New Roman" w:hAnsi="Times New Roman" w:eastAsia="黑体"/>
                <w:kern w:val="0"/>
                <w:szCs w:val="21"/>
              </w:rPr>
              <w:t>四、结转下年度继续办理</w:t>
            </w:r>
          </w:p>
        </w:tc>
        <w:tc>
          <w:tcPr>
            <w:tcW w:w="829" w:type="dxa"/>
            <w:noWrap w:val="0"/>
            <w:tcMar>
              <w:left w:w="108" w:type="dxa"/>
              <w:right w:w="108" w:type="dxa"/>
            </w:tcMar>
            <w:vAlign w:val="center"/>
          </w:tcPr>
          <w:p w14:paraId="25720E3D">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1</w:t>
            </w:r>
          </w:p>
        </w:tc>
        <w:tc>
          <w:tcPr>
            <w:tcW w:w="567" w:type="dxa"/>
            <w:noWrap w:val="0"/>
            <w:tcMar>
              <w:left w:w="108" w:type="dxa"/>
              <w:right w:w="108" w:type="dxa"/>
            </w:tcMar>
            <w:vAlign w:val="center"/>
          </w:tcPr>
          <w:p w14:paraId="723549D1">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26F0494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31" w:type="dxa"/>
            <w:noWrap w:val="0"/>
            <w:tcMar>
              <w:left w:w="108" w:type="dxa"/>
              <w:right w:w="108" w:type="dxa"/>
            </w:tcMar>
            <w:vAlign w:val="center"/>
          </w:tcPr>
          <w:p w14:paraId="741B14C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708" w:type="dxa"/>
            <w:noWrap w:val="0"/>
            <w:tcMar>
              <w:left w:w="108" w:type="dxa"/>
              <w:right w:w="108" w:type="dxa"/>
            </w:tcMar>
            <w:vAlign w:val="center"/>
          </w:tcPr>
          <w:p w14:paraId="146C4BBA">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567" w:type="dxa"/>
            <w:noWrap w:val="0"/>
            <w:tcMar>
              <w:left w:w="108" w:type="dxa"/>
              <w:right w:w="108" w:type="dxa"/>
            </w:tcMar>
            <w:vAlign w:val="center"/>
          </w:tcPr>
          <w:p w14:paraId="46DF9B7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0</w:t>
            </w:r>
          </w:p>
        </w:tc>
        <w:tc>
          <w:tcPr>
            <w:tcW w:w="851" w:type="dxa"/>
            <w:noWrap w:val="0"/>
            <w:tcMar>
              <w:left w:w="108" w:type="dxa"/>
              <w:right w:w="108" w:type="dxa"/>
            </w:tcMar>
            <w:vAlign w:val="center"/>
          </w:tcPr>
          <w:p w14:paraId="5F567DA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_GB2312"/>
                <w:color w:val="000000"/>
                <w:szCs w:val="21"/>
                <w:lang w:val="en-US" w:eastAsia="zh-CN"/>
              </w:rPr>
            </w:pPr>
            <w:r>
              <w:rPr>
                <w:rFonts w:hint="eastAsia" w:ascii="Times New Roman" w:hAnsi="Times New Roman" w:eastAsia="仿宋_GB2312"/>
                <w:color w:val="000000"/>
                <w:szCs w:val="21"/>
                <w:lang w:val="en-US" w:eastAsia="zh-CN"/>
              </w:rPr>
              <w:t>1</w:t>
            </w:r>
          </w:p>
        </w:tc>
      </w:tr>
    </w:tbl>
    <w:p w14:paraId="343BDA12">
      <w:pPr>
        <w:keepNext w:val="0"/>
        <w:keepLines w:val="0"/>
        <w:pageBreakBefore w:val="0"/>
        <w:widowControl w:val="0"/>
        <w:kinsoku/>
        <w:wordWrap/>
        <w:overflowPunct/>
        <w:topLinePunct w:val="0"/>
        <w:autoSpaceDE/>
        <w:autoSpaceDN/>
        <w:bidi w:val="0"/>
        <w:adjustRightInd/>
        <w:snapToGrid/>
        <w:spacing w:line="590" w:lineRule="exact"/>
        <w:ind w:firstLine="643" w:firstLineChars="200"/>
        <w:textAlignment w:val="auto"/>
        <w:rPr>
          <w:rFonts w:eastAsia="方正黑体简体"/>
          <w:b/>
          <w:color w:val="FF0000"/>
          <w:sz w:val="32"/>
          <w:szCs w:val="32"/>
        </w:rPr>
      </w:pPr>
      <w:r>
        <w:rPr>
          <w:rFonts w:eastAsia="方正黑体简体"/>
          <w:b/>
          <w:sz w:val="32"/>
          <w:szCs w:val="32"/>
        </w:rPr>
        <w:t>四、政府信息公开行政复议、行政诉讼情况</w:t>
      </w:r>
    </w:p>
    <w:tbl>
      <w:tblPr>
        <w:tblStyle w:val="1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0955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074" w:type="dxa"/>
            <w:gridSpan w:val="5"/>
            <w:noWrap w:val="0"/>
            <w:tcMar>
              <w:left w:w="108" w:type="dxa"/>
              <w:right w:w="108" w:type="dxa"/>
            </w:tcMar>
            <w:vAlign w:val="center"/>
          </w:tcPr>
          <w:p w14:paraId="660BAB39">
            <w:pPr>
              <w:widowControl/>
              <w:jc w:val="center"/>
              <w:rPr>
                <w:rFonts w:ascii="黑体" w:hAnsi="黑体" w:eastAsia="黑体"/>
              </w:rPr>
            </w:pPr>
            <w:r>
              <w:rPr>
                <w:rFonts w:ascii="黑体" w:hAnsi="黑体" w:eastAsia="黑体"/>
                <w:kern w:val="0"/>
                <w:sz w:val="20"/>
                <w:szCs w:val="20"/>
              </w:rPr>
              <w:t>行政复议</w:t>
            </w:r>
          </w:p>
        </w:tc>
        <w:tc>
          <w:tcPr>
            <w:tcW w:w="5997" w:type="dxa"/>
            <w:gridSpan w:val="10"/>
            <w:noWrap w:val="0"/>
            <w:tcMar>
              <w:left w:w="108" w:type="dxa"/>
              <w:right w:w="108" w:type="dxa"/>
            </w:tcMar>
            <w:vAlign w:val="center"/>
          </w:tcPr>
          <w:p w14:paraId="28FBCC36">
            <w:pPr>
              <w:widowControl/>
              <w:jc w:val="center"/>
              <w:rPr>
                <w:rFonts w:ascii="黑体" w:hAnsi="黑体" w:eastAsia="黑体"/>
              </w:rPr>
            </w:pPr>
            <w:r>
              <w:rPr>
                <w:rFonts w:ascii="黑体" w:hAnsi="黑体" w:eastAsia="黑体"/>
                <w:kern w:val="0"/>
                <w:sz w:val="20"/>
                <w:szCs w:val="20"/>
              </w:rPr>
              <w:t>行政诉讼</w:t>
            </w:r>
          </w:p>
        </w:tc>
      </w:tr>
      <w:tr w14:paraId="4067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604" w:type="dxa"/>
            <w:vMerge w:val="restart"/>
            <w:noWrap w:val="0"/>
            <w:tcMar>
              <w:left w:w="108" w:type="dxa"/>
              <w:right w:w="108" w:type="dxa"/>
            </w:tcMar>
            <w:vAlign w:val="center"/>
          </w:tcPr>
          <w:p w14:paraId="3E84230A">
            <w:pPr>
              <w:widowControl/>
              <w:ind w:left="-142" w:leftChars="-71" w:right="-162" w:rightChars="-81"/>
              <w:jc w:val="center"/>
              <w:rPr>
                <w:rFonts w:ascii="黑体" w:hAnsi="黑体" w:eastAsia="黑体"/>
                <w:kern w:val="0"/>
                <w:sz w:val="20"/>
                <w:szCs w:val="20"/>
              </w:rPr>
            </w:pPr>
            <w:r>
              <w:rPr>
                <w:rFonts w:ascii="黑体" w:hAnsi="黑体" w:eastAsia="黑体"/>
                <w:kern w:val="0"/>
                <w:sz w:val="20"/>
                <w:szCs w:val="20"/>
              </w:rPr>
              <w:t>结果</w:t>
            </w:r>
          </w:p>
          <w:p w14:paraId="6C5CBE61">
            <w:pPr>
              <w:widowControl/>
              <w:ind w:left="-142" w:leftChars="-71" w:right="-162" w:rightChars="-81"/>
              <w:jc w:val="center"/>
              <w:rPr>
                <w:rFonts w:ascii="黑体" w:hAnsi="黑体" w:eastAsia="黑体"/>
              </w:rPr>
            </w:pPr>
            <w:r>
              <w:rPr>
                <w:rFonts w:ascii="黑体" w:hAnsi="黑体" w:eastAsia="黑体"/>
                <w:kern w:val="0"/>
                <w:sz w:val="20"/>
                <w:szCs w:val="20"/>
              </w:rPr>
              <w:t>维持</w:t>
            </w:r>
          </w:p>
        </w:tc>
        <w:tc>
          <w:tcPr>
            <w:tcW w:w="604" w:type="dxa"/>
            <w:vMerge w:val="restart"/>
            <w:noWrap w:val="0"/>
            <w:tcMar>
              <w:left w:w="108" w:type="dxa"/>
              <w:right w:w="108" w:type="dxa"/>
            </w:tcMar>
            <w:vAlign w:val="center"/>
          </w:tcPr>
          <w:p w14:paraId="20439C18">
            <w:pPr>
              <w:widowControl/>
              <w:ind w:left="-41" w:leftChars="-21" w:right="-126"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noWrap w:val="0"/>
            <w:tcMar>
              <w:left w:w="108" w:type="dxa"/>
              <w:right w:w="108" w:type="dxa"/>
            </w:tcMar>
            <w:vAlign w:val="center"/>
          </w:tcPr>
          <w:p w14:paraId="752B2C2E">
            <w:pPr>
              <w:widowControl/>
              <w:ind w:left="-78" w:leftChars="-39" w:right="-92" w:rightChars="-46"/>
              <w:jc w:val="center"/>
              <w:rPr>
                <w:rFonts w:ascii="黑体" w:hAnsi="黑体" w:eastAsia="黑体"/>
              </w:rPr>
            </w:pPr>
            <w:r>
              <w:rPr>
                <w:rFonts w:ascii="黑体" w:hAnsi="黑体" w:eastAsia="黑体"/>
                <w:kern w:val="0"/>
                <w:sz w:val="20"/>
                <w:szCs w:val="20"/>
              </w:rPr>
              <w:t>其他结果</w:t>
            </w:r>
          </w:p>
        </w:tc>
        <w:tc>
          <w:tcPr>
            <w:tcW w:w="604" w:type="dxa"/>
            <w:vMerge w:val="restart"/>
            <w:noWrap w:val="0"/>
            <w:tcMar>
              <w:left w:w="108" w:type="dxa"/>
              <w:right w:w="108" w:type="dxa"/>
            </w:tcMar>
            <w:vAlign w:val="center"/>
          </w:tcPr>
          <w:p w14:paraId="49472932">
            <w:pPr>
              <w:widowControl/>
              <w:ind w:left="-112" w:leftChars="-56" w:right="-112" w:rightChars="-56"/>
              <w:jc w:val="center"/>
              <w:rPr>
                <w:rFonts w:ascii="黑体" w:hAnsi="黑体" w:eastAsia="黑体"/>
                <w:kern w:val="0"/>
                <w:sz w:val="20"/>
                <w:szCs w:val="20"/>
              </w:rPr>
            </w:pPr>
            <w:r>
              <w:rPr>
                <w:rFonts w:ascii="黑体" w:hAnsi="黑体" w:eastAsia="黑体"/>
                <w:kern w:val="0"/>
                <w:sz w:val="20"/>
                <w:szCs w:val="20"/>
              </w:rPr>
              <w:t>尚未</w:t>
            </w:r>
          </w:p>
          <w:p w14:paraId="775DD08B">
            <w:pPr>
              <w:widowControl/>
              <w:ind w:left="-112" w:leftChars="-56" w:right="-112" w:rightChars="-56"/>
              <w:jc w:val="center"/>
              <w:rPr>
                <w:rFonts w:ascii="黑体" w:hAnsi="黑体" w:eastAsia="黑体"/>
              </w:rPr>
            </w:pPr>
            <w:r>
              <w:rPr>
                <w:rFonts w:ascii="黑体" w:hAnsi="黑体" w:eastAsia="黑体"/>
                <w:kern w:val="0"/>
                <w:sz w:val="20"/>
                <w:szCs w:val="20"/>
              </w:rPr>
              <w:t>审结</w:t>
            </w:r>
          </w:p>
        </w:tc>
        <w:tc>
          <w:tcPr>
            <w:tcW w:w="658" w:type="dxa"/>
            <w:vMerge w:val="restart"/>
            <w:noWrap w:val="0"/>
            <w:tcMar>
              <w:left w:w="108" w:type="dxa"/>
              <w:right w:w="108" w:type="dxa"/>
            </w:tcMar>
            <w:vAlign w:val="center"/>
          </w:tcPr>
          <w:p w14:paraId="013DCF41">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04FD2091">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noWrap w:val="0"/>
            <w:tcMar>
              <w:left w:w="108" w:type="dxa"/>
              <w:right w:w="108" w:type="dxa"/>
            </w:tcMar>
            <w:vAlign w:val="center"/>
          </w:tcPr>
          <w:p w14:paraId="255206DD">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noWrap w:val="0"/>
            <w:tcMar>
              <w:left w:w="108" w:type="dxa"/>
              <w:right w:w="108" w:type="dxa"/>
            </w:tcMar>
            <w:vAlign w:val="center"/>
          </w:tcPr>
          <w:p w14:paraId="141FC14A">
            <w:pPr>
              <w:widowControl/>
              <w:jc w:val="center"/>
              <w:rPr>
                <w:rFonts w:ascii="黑体" w:hAnsi="黑体" w:eastAsia="黑体"/>
              </w:rPr>
            </w:pPr>
            <w:bookmarkStart w:id="0" w:name="_Hlk67039688"/>
            <w:r>
              <w:rPr>
                <w:rFonts w:ascii="黑体" w:hAnsi="黑体" w:eastAsia="黑体"/>
                <w:kern w:val="0"/>
                <w:sz w:val="20"/>
                <w:szCs w:val="20"/>
              </w:rPr>
              <w:t>复议后起诉</w:t>
            </w:r>
            <w:bookmarkEnd w:id="0"/>
          </w:p>
        </w:tc>
      </w:tr>
      <w:tr w14:paraId="6FF0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 w:hRule="atLeast"/>
          <w:jc w:val="center"/>
        </w:trPr>
        <w:tc>
          <w:tcPr>
            <w:tcW w:w="604" w:type="dxa"/>
            <w:vMerge w:val="continue"/>
            <w:noWrap w:val="0"/>
            <w:tcMar>
              <w:left w:w="108" w:type="dxa"/>
              <w:right w:w="108" w:type="dxa"/>
            </w:tcMar>
            <w:vAlign w:val="center"/>
          </w:tcPr>
          <w:p w14:paraId="652A1AF1">
            <w:pPr>
              <w:rPr>
                <w:rFonts w:ascii="黑体" w:hAnsi="黑体" w:eastAsia="黑体"/>
                <w:sz w:val="24"/>
              </w:rPr>
            </w:pPr>
          </w:p>
        </w:tc>
        <w:tc>
          <w:tcPr>
            <w:tcW w:w="604" w:type="dxa"/>
            <w:vMerge w:val="continue"/>
            <w:noWrap w:val="0"/>
            <w:tcMar>
              <w:left w:w="108" w:type="dxa"/>
              <w:right w:w="108" w:type="dxa"/>
            </w:tcMar>
            <w:vAlign w:val="center"/>
          </w:tcPr>
          <w:p w14:paraId="73ED2989">
            <w:pPr>
              <w:rPr>
                <w:rFonts w:ascii="黑体" w:hAnsi="黑体" w:eastAsia="黑体"/>
                <w:sz w:val="24"/>
              </w:rPr>
            </w:pPr>
          </w:p>
        </w:tc>
        <w:tc>
          <w:tcPr>
            <w:tcW w:w="604" w:type="dxa"/>
            <w:vMerge w:val="continue"/>
            <w:noWrap w:val="0"/>
            <w:tcMar>
              <w:left w:w="108" w:type="dxa"/>
              <w:right w:w="108" w:type="dxa"/>
            </w:tcMar>
            <w:vAlign w:val="center"/>
          </w:tcPr>
          <w:p w14:paraId="2ADED7EB">
            <w:pPr>
              <w:rPr>
                <w:rFonts w:ascii="黑体" w:hAnsi="黑体" w:eastAsia="黑体"/>
                <w:sz w:val="24"/>
              </w:rPr>
            </w:pPr>
          </w:p>
        </w:tc>
        <w:tc>
          <w:tcPr>
            <w:tcW w:w="604" w:type="dxa"/>
            <w:vMerge w:val="continue"/>
            <w:noWrap w:val="0"/>
            <w:tcMar>
              <w:left w:w="108" w:type="dxa"/>
              <w:right w:w="108" w:type="dxa"/>
            </w:tcMar>
            <w:vAlign w:val="center"/>
          </w:tcPr>
          <w:p w14:paraId="3ABA140D">
            <w:pPr>
              <w:rPr>
                <w:rFonts w:ascii="黑体" w:hAnsi="黑体" w:eastAsia="黑体"/>
                <w:sz w:val="24"/>
              </w:rPr>
            </w:pPr>
          </w:p>
        </w:tc>
        <w:tc>
          <w:tcPr>
            <w:tcW w:w="658" w:type="dxa"/>
            <w:vMerge w:val="continue"/>
            <w:noWrap w:val="0"/>
            <w:tcMar>
              <w:left w:w="108" w:type="dxa"/>
              <w:right w:w="108" w:type="dxa"/>
            </w:tcMar>
            <w:vAlign w:val="center"/>
          </w:tcPr>
          <w:p w14:paraId="5F19D8F9">
            <w:pPr>
              <w:rPr>
                <w:rFonts w:ascii="黑体" w:hAnsi="黑体" w:eastAsia="黑体"/>
                <w:sz w:val="24"/>
              </w:rPr>
            </w:pPr>
          </w:p>
        </w:tc>
        <w:tc>
          <w:tcPr>
            <w:tcW w:w="550" w:type="dxa"/>
            <w:noWrap w:val="0"/>
            <w:tcMar>
              <w:left w:w="108" w:type="dxa"/>
              <w:right w:w="108" w:type="dxa"/>
            </w:tcMar>
            <w:vAlign w:val="center"/>
          </w:tcPr>
          <w:p w14:paraId="14358B8F">
            <w:pPr>
              <w:widowControl/>
              <w:ind w:left="-100" w:leftChars="-50" w:right="-120" w:rightChars="-60"/>
              <w:jc w:val="center"/>
              <w:rPr>
                <w:rFonts w:ascii="黑体" w:hAnsi="黑体" w:eastAsia="黑体"/>
              </w:rPr>
            </w:pPr>
            <w:r>
              <w:rPr>
                <w:rFonts w:ascii="黑体" w:hAnsi="黑体" w:eastAsia="黑体"/>
                <w:kern w:val="0"/>
                <w:sz w:val="20"/>
                <w:szCs w:val="20"/>
              </w:rPr>
              <w:t>结果维持</w:t>
            </w:r>
          </w:p>
        </w:tc>
        <w:tc>
          <w:tcPr>
            <w:tcW w:w="605" w:type="dxa"/>
            <w:noWrap w:val="0"/>
            <w:tcMar>
              <w:left w:w="108" w:type="dxa"/>
              <w:right w:w="108" w:type="dxa"/>
            </w:tcMar>
            <w:vAlign w:val="center"/>
          </w:tcPr>
          <w:p w14:paraId="420741E9">
            <w:pPr>
              <w:widowControl/>
              <w:ind w:left="-82" w:leftChars="-41" w:right="-84" w:rightChars="-42"/>
              <w:jc w:val="center"/>
              <w:rPr>
                <w:rFonts w:ascii="黑体" w:hAnsi="黑体" w:eastAsia="黑体"/>
              </w:rPr>
            </w:pPr>
            <w:r>
              <w:rPr>
                <w:rFonts w:ascii="黑体" w:hAnsi="黑体" w:eastAsia="黑体"/>
                <w:kern w:val="0"/>
                <w:sz w:val="20"/>
                <w:szCs w:val="20"/>
              </w:rPr>
              <w:t>结果纠正</w:t>
            </w:r>
          </w:p>
        </w:tc>
        <w:tc>
          <w:tcPr>
            <w:tcW w:w="605" w:type="dxa"/>
            <w:noWrap w:val="0"/>
            <w:tcMar>
              <w:left w:w="108" w:type="dxa"/>
              <w:right w:w="108" w:type="dxa"/>
            </w:tcMar>
            <w:vAlign w:val="center"/>
          </w:tcPr>
          <w:p w14:paraId="6AF0FD65">
            <w:pPr>
              <w:widowControl/>
              <w:ind w:left="-120" w:leftChars="-60" w:right="-130" w:rightChars="-65"/>
              <w:jc w:val="center"/>
              <w:rPr>
                <w:rFonts w:ascii="黑体" w:hAnsi="黑体" w:eastAsia="黑体"/>
                <w:kern w:val="0"/>
                <w:sz w:val="20"/>
                <w:szCs w:val="20"/>
              </w:rPr>
            </w:pPr>
            <w:r>
              <w:rPr>
                <w:rFonts w:ascii="黑体" w:hAnsi="黑体" w:eastAsia="黑体"/>
                <w:kern w:val="0"/>
                <w:sz w:val="20"/>
                <w:szCs w:val="20"/>
              </w:rPr>
              <w:t>其他</w:t>
            </w:r>
          </w:p>
          <w:p w14:paraId="7DD25153">
            <w:pPr>
              <w:widowControl/>
              <w:ind w:left="-120" w:leftChars="-60" w:right="-130" w:rightChars="-65"/>
              <w:jc w:val="center"/>
              <w:rPr>
                <w:rFonts w:ascii="黑体" w:hAnsi="黑体" w:eastAsia="黑体"/>
              </w:rPr>
            </w:pPr>
            <w:r>
              <w:rPr>
                <w:rFonts w:ascii="黑体" w:hAnsi="黑体" w:eastAsia="黑体"/>
                <w:kern w:val="0"/>
                <w:sz w:val="20"/>
                <w:szCs w:val="20"/>
              </w:rPr>
              <w:t>结果</w:t>
            </w:r>
          </w:p>
        </w:tc>
        <w:tc>
          <w:tcPr>
            <w:tcW w:w="605" w:type="dxa"/>
            <w:noWrap w:val="0"/>
            <w:tcMar>
              <w:left w:w="108" w:type="dxa"/>
              <w:right w:w="108" w:type="dxa"/>
            </w:tcMar>
            <w:vAlign w:val="center"/>
          </w:tcPr>
          <w:p w14:paraId="54807BDF">
            <w:pPr>
              <w:widowControl/>
              <w:ind w:left="-156" w:leftChars="-78" w:right="-146" w:rightChars="-73"/>
              <w:jc w:val="center"/>
              <w:rPr>
                <w:rFonts w:ascii="黑体" w:hAnsi="黑体" w:eastAsia="黑体"/>
                <w:kern w:val="0"/>
                <w:sz w:val="20"/>
                <w:szCs w:val="20"/>
              </w:rPr>
            </w:pPr>
            <w:r>
              <w:rPr>
                <w:rFonts w:ascii="黑体" w:hAnsi="黑体" w:eastAsia="黑体"/>
                <w:kern w:val="0"/>
                <w:sz w:val="20"/>
                <w:szCs w:val="20"/>
              </w:rPr>
              <w:t>尚未</w:t>
            </w:r>
          </w:p>
          <w:p w14:paraId="7F25CF20">
            <w:pPr>
              <w:widowControl/>
              <w:ind w:left="-156" w:leftChars="-78" w:right="-146" w:rightChars="-73"/>
              <w:jc w:val="center"/>
              <w:rPr>
                <w:rFonts w:ascii="黑体" w:hAnsi="黑体" w:eastAsia="黑体"/>
              </w:rPr>
            </w:pPr>
            <w:r>
              <w:rPr>
                <w:rFonts w:ascii="黑体" w:hAnsi="黑体" w:eastAsia="黑体"/>
                <w:kern w:val="0"/>
                <w:sz w:val="20"/>
                <w:szCs w:val="20"/>
              </w:rPr>
              <w:t>审结</w:t>
            </w:r>
          </w:p>
        </w:tc>
        <w:tc>
          <w:tcPr>
            <w:tcW w:w="605" w:type="dxa"/>
            <w:noWrap w:val="0"/>
            <w:tcMar>
              <w:left w:w="108" w:type="dxa"/>
              <w:right w:w="108" w:type="dxa"/>
            </w:tcMar>
            <w:vAlign w:val="center"/>
          </w:tcPr>
          <w:p w14:paraId="446E3117">
            <w:pPr>
              <w:widowControl/>
              <w:jc w:val="center"/>
              <w:rPr>
                <w:rFonts w:ascii="黑体" w:hAnsi="黑体" w:eastAsia="黑体"/>
              </w:rPr>
            </w:pPr>
            <w:r>
              <w:rPr>
                <w:rFonts w:ascii="黑体" w:hAnsi="黑体" w:eastAsia="黑体"/>
                <w:kern w:val="0"/>
                <w:sz w:val="20"/>
                <w:szCs w:val="20"/>
              </w:rPr>
              <w:t>总计</w:t>
            </w:r>
          </w:p>
        </w:tc>
        <w:tc>
          <w:tcPr>
            <w:tcW w:w="605" w:type="dxa"/>
            <w:noWrap w:val="0"/>
            <w:tcMar>
              <w:left w:w="108" w:type="dxa"/>
              <w:right w:w="108" w:type="dxa"/>
            </w:tcMar>
            <w:vAlign w:val="center"/>
          </w:tcPr>
          <w:p w14:paraId="68380422">
            <w:pPr>
              <w:widowControl/>
              <w:ind w:left="-94" w:leftChars="-47" w:right="-74" w:rightChars="-37"/>
              <w:jc w:val="center"/>
              <w:rPr>
                <w:rFonts w:ascii="黑体" w:hAnsi="黑体" w:eastAsia="黑体"/>
              </w:rPr>
            </w:pPr>
            <w:r>
              <w:rPr>
                <w:rFonts w:ascii="黑体" w:hAnsi="黑体" w:eastAsia="黑体"/>
                <w:kern w:val="0"/>
                <w:sz w:val="20"/>
                <w:szCs w:val="20"/>
              </w:rPr>
              <w:t>结果维持</w:t>
            </w:r>
          </w:p>
        </w:tc>
        <w:tc>
          <w:tcPr>
            <w:tcW w:w="605" w:type="dxa"/>
            <w:noWrap w:val="0"/>
            <w:tcMar>
              <w:left w:w="108" w:type="dxa"/>
              <w:right w:w="108" w:type="dxa"/>
            </w:tcMar>
            <w:vAlign w:val="center"/>
          </w:tcPr>
          <w:p w14:paraId="4025A42F">
            <w:pPr>
              <w:widowControl/>
              <w:ind w:left="-130" w:leftChars="-65" w:right="-118" w:rightChars="-59"/>
              <w:jc w:val="center"/>
              <w:rPr>
                <w:rFonts w:ascii="黑体" w:hAnsi="黑体" w:eastAsia="黑体"/>
                <w:kern w:val="0"/>
                <w:sz w:val="20"/>
                <w:szCs w:val="20"/>
              </w:rPr>
            </w:pPr>
            <w:r>
              <w:rPr>
                <w:rFonts w:ascii="黑体" w:hAnsi="黑体" w:eastAsia="黑体"/>
                <w:kern w:val="0"/>
                <w:sz w:val="20"/>
                <w:szCs w:val="20"/>
              </w:rPr>
              <w:t>结果</w:t>
            </w:r>
          </w:p>
          <w:p w14:paraId="1D3E9B30">
            <w:pPr>
              <w:widowControl/>
              <w:ind w:left="-130" w:leftChars="-65" w:right="-118" w:rightChars="-59"/>
              <w:jc w:val="center"/>
              <w:rPr>
                <w:rFonts w:ascii="黑体" w:hAnsi="黑体" w:eastAsia="黑体"/>
              </w:rPr>
            </w:pPr>
            <w:r>
              <w:rPr>
                <w:rFonts w:ascii="黑体" w:hAnsi="黑体" w:eastAsia="黑体"/>
                <w:kern w:val="0"/>
                <w:sz w:val="20"/>
                <w:szCs w:val="20"/>
              </w:rPr>
              <w:t>纠正</w:t>
            </w:r>
          </w:p>
        </w:tc>
        <w:tc>
          <w:tcPr>
            <w:tcW w:w="605" w:type="dxa"/>
            <w:noWrap w:val="0"/>
            <w:tcMar>
              <w:left w:w="108" w:type="dxa"/>
              <w:right w:w="108" w:type="dxa"/>
            </w:tcMar>
            <w:vAlign w:val="center"/>
          </w:tcPr>
          <w:p w14:paraId="1CB6C58F">
            <w:pPr>
              <w:widowControl/>
              <w:ind w:left="-165" w:leftChars="-83" w:right="-128" w:rightChars="-64" w:hanging="1"/>
              <w:jc w:val="center"/>
              <w:rPr>
                <w:rFonts w:ascii="黑体" w:hAnsi="黑体" w:eastAsia="黑体"/>
                <w:kern w:val="0"/>
                <w:sz w:val="20"/>
                <w:szCs w:val="20"/>
              </w:rPr>
            </w:pPr>
            <w:r>
              <w:rPr>
                <w:rFonts w:ascii="黑体" w:hAnsi="黑体" w:eastAsia="黑体"/>
                <w:kern w:val="0"/>
                <w:sz w:val="20"/>
                <w:szCs w:val="20"/>
              </w:rPr>
              <w:t>其他</w:t>
            </w:r>
          </w:p>
          <w:p w14:paraId="70092F4C">
            <w:pPr>
              <w:widowControl/>
              <w:ind w:left="-165" w:leftChars="-83" w:right="-128" w:rightChars="-64" w:hanging="1"/>
              <w:jc w:val="center"/>
              <w:rPr>
                <w:rFonts w:ascii="黑体" w:hAnsi="黑体" w:eastAsia="黑体"/>
              </w:rPr>
            </w:pPr>
            <w:r>
              <w:rPr>
                <w:rFonts w:ascii="黑体" w:hAnsi="黑体" w:eastAsia="黑体"/>
                <w:kern w:val="0"/>
                <w:sz w:val="20"/>
                <w:szCs w:val="20"/>
              </w:rPr>
              <w:t>结果</w:t>
            </w:r>
          </w:p>
        </w:tc>
        <w:tc>
          <w:tcPr>
            <w:tcW w:w="606" w:type="dxa"/>
            <w:noWrap w:val="0"/>
            <w:tcMar>
              <w:left w:w="108" w:type="dxa"/>
              <w:right w:w="108" w:type="dxa"/>
            </w:tcMar>
            <w:vAlign w:val="center"/>
          </w:tcPr>
          <w:p w14:paraId="113E4A67">
            <w:pPr>
              <w:widowControl/>
              <w:ind w:left="-64" w:leftChars="-33" w:right="-100" w:rightChars="-50" w:hanging="2" w:hangingChars="1"/>
              <w:jc w:val="center"/>
              <w:rPr>
                <w:rFonts w:ascii="黑体" w:hAnsi="黑体" w:eastAsia="黑体"/>
              </w:rPr>
            </w:pPr>
            <w:r>
              <w:rPr>
                <w:rFonts w:ascii="黑体" w:hAnsi="黑体" w:eastAsia="黑体"/>
                <w:kern w:val="0"/>
                <w:sz w:val="20"/>
                <w:szCs w:val="20"/>
              </w:rPr>
              <w:t>尚未审结</w:t>
            </w:r>
          </w:p>
        </w:tc>
        <w:tc>
          <w:tcPr>
            <w:tcW w:w="606" w:type="dxa"/>
            <w:noWrap w:val="0"/>
            <w:tcMar>
              <w:left w:w="108" w:type="dxa"/>
              <w:right w:w="108" w:type="dxa"/>
            </w:tcMar>
            <w:vAlign w:val="center"/>
          </w:tcPr>
          <w:p w14:paraId="1F722B9A">
            <w:pPr>
              <w:widowControl/>
              <w:jc w:val="center"/>
              <w:rPr>
                <w:rFonts w:ascii="黑体" w:hAnsi="黑体" w:eastAsia="黑体"/>
              </w:rPr>
            </w:pPr>
            <w:r>
              <w:rPr>
                <w:rFonts w:ascii="黑体" w:hAnsi="黑体" w:eastAsia="黑体"/>
                <w:kern w:val="0"/>
                <w:sz w:val="20"/>
                <w:szCs w:val="20"/>
              </w:rPr>
              <w:t>总计</w:t>
            </w:r>
          </w:p>
        </w:tc>
      </w:tr>
      <w:tr w14:paraId="1180B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jc w:val="center"/>
        </w:trPr>
        <w:tc>
          <w:tcPr>
            <w:tcW w:w="604" w:type="dxa"/>
            <w:noWrap w:val="0"/>
            <w:tcMar>
              <w:left w:w="108" w:type="dxa"/>
              <w:right w:w="108" w:type="dxa"/>
            </w:tcMar>
            <w:vAlign w:val="center"/>
          </w:tcPr>
          <w:p w14:paraId="5A07025D">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lang w:val="en-US" w:eastAsia="zh-CN"/>
              </w:rPr>
              <w:t>0</w:t>
            </w:r>
          </w:p>
        </w:tc>
        <w:tc>
          <w:tcPr>
            <w:tcW w:w="604" w:type="dxa"/>
            <w:noWrap w:val="0"/>
            <w:tcMar>
              <w:left w:w="108" w:type="dxa"/>
              <w:right w:w="108" w:type="dxa"/>
            </w:tcMar>
            <w:vAlign w:val="center"/>
          </w:tcPr>
          <w:p w14:paraId="089C37E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noWrap w:val="0"/>
            <w:tcMar>
              <w:left w:w="108" w:type="dxa"/>
              <w:right w:w="108" w:type="dxa"/>
            </w:tcMar>
            <w:vAlign w:val="center"/>
          </w:tcPr>
          <w:p w14:paraId="3C036B26">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4" w:type="dxa"/>
            <w:noWrap w:val="0"/>
            <w:tcMar>
              <w:left w:w="108" w:type="dxa"/>
              <w:right w:w="108" w:type="dxa"/>
            </w:tcMar>
            <w:vAlign w:val="center"/>
          </w:tcPr>
          <w:p w14:paraId="1B2B94B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58" w:type="dxa"/>
            <w:noWrap w:val="0"/>
            <w:tcMar>
              <w:left w:w="108" w:type="dxa"/>
              <w:right w:w="108" w:type="dxa"/>
            </w:tcMar>
            <w:vAlign w:val="center"/>
          </w:tcPr>
          <w:p w14:paraId="15635688">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550" w:type="dxa"/>
            <w:noWrap w:val="0"/>
            <w:tcMar>
              <w:left w:w="108" w:type="dxa"/>
              <w:right w:w="108" w:type="dxa"/>
            </w:tcMar>
            <w:vAlign w:val="center"/>
          </w:tcPr>
          <w:p w14:paraId="1F33D047">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45B73594">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15DF3CA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1BF034D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24AA7F6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7C9FA1C2">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726A529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5" w:type="dxa"/>
            <w:noWrap w:val="0"/>
            <w:tcMar>
              <w:left w:w="108" w:type="dxa"/>
              <w:right w:w="108" w:type="dxa"/>
            </w:tcMar>
            <w:vAlign w:val="center"/>
          </w:tcPr>
          <w:p w14:paraId="4C1A6CDC">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noWrap w:val="0"/>
            <w:tcMar>
              <w:left w:w="108" w:type="dxa"/>
              <w:right w:w="108" w:type="dxa"/>
            </w:tcMar>
            <w:vAlign w:val="center"/>
          </w:tcPr>
          <w:p w14:paraId="611328A3">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c>
          <w:tcPr>
            <w:tcW w:w="606" w:type="dxa"/>
            <w:noWrap w:val="0"/>
            <w:tcMar>
              <w:left w:w="108" w:type="dxa"/>
              <w:right w:w="108" w:type="dxa"/>
            </w:tcMar>
            <w:vAlign w:val="center"/>
          </w:tcPr>
          <w:p w14:paraId="2A4E2765">
            <w:pPr>
              <w:keepNext w:val="0"/>
              <w:keepLines w:val="0"/>
              <w:pageBreakBefore w:val="0"/>
              <w:widowControl/>
              <w:kinsoku/>
              <w:wordWrap/>
              <w:overflowPunct/>
              <w:topLinePunct w:val="0"/>
              <w:autoSpaceDE/>
              <w:autoSpaceDN/>
              <w:bidi w:val="0"/>
              <w:adjustRightInd/>
              <w:snapToGrid/>
              <w:jc w:val="center"/>
              <w:textAlignment w:val="auto"/>
              <w:rPr>
                <w:rFonts w:hint="eastAsia" w:ascii="Times New Roman" w:hAnsi="Times New Roman" w:eastAsia="宋体"/>
                <w:lang w:val="en-US" w:eastAsia="zh-CN"/>
              </w:rPr>
            </w:pPr>
            <w:r>
              <w:rPr>
                <w:rFonts w:hint="eastAsia" w:ascii="Times New Roman" w:hAnsi="Times New Roman"/>
                <w:lang w:val="en-US" w:eastAsia="zh-CN"/>
              </w:rPr>
              <w:t>0</w:t>
            </w:r>
          </w:p>
        </w:tc>
      </w:tr>
    </w:tbl>
    <w:p w14:paraId="0C0FDF29">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sz w:val="32"/>
          <w:szCs w:val="32"/>
        </w:rPr>
      </w:pPr>
      <w:r>
        <w:rPr>
          <w:rFonts w:eastAsia="方正黑体简体"/>
          <w:b/>
          <w:sz w:val="32"/>
          <w:szCs w:val="32"/>
        </w:rPr>
        <w:t>五、存在的主要问题及改进情况</w:t>
      </w:r>
    </w:p>
    <w:p w14:paraId="4A218E55">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楷体简体" w:cs="Times New Roman"/>
          <w:b/>
          <w:color w:val="000000"/>
          <w:sz w:val="32"/>
          <w:szCs w:val="32"/>
          <w:lang w:val="en-US" w:eastAsia="zh-CN"/>
        </w:rPr>
        <w:t>存在问题：</w:t>
      </w:r>
      <w:r>
        <w:rPr>
          <w:rFonts w:hint="eastAsia" w:ascii="Times New Roman" w:hAnsi="Times New Roman" w:eastAsia="方正仿宋简体" w:cs="Times New Roman"/>
          <w:b/>
          <w:color w:val="000000"/>
          <w:sz w:val="32"/>
          <w:lang w:val="en-US" w:eastAsia="zh-CN"/>
        </w:rPr>
        <w:t>一是信息公开时效性有待加强，部分政府信息更新发布存在滞后现象；二是公开内容形式较为单一，目前仍以文字信息为主。</w:t>
      </w:r>
    </w:p>
    <w:p w14:paraId="3723FEDA">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楷体简体" w:cs="Times New Roman"/>
          <w:b/>
          <w:color w:val="000000"/>
          <w:sz w:val="32"/>
          <w:szCs w:val="32"/>
          <w:lang w:val="en-US" w:eastAsia="zh-CN"/>
        </w:rPr>
      </w:pPr>
      <w:r>
        <w:rPr>
          <w:rFonts w:hint="eastAsia" w:ascii="Times New Roman" w:hAnsi="Times New Roman" w:eastAsia="方正楷体简体" w:cs="Times New Roman"/>
          <w:b/>
          <w:color w:val="000000"/>
          <w:sz w:val="32"/>
          <w:szCs w:val="32"/>
          <w:lang w:val="en-US" w:eastAsia="zh-CN"/>
        </w:rPr>
        <w:t>2026年，将从以下几个方面重点改进：</w:t>
      </w:r>
    </w:p>
    <w:p w14:paraId="70A06586">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仿宋简体" w:cs="Times New Roman"/>
          <w:b/>
          <w:color w:val="000000"/>
          <w:sz w:val="32"/>
          <w:lang w:val="en-US" w:eastAsia="zh-CN"/>
        </w:rPr>
        <w:t>一是加强培训。组织开展政务公开专题培训，重点围绕主动公开、依申请公开、政策解读、回应关切等环节进行系统性学习，切实增强全员责任意识和主动、及时公开能力。</w:t>
      </w:r>
    </w:p>
    <w:p w14:paraId="7F9C42A6">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仿宋简体" w:cs="Times New Roman"/>
          <w:b/>
          <w:color w:val="000000"/>
          <w:sz w:val="32"/>
          <w:lang w:val="en-US" w:eastAsia="zh-CN"/>
        </w:rPr>
        <w:t>二是丰富内容。在继续做好文字信息发布的基础上，积极运用图解、图表等形式，对政策文件、工作进展、成果成效等进行多角度呈现，提升信息的可读性、易懂性和传播效果。</w:t>
      </w:r>
    </w:p>
    <w:p w14:paraId="72EA74B8">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黑体简体"/>
          <w:b/>
          <w:sz w:val="32"/>
          <w:szCs w:val="32"/>
        </w:rPr>
      </w:pPr>
      <w:r>
        <w:rPr>
          <w:rFonts w:eastAsia="方正黑体简体"/>
          <w:b/>
          <w:sz w:val="32"/>
          <w:szCs w:val="32"/>
        </w:rPr>
        <w:t>六、其他需要报告的事项</w:t>
      </w:r>
    </w:p>
    <w:p w14:paraId="2CE10E7C">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（一）依据《政府信息公开信息处理费管理办法》收取信息处理费的情况</w:t>
      </w:r>
      <w:r>
        <w:rPr>
          <w:rFonts w:hint="eastAsia" w:eastAsia="方正楷体简体"/>
          <w:b/>
          <w:color w:val="000000"/>
          <w:sz w:val="32"/>
          <w:szCs w:val="32"/>
        </w:rPr>
        <w:t>：</w:t>
      </w:r>
    </w:p>
    <w:p w14:paraId="046B06C7">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jc w:val="left"/>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仿宋简体" w:cs="Times New Roman"/>
          <w:b/>
          <w:color w:val="000000"/>
          <w:sz w:val="32"/>
          <w:lang w:val="en-US" w:eastAsia="zh-CN"/>
        </w:rPr>
        <w:t>无。</w:t>
      </w:r>
    </w:p>
    <w:p w14:paraId="54C57F82">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eastAsia="方正楷体简体"/>
          <w:b/>
          <w:color w:val="000000"/>
          <w:sz w:val="32"/>
          <w:szCs w:val="32"/>
        </w:rPr>
      </w:pPr>
      <w:r>
        <w:rPr>
          <w:rFonts w:hint="eastAsia" w:eastAsia="方正楷体简体"/>
          <w:b/>
          <w:color w:val="000000"/>
          <w:sz w:val="32"/>
          <w:szCs w:val="32"/>
        </w:rPr>
        <w:t>（二）</w:t>
      </w:r>
      <w:r>
        <w:rPr>
          <w:rFonts w:eastAsia="方正楷体简体"/>
          <w:b/>
          <w:color w:val="000000"/>
          <w:sz w:val="32"/>
          <w:szCs w:val="32"/>
        </w:rPr>
        <w:t>本行政机关落实上级年度政务公开工作要点情况</w:t>
      </w:r>
      <w:r>
        <w:rPr>
          <w:rFonts w:hint="eastAsia" w:eastAsia="方正楷体简体"/>
          <w:b/>
          <w:color w:val="000000"/>
          <w:sz w:val="32"/>
          <w:szCs w:val="32"/>
        </w:rPr>
        <w:t>：</w:t>
      </w:r>
    </w:p>
    <w:p w14:paraId="3CA36B01">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仿宋简体" w:cs="Times New Roman"/>
          <w:b/>
          <w:color w:val="000000"/>
          <w:sz w:val="32"/>
          <w:lang w:val="en-US" w:eastAsia="zh-CN"/>
        </w:rPr>
        <w:t>2025年，区农业农村局在区政府领导下，扎实推进政务公开工作。紧扣全区农业农村发展实际，围绕乡村振兴、惠农政策、产业发展等重点领域，持续拓展公开内容，优化工作机制。在政策宣传解读、回应群众关切等方面取得积极成效。严格执行主动公开管理，压实各科室责任，规范信息报送流程，确保公开内容全面准确、更新发布及时高效。</w:t>
      </w:r>
    </w:p>
    <w:p w14:paraId="6BE94E22">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（三）人大代表建议和政协提案办理结果公开情况</w:t>
      </w:r>
      <w:r>
        <w:rPr>
          <w:rFonts w:hint="eastAsia" w:eastAsia="方正楷体简体"/>
          <w:b/>
          <w:color w:val="000000"/>
          <w:sz w:val="32"/>
          <w:szCs w:val="32"/>
        </w:rPr>
        <w:t>：</w:t>
      </w:r>
    </w:p>
    <w:p w14:paraId="4B1AF137">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仿宋简体" w:cs="Times New Roman"/>
          <w:b/>
          <w:color w:val="000000"/>
          <w:sz w:val="32"/>
          <w:lang w:val="en-US" w:eastAsia="zh-CN"/>
        </w:rPr>
        <w:t>2025年，区农业农村局共收到8件建议提案，其中人大代表建议5件（含市级人大代表建议1件，上年结转办理1件），政协委员提案3件。目前已按期办结，吸收采纳建议8件，答复率、满意率为100%。办理情况通过政府门户网站“建议提案办理”专栏进行公示。</w:t>
      </w:r>
    </w:p>
    <w:p w14:paraId="0F52E8DA">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（四）本行政机关年度政务公开工作创新情况</w:t>
      </w:r>
      <w:r>
        <w:rPr>
          <w:rFonts w:hint="eastAsia" w:eastAsia="方正楷体简体"/>
          <w:b/>
          <w:color w:val="000000"/>
          <w:sz w:val="32"/>
          <w:szCs w:val="32"/>
        </w:rPr>
        <w:t>：</w:t>
      </w:r>
    </w:p>
    <w:p w14:paraId="5C657EE7">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Times New Roman" w:hAnsi="Times New Roman" w:eastAsia="方正仿宋简体" w:cs="Times New Roman"/>
          <w:b/>
          <w:color w:val="000000"/>
          <w:sz w:val="32"/>
          <w:lang w:val="en-US" w:eastAsia="zh-CN"/>
        </w:rPr>
      </w:pPr>
      <w:r>
        <w:rPr>
          <w:rFonts w:hint="eastAsia" w:ascii="Times New Roman" w:hAnsi="Times New Roman" w:eastAsia="方正仿宋简体" w:cs="Times New Roman"/>
          <w:b/>
          <w:color w:val="000000"/>
          <w:sz w:val="32"/>
          <w:lang w:val="en-US" w:eastAsia="zh-CN"/>
        </w:rPr>
        <w:t>创新政策解读，针对本单位负责起草的政策文件，综合运用负责人解读、图文解读等多种方式，增强解读的针对性和传播效果，帮助群众更好理解政策内容，助力政策落地实施。丰富政民互动，积极组织开展“政府开放日”活动，全方位展示农业领域工作成果。</w:t>
      </w:r>
    </w:p>
    <w:p w14:paraId="12245417">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楷体简体"/>
          <w:b/>
          <w:color w:val="000000"/>
          <w:sz w:val="32"/>
          <w:szCs w:val="32"/>
        </w:rPr>
      </w:pPr>
      <w:r>
        <w:rPr>
          <w:rFonts w:eastAsia="方正楷体简体"/>
          <w:b/>
          <w:color w:val="000000"/>
          <w:sz w:val="32"/>
          <w:szCs w:val="32"/>
        </w:rPr>
        <w:t>（五）本行政机关政府信息公开工作年度报告数据统计需要说明的事项</w:t>
      </w:r>
      <w:r>
        <w:rPr>
          <w:rFonts w:hint="eastAsia" w:eastAsia="方正楷体简体"/>
          <w:b/>
          <w:color w:val="000000"/>
          <w:sz w:val="32"/>
          <w:szCs w:val="32"/>
        </w:rPr>
        <w:t>：</w:t>
      </w:r>
    </w:p>
    <w:p w14:paraId="5C2ED16F">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default" w:ascii="Times New Roman" w:hAnsi="Times New Roman" w:eastAsia="方正仿宋简体" w:cs="Times New Roman"/>
          <w:b/>
          <w:color w:val="000000"/>
          <w:sz w:val="32"/>
          <w:lang w:val="en-US" w:eastAsia="zh-CN"/>
        </w:rPr>
      </w:pPr>
      <w:r>
        <w:rPr>
          <w:rFonts w:hint="eastAsia" w:ascii="Times New Roman" w:hAnsi="Times New Roman" w:eastAsia="方正仿宋简体" w:cs="Times New Roman"/>
          <w:b/>
          <w:color w:val="000000"/>
          <w:sz w:val="32"/>
          <w:lang w:val="en-US" w:eastAsia="zh-CN"/>
        </w:rPr>
        <w:t>无。</w:t>
      </w:r>
    </w:p>
    <w:p w14:paraId="2CC54E5D">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仿宋简体"/>
          <w:b/>
          <w:sz w:val="32"/>
          <w:szCs w:val="32"/>
          <w:lang w:eastAsia="zh-CN"/>
        </w:rPr>
      </w:pPr>
      <w:r>
        <w:rPr>
          <w:rFonts w:eastAsia="方正楷体简体"/>
          <w:b/>
          <w:color w:val="000000"/>
          <w:sz w:val="32"/>
          <w:szCs w:val="32"/>
        </w:rPr>
        <w:t>（六）本行政机关认为需要报告的其他事项</w:t>
      </w:r>
      <w:r>
        <w:rPr>
          <w:rFonts w:hint="eastAsia" w:eastAsia="方正楷体简体"/>
          <w:b/>
          <w:color w:val="000000"/>
          <w:sz w:val="32"/>
          <w:szCs w:val="32"/>
        </w:rPr>
        <w:t>：</w:t>
      </w:r>
      <w:r>
        <w:rPr>
          <w:rFonts w:hint="eastAsia" w:eastAsia="方正仿宋简体"/>
          <w:b/>
          <w:sz w:val="32"/>
          <w:szCs w:val="32"/>
        </w:rPr>
        <w:t>无</w:t>
      </w:r>
      <w:r>
        <w:rPr>
          <w:rFonts w:hint="eastAsia" w:eastAsia="方正仿宋简体"/>
          <w:b/>
          <w:sz w:val="32"/>
          <w:szCs w:val="32"/>
          <w:lang w:eastAsia="zh-CN"/>
        </w:rPr>
        <w:t>。</w:t>
      </w:r>
    </w:p>
    <w:p w14:paraId="5B56EB67">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eastAsia="方正仿宋简体"/>
          <w:b/>
          <w:sz w:val="32"/>
          <w:szCs w:val="32"/>
          <w:lang w:eastAsia="zh-CN"/>
        </w:rPr>
      </w:pPr>
      <w:r>
        <w:rPr>
          <w:rFonts w:eastAsia="方正楷体简体"/>
          <w:b/>
          <w:color w:val="000000"/>
          <w:sz w:val="32"/>
          <w:szCs w:val="32"/>
        </w:rPr>
        <w:t>（七）其他有关文件专门要求通过政府信息公开工作年度报告予以报告的事项</w:t>
      </w:r>
      <w:r>
        <w:rPr>
          <w:rFonts w:hint="eastAsia" w:eastAsia="方正楷体简体"/>
          <w:b/>
          <w:color w:val="000000"/>
          <w:sz w:val="32"/>
          <w:szCs w:val="32"/>
        </w:rPr>
        <w:t>：</w:t>
      </w:r>
      <w:r>
        <w:rPr>
          <w:rFonts w:hint="eastAsia" w:eastAsia="方正仿宋简体"/>
          <w:b/>
          <w:sz w:val="32"/>
          <w:szCs w:val="32"/>
        </w:rPr>
        <w:t>无</w:t>
      </w:r>
      <w:r>
        <w:rPr>
          <w:rFonts w:hint="eastAsia" w:eastAsia="方正仿宋简体"/>
          <w:b/>
          <w:sz w:val="32"/>
          <w:szCs w:val="32"/>
          <w:lang w:eastAsia="zh-CN"/>
        </w:rPr>
        <w:t>。</w:t>
      </w:r>
    </w:p>
    <w:p w14:paraId="1C39FFED"/>
    <w:p w14:paraId="4DF55D26"/>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10601030101010101"/>
    <w:charset w:val="86"/>
    <w:family w:val="auto"/>
    <w:pitch w:val="default"/>
    <w:sig w:usb0="00000001" w:usb1="080E0000" w:usb2="00000000" w:usb3="00000000" w:csb0="00040000" w:csb1="00000000"/>
  </w:font>
  <w:font w:name="方正黑体简体">
    <w:altName w:val="方正黑体_GBK"/>
    <w:panose1 w:val="02010601030101010101"/>
    <w:charset w:val="00"/>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简体">
    <w:altName w:val="楷体_GB2312"/>
    <w:panose1 w:val="03000509000000000000"/>
    <w:charset w:val="00"/>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国标仿宋">
    <w:panose1 w:val="02000500000000000000"/>
    <w:charset w:val="86"/>
    <w:family w:val="auto"/>
    <w:pitch w:val="default"/>
    <w:sig w:usb0="A00002BF" w:usb1="38C77CFA" w:usb2="00000016" w:usb3="00000000" w:csb0="00040000" w:csb1="00000000"/>
  </w:font>
  <w:font w:name="GWZT-EN">
    <w:panose1 w:val="020204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AAC3B">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8E6ECF">
                          <w:pPr>
                            <w:pStyle w:val="7"/>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t>—</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8bSus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IoSxy0O/PLzx+XXn8vv72SZ&#10;5ekD1Jh1HzAvDe/8gEsz+wGdmfWgos1f5EMwjuKer+LKIRGRH61X63WFIYGx+YL47OF5iJDeS29J&#10;NhoacXpFVH76CGlMnVNyNefvtDFlgsb940DM7GG597HHbKVhP0yE9r49I58eB99Qh3tOifngUNe8&#10;I7MRZ2M/G8cQ9aErS5TrQbg9Jmyi9JYrjLBTYZxYYTdtV16Jx/eS9fBHbf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fG0rrIAQAAmQMAAA4AAAAAAAAAAQAgAAAAHgEAAGRycy9lMm9Eb2Mu&#10;eG1sUEsFBgAAAAAGAAYAWQEAAFgFAAAAAA==&#10;">
              <v:fill on="f" focussize="0,0"/>
              <v:stroke on="f"/>
              <v:imagedata o:title=""/>
              <o:lock v:ext="edit" aspectratio="f"/>
              <v:textbox inset="0mm,0mm,0mm,0mm" style="mso-fit-shape-to-text:t;">
                <w:txbxContent>
                  <w:p w14:paraId="338E6ECF">
                    <w:pPr>
                      <w:pStyle w:val="7"/>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 w:name="KSO_WPS_MARK_KEY" w:val="0a09109d-8e8d-4de7-b405-11e7f0d414f9"/>
  </w:docVars>
  <w:rsids>
    <w:rsidRoot w:val="241E4FC5"/>
    <w:rsid w:val="000356BA"/>
    <w:rsid w:val="000421DE"/>
    <w:rsid w:val="000A1BE1"/>
    <w:rsid w:val="000E1CEE"/>
    <w:rsid w:val="00160AFD"/>
    <w:rsid w:val="001934D6"/>
    <w:rsid w:val="001A0BD0"/>
    <w:rsid w:val="0024688E"/>
    <w:rsid w:val="00313E03"/>
    <w:rsid w:val="00362FF3"/>
    <w:rsid w:val="00610C0A"/>
    <w:rsid w:val="006B57A7"/>
    <w:rsid w:val="006C338A"/>
    <w:rsid w:val="006F7069"/>
    <w:rsid w:val="008071FD"/>
    <w:rsid w:val="00937F11"/>
    <w:rsid w:val="009D3DD6"/>
    <w:rsid w:val="00A41E78"/>
    <w:rsid w:val="00AF3BEC"/>
    <w:rsid w:val="00C43454"/>
    <w:rsid w:val="00C615E4"/>
    <w:rsid w:val="00C6655F"/>
    <w:rsid w:val="00C8001E"/>
    <w:rsid w:val="00DD549C"/>
    <w:rsid w:val="00F239CF"/>
    <w:rsid w:val="00FF0C00"/>
    <w:rsid w:val="01423F24"/>
    <w:rsid w:val="02C80459"/>
    <w:rsid w:val="03D62104"/>
    <w:rsid w:val="048C67C6"/>
    <w:rsid w:val="05BF1208"/>
    <w:rsid w:val="06710E08"/>
    <w:rsid w:val="06AE3E0A"/>
    <w:rsid w:val="07242737"/>
    <w:rsid w:val="09646A02"/>
    <w:rsid w:val="09EF2614"/>
    <w:rsid w:val="0A4470DA"/>
    <w:rsid w:val="0B4C5599"/>
    <w:rsid w:val="0B5F3E68"/>
    <w:rsid w:val="0D5D2C2A"/>
    <w:rsid w:val="11495627"/>
    <w:rsid w:val="1193257A"/>
    <w:rsid w:val="11A81F3D"/>
    <w:rsid w:val="135205B6"/>
    <w:rsid w:val="14AB3737"/>
    <w:rsid w:val="14F8366F"/>
    <w:rsid w:val="16AD740F"/>
    <w:rsid w:val="1A0D279E"/>
    <w:rsid w:val="1B5E59A7"/>
    <w:rsid w:val="1BD97438"/>
    <w:rsid w:val="1C192B01"/>
    <w:rsid w:val="1ED5560D"/>
    <w:rsid w:val="1EEC64B9"/>
    <w:rsid w:val="20D615C1"/>
    <w:rsid w:val="21101AFF"/>
    <w:rsid w:val="23F33270"/>
    <w:rsid w:val="24196311"/>
    <w:rsid w:val="241E4FC5"/>
    <w:rsid w:val="27E579A8"/>
    <w:rsid w:val="27EA3166"/>
    <w:rsid w:val="294B73D4"/>
    <w:rsid w:val="2EF431F0"/>
    <w:rsid w:val="2F383732"/>
    <w:rsid w:val="2FFD05F5"/>
    <w:rsid w:val="33C3484E"/>
    <w:rsid w:val="352E5F92"/>
    <w:rsid w:val="357EC696"/>
    <w:rsid w:val="35BC67BA"/>
    <w:rsid w:val="36A302BA"/>
    <w:rsid w:val="38D46E50"/>
    <w:rsid w:val="39D76E21"/>
    <w:rsid w:val="39E906DA"/>
    <w:rsid w:val="3A2F701F"/>
    <w:rsid w:val="3A8770E4"/>
    <w:rsid w:val="3AD07DCB"/>
    <w:rsid w:val="3D4967A6"/>
    <w:rsid w:val="3ED82609"/>
    <w:rsid w:val="432172C7"/>
    <w:rsid w:val="4758323C"/>
    <w:rsid w:val="49BA174B"/>
    <w:rsid w:val="4A5674E2"/>
    <w:rsid w:val="4B415739"/>
    <w:rsid w:val="4CA707BE"/>
    <w:rsid w:val="4DA51E00"/>
    <w:rsid w:val="4DB90697"/>
    <w:rsid w:val="4DC36F5E"/>
    <w:rsid w:val="52363D25"/>
    <w:rsid w:val="53333BD1"/>
    <w:rsid w:val="53BA3DAB"/>
    <w:rsid w:val="54E749CC"/>
    <w:rsid w:val="55520701"/>
    <w:rsid w:val="55D528D4"/>
    <w:rsid w:val="577304FA"/>
    <w:rsid w:val="57FF2240"/>
    <w:rsid w:val="59685243"/>
    <w:rsid w:val="596F2345"/>
    <w:rsid w:val="5B0C3A57"/>
    <w:rsid w:val="600C3003"/>
    <w:rsid w:val="6086051C"/>
    <w:rsid w:val="60DB78AD"/>
    <w:rsid w:val="675B76C5"/>
    <w:rsid w:val="67C63C85"/>
    <w:rsid w:val="68CB7079"/>
    <w:rsid w:val="68EC06AA"/>
    <w:rsid w:val="6ADF6418"/>
    <w:rsid w:val="6BDA52D8"/>
    <w:rsid w:val="6C5F3600"/>
    <w:rsid w:val="6CE250E0"/>
    <w:rsid w:val="6EE13152"/>
    <w:rsid w:val="6F1536B5"/>
    <w:rsid w:val="6F5F4720"/>
    <w:rsid w:val="704951B0"/>
    <w:rsid w:val="708E2F38"/>
    <w:rsid w:val="73053A25"/>
    <w:rsid w:val="733A5B61"/>
    <w:rsid w:val="73FD7029"/>
    <w:rsid w:val="744A758A"/>
    <w:rsid w:val="76FED7F7"/>
    <w:rsid w:val="77FF2689"/>
    <w:rsid w:val="7859225A"/>
    <w:rsid w:val="785F6ABD"/>
    <w:rsid w:val="7A454EDD"/>
    <w:rsid w:val="7B3773CE"/>
    <w:rsid w:val="7B47564B"/>
    <w:rsid w:val="7B4D98B1"/>
    <w:rsid w:val="7CC145C3"/>
    <w:rsid w:val="7CF44998"/>
    <w:rsid w:val="7D7812B9"/>
    <w:rsid w:val="7DF29E29"/>
    <w:rsid w:val="7FC45EA0"/>
    <w:rsid w:val="8E98B99E"/>
    <w:rsid w:val="B7FF49DB"/>
    <w:rsid w:val="BBEA2C21"/>
    <w:rsid w:val="BEEECDF0"/>
    <w:rsid w:val="D7EABA42"/>
    <w:rsid w:val="DB375251"/>
    <w:rsid w:val="DFFF33F2"/>
    <w:rsid w:val="F5CF3652"/>
    <w:rsid w:val="F7FD8C94"/>
    <w:rsid w:val="FB6758ED"/>
    <w:rsid w:val="FDF4B61F"/>
    <w:rsid w:val="FE775983"/>
    <w:rsid w:val="FEFA74C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lang w:val="en-US" w:eastAsia="zh-CN" w:bidi="ar-SA"/>
    </w:rPr>
  </w:style>
  <w:style w:type="character" w:default="1" w:styleId="11">
    <w:name w:val="Default Paragraph Font"/>
    <w:semiHidden/>
    <w:uiPriority w:val="0"/>
  </w:style>
  <w:style w:type="table" w:default="1" w:styleId="10">
    <w:name w:val="Normal Table"/>
    <w:semiHidden/>
    <w:uiPriority w:val="0"/>
    <w:tblPr>
      <w:tblStyle w:val="10"/>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ody Text"/>
    <w:basedOn w:val="1"/>
    <w:next w:val="1"/>
    <w:qFormat/>
    <w:uiPriority w:val="99"/>
    <w:pPr>
      <w:spacing w:after="120"/>
    </w:pPr>
    <w:rPr>
      <w:rFonts w:ascii="Calibri" w:hAnsi="Calibri" w:eastAsia="宋体" w:cs="Calibri"/>
    </w:rPr>
  </w:style>
  <w:style w:type="paragraph" w:styleId="4">
    <w:name w:val="Body Text Indent"/>
    <w:basedOn w:val="1"/>
    <w:next w:val="5"/>
    <w:qFormat/>
    <w:uiPriority w:val="0"/>
    <w:pPr>
      <w:spacing w:after="120"/>
      <w:ind w:left="200" w:leftChars="200"/>
    </w:pPr>
  </w:style>
  <w:style w:type="paragraph" w:styleId="5">
    <w:name w:val="Body Text First Indent 2"/>
    <w:basedOn w:val="4"/>
    <w:next w:val="6"/>
    <w:qFormat/>
    <w:uiPriority w:val="0"/>
    <w:pPr>
      <w:ind w:firstLine="200" w:firstLineChars="200"/>
    </w:pPr>
  </w:style>
  <w:style w:type="paragraph" w:styleId="6">
    <w:name w:val="Body Text First Indent"/>
    <w:basedOn w:val="3"/>
    <w:qFormat/>
    <w:uiPriority w:val="0"/>
    <w:pPr>
      <w:ind w:firstLine="100" w:firstLineChars="100"/>
    </w:p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pPr>
      <w:spacing w:before="100" w:beforeAutospacing="1" w:after="100" w:afterAutospacing="1"/>
      <w:ind w:left="0" w:right="0"/>
      <w:jc w:val="left"/>
    </w:pPr>
    <w:rPr>
      <w:kern w:val="0"/>
      <w:sz w:val="24"/>
      <w:lang w:val="en-US" w:eastAsia="zh-CN" w:bidi="ar"/>
    </w:rPr>
  </w:style>
  <w:style w:type="character" w:styleId="12">
    <w:name w:val="Strong"/>
    <w:qFormat/>
    <w:uiPriority w:val="0"/>
    <w:rPr>
      <w:b/>
    </w:rPr>
  </w:style>
  <w:style w:type="character" w:styleId="13">
    <w:name w:val="Emphasis"/>
    <w:basedOn w:val="11"/>
    <w:qFormat/>
    <w:uiPriority w:val="0"/>
    <w:rPr>
      <w:i/>
    </w:rPr>
  </w:style>
  <w:style w:type="character" w:styleId="14">
    <w:name w:val="Hyperlink"/>
    <w:basedOn w:val="11"/>
    <w:uiPriority w:val="0"/>
    <w:rPr>
      <w:color w:val="0000FF"/>
      <w:u w:val="single"/>
    </w:rPr>
  </w:style>
  <w:style w:type="paragraph" w:customStyle="1" w:styleId="15">
    <w:name w:val="正文首行缩进1"/>
    <w:basedOn w:val="3"/>
    <w:uiPriority w:val="0"/>
    <w:pPr>
      <w:spacing w:before="100" w:beforeAutospacing="1"/>
      <w:ind w:firstLine="100" w:firstLineChars="100"/>
    </w:pPr>
    <w:rPr>
      <w:kern w:val="2"/>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home/huawei/&#26700;&#38754;/&#25919;&#24220;&#20449;&#24687;&#20844;&#24320;&#21488;&#36134;&#65288;2025%202024&#6528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Pt>
            <c:idx val="3"/>
            <c:bubble3D val="0"/>
            <c:spPr>
              <a:solidFill>
                <a:schemeClr val="accent4"/>
              </a:solidFill>
              <a:ln>
                <a:solidFill>
                  <a:schemeClr val="bg1"/>
                </a:solidFill>
              </a:ln>
              <a:effectLst/>
              <a:scene3d>
                <a:camera prst="orthographicFront"/>
                <a:lightRig rig="threePt" dir="t"/>
              </a:scene3d>
              <a:sp3d contourW="9525"/>
            </c:spPr>
          </c:dPt>
          <c:dPt>
            <c:idx val="4"/>
            <c:bubble3D val="0"/>
            <c:spPr>
              <a:solidFill>
                <a:schemeClr val="accent5"/>
              </a:solidFill>
              <a:ln>
                <a:solidFill>
                  <a:schemeClr val="bg1"/>
                </a:solidFill>
              </a:ln>
              <a:effectLst/>
              <a:scene3d>
                <a:camera prst="orthographicFront"/>
                <a:lightRig rig="threePt" dir="t"/>
              </a:scene3d>
              <a:sp3d contourW="9525"/>
            </c:spPr>
          </c:dPt>
          <c:dPt>
            <c:idx val="5"/>
            <c:bubble3D val="0"/>
            <c:spPr>
              <a:solidFill>
                <a:schemeClr val="accent6"/>
              </a:solidFill>
              <a:ln>
                <a:solidFill>
                  <a:schemeClr val="bg1"/>
                </a:solidFill>
              </a:ln>
              <a:effectLst/>
              <a:scene3d>
                <a:camera prst="orthographicFront"/>
                <a:lightRig rig="threePt" dir="t"/>
              </a:scene3d>
              <a:sp3d contourW="9525"/>
            </c:spPr>
          </c:dPt>
          <c:dPt>
            <c:idx val="6"/>
            <c:bubble3D val="0"/>
            <c:spPr>
              <a:solidFill>
                <a:schemeClr val="accent1">
                  <a:lumMod val="60000"/>
                </a:schemeClr>
              </a:solidFill>
              <a:ln>
                <a:solidFill>
                  <a:schemeClr val="bg1"/>
                </a:solidFill>
              </a:ln>
              <a:effectLst/>
              <a:scene3d>
                <a:camera prst="orthographicFront"/>
                <a:lightRig rig="threePt" dir="t"/>
              </a:scene3d>
              <a:sp3d contourW="9525"/>
            </c:spPr>
          </c:dPt>
          <c:dPt>
            <c:idx val="7"/>
            <c:bubble3D val="0"/>
            <c:spPr>
              <a:solidFill>
                <a:schemeClr val="accent2">
                  <a:lumMod val="60000"/>
                </a:schemeClr>
              </a:solidFill>
              <a:ln>
                <a:solidFill>
                  <a:schemeClr val="bg1"/>
                </a:solidFill>
              </a:ln>
              <a:effectLst/>
              <a:scene3d>
                <a:camera prst="orthographicFront"/>
                <a:lightRig rig="threePt" dir="t"/>
              </a:scene3d>
              <a:sp3d contourW="9525"/>
            </c:spPr>
          </c:dPt>
          <c:dPt>
            <c:idx val="8"/>
            <c:bubble3D val="0"/>
            <c:spPr>
              <a:solidFill>
                <a:schemeClr val="accent3">
                  <a:lumMod val="60000"/>
                </a:schemeClr>
              </a:solidFill>
              <a:ln>
                <a:solidFill>
                  <a:schemeClr val="bg1"/>
                </a:solidFill>
              </a:ln>
              <a:effectLst/>
              <a:scene3d>
                <a:camera prst="orthographicFront"/>
                <a:lightRig rig="threePt" dir="t"/>
              </a:scene3d>
              <a:sp3d contourW="9525"/>
            </c:spPr>
          </c:dPt>
          <c:dPt>
            <c:idx val="9"/>
            <c:bubble3D val="0"/>
            <c:spPr>
              <a:solidFill>
                <a:schemeClr val="accent4">
                  <a:lumMod val="60000"/>
                </a:schemeClr>
              </a:solidFill>
              <a:ln>
                <a:solidFill>
                  <a:schemeClr val="bg1"/>
                </a:solidFill>
              </a:ln>
              <a:effectLst/>
              <a:scene3d>
                <a:camera prst="orthographicFront"/>
                <a:lightRig rig="threePt" dir="t"/>
              </a:scene3d>
              <a:sp3d contourW="9525"/>
            </c:spPr>
          </c:dPt>
          <c:dPt>
            <c:idx val="10"/>
            <c:bubble3D val="0"/>
            <c:spPr>
              <a:solidFill>
                <a:schemeClr val="accent5">
                  <a:lumMod val="60000"/>
                </a:schemeClr>
              </a:solidFill>
              <a:ln>
                <a:solidFill>
                  <a:schemeClr val="bg1"/>
                </a:solidFill>
              </a:ln>
              <a:effectLst/>
              <a:scene3d>
                <a:camera prst="orthographicFront"/>
                <a:lightRig rig="threePt" dir="t"/>
              </a:scene3d>
              <a:sp3d contourW="9525"/>
            </c:spPr>
          </c:dPt>
          <c:dPt>
            <c:idx val="11"/>
            <c:bubble3D val="0"/>
            <c:spPr>
              <a:solidFill>
                <a:schemeClr val="accent6">
                  <a:lumMod val="60000"/>
                </a:schemeClr>
              </a:solidFill>
              <a:ln>
                <a:solidFill>
                  <a:schemeClr val="bg1"/>
                </a:solidFill>
              </a:ln>
              <a:effectLst/>
              <a:scene3d>
                <a:camera prst="orthographicFront"/>
                <a:lightRig rig="threePt" dir="t"/>
              </a:scene3d>
              <a:sp3d contourW="9525"/>
            </c:spPr>
          </c:dPt>
          <c:dPt>
            <c:idx val="12"/>
            <c:bubble3D val="0"/>
            <c:spPr>
              <a:solidFill>
                <a:schemeClr val="accent1">
                  <a:lumMod val="80000"/>
                  <a:lumOff val="20000"/>
                </a:schemeClr>
              </a:solidFill>
              <a:ln>
                <a:solidFill>
                  <a:schemeClr val="bg1"/>
                </a:solidFill>
              </a:ln>
              <a:effectLst/>
              <a:scene3d>
                <a:camera prst="orthographicFront"/>
                <a:lightRig rig="threePt" dir="t"/>
              </a:scene3d>
              <a:sp3d contourW="9525"/>
            </c:spPr>
          </c:dPt>
          <c:dPt>
            <c:idx val="13"/>
            <c:bubble3D val="0"/>
            <c:spPr>
              <a:solidFill>
                <a:schemeClr val="accent2">
                  <a:lumMod val="80000"/>
                  <a:lumOff val="20000"/>
                </a:schemeClr>
              </a:solidFill>
              <a:ln>
                <a:solidFill>
                  <a:schemeClr val="bg1"/>
                </a:solidFill>
              </a:ln>
              <a:effectLst/>
              <a:scene3d>
                <a:camera prst="orthographicFront"/>
                <a:lightRig rig="threePt" dir="t"/>
              </a:scene3d>
              <a:sp3d contourW="9525"/>
            </c:spPr>
          </c:dPt>
          <c:dPt>
            <c:idx val="14"/>
            <c:bubble3D val="0"/>
            <c:spPr>
              <a:solidFill>
                <a:schemeClr val="accent3">
                  <a:lumMod val="80000"/>
                  <a:lumOff val="20000"/>
                </a:schemeClr>
              </a:solidFill>
              <a:ln>
                <a:solidFill>
                  <a:schemeClr val="bg1"/>
                </a:solidFill>
              </a:ln>
              <a:effectLst/>
              <a:scene3d>
                <a:camera prst="orthographicFront"/>
                <a:lightRig rig="threePt" dir="t"/>
              </a:scene3d>
              <a:sp3d contourW="9525"/>
            </c:spPr>
          </c:dPt>
          <c:dPt>
            <c:idx val="15"/>
            <c:bubble3D val="0"/>
            <c:spPr>
              <a:solidFill>
                <a:schemeClr val="accent4">
                  <a:lumMod val="80000"/>
                  <a:lumOff val="20000"/>
                </a:schemeClr>
              </a:solidFill>
              <a:ln>
                <a:solidFill>
                  <a:schemeClr val="bg1"/>
                </a:solidFill>
              </a:ln>
              <a:effectLst/>
              <a:scene3d>
                <a:camera prst="orthographicFront"/>
                <a:lightRig rig="threePt" dir="t"/>
              </a:scene3d>
              <a:sp3d contourW="9525"/>
            </c:spPr>
          </c:dPt>
          <c:dPt>
            <c:idx val="16"/>
            <c:bubble3D val="0"/>
            <c:spPr>
              <a:solidFill>
                <a:schemeClr val="accent5">
                  <a:lumMod val="80000"/>
                  <a:lumOff val="20000"/>
                </a:schemeClr>
              </a:solidFill>
              <a:ln>
                <a:solidFill>
                  <a:schemeClr val="bg1"/>
                </a:solidFill>
              </a:ln>
              <a:effectLst/>
              <a:scene3d>
                <a:camera prst="orthographicFront"/>
                <a:lightRig rig="threePt" dir="t"/>
              </a:scene3d>
              <a:sp3d contourW="9525"/>
            </c:spPr>
          </c:dPt>
          <c:dPt>
            <c:idx val="17"/>
            <c:bubble3D val="0"/>
            <c:spPr>
              <a:solidFill>
                <a:schemeClr val="accent6">
                  <a:lumMod val="80000"/>
                  <a:lumOff val="20000"/>
                </a:schemeClr>
              </a:solidFill>
              <a:ln>
                <a:solidFill>
                  <a:schemeClr val="bg1"/>
                </a:solidFill>
              </a:ln>
              <a:effectLst/>
              <a:scene3d>
                <a:camera prst="orthographicFront"/>
                <a:lightRig rig="threePt" dir="t"/>
              </a:scene3d>
              <a:sp3d contourW="9525"/>
            </c:spPr>
          </c:dPt>
          <c:dPt>
            <c:idx val="18"/>
            <c:bubble3D val="0"/>
            <c:spPr>
              <a:solidFill>
                <a:schemeClr val="accent1">
                  <a:lumMod val="80000"/>
                </a:schemeClr>
              </a:solidFill>
              <a:ln>
                <a:solidFill>
                  <a:schemeClr val="bg1"/>
                </a:solidFill>
              </a:ln>
              <a:effectLst/>
              <a:scene3d>
                <a:camera prst="orthographicFront"/>
                <a:lightRig rig="threePt" dir="t"/>
              </a:scene3d>
              <a:sp3d contourW="9525"/>
            </c:spPr>
          </c:dPt>
          <c:dPt>
            <c:idx val="19"/>
            <c:bubble3D val="0"/>
            <c:spPr>
              <a:solidFill>
                <a:schemeClr val="accent2">
                  <a:lumMod val="80000"/>
                </a:schemeClr>
              </a:solidFill>
              <a:ln>
                <a:solidFill>
                  <a:schemeClr val="bg1"/>
                </a:solidFill>
              </a:ln>
              <a:effectLst/>
              <a:scene3d>
                <a:camera prst="orthographicFront"/>
                <a:lightRig rig="threePt" dir="t"/>
              </a:scene3d>
              <a:sp3d contourW="9525"/>
            </c:spPr>
          </c:dPt>
          <c:dLbls>
            <c:delete val="1"/>
          </c:dLbls>
          <c:cat>
            <c:strRef>
              <c:f>'[政府信息公开台账（2025 2024）.xlsx]Sheet2'!$C$5:$C$24</c:f>
              <c:strCache>
                <c:ptCount val="20"/>
                <c:pt idx="0">
                  <c:v>公告公示</c:v>
                </c:pt>
                <c:pt idx="1">
                  <c:v>行政执法公示</c:v>
                </c:pt>
                <c:pt idx="2">
                  <c:v>财政预算决算</c:v>
                </c:pt>
                <c:pt idx="3">
                  <c:v>建议提案办理</c:v>
                </c:pt>
                <c:pt idx="4">
                  <c:v>涉农补贴</c:v>
                </c:pt>
                <c:pt idx="5">
                  <c:v>乡村振兴</c:v>
                </c:pt>
                <c:pt idx="6">
                  <c:v>“双随机、一公开”</c:v>
                </c:pt>
                <c:pt idx="7">
                  <c:v>民生实事工作落实</c:v>
                </c:pt>
                <c:pt idx="8">
                  <c:v>部门文件</c:v>
                </c:pt>
                <c:pt idx="9">
                  <c:v>会议公开</c:v>
                </c:pt>
                <c:pt idx="10">
                  <c:v>政策解读</c:v>
                </c:pt>
                <c:pt idx="11">
                  <c:v>年报图解</c:v>
                </c:pt>
                <c:pt idx="12">
                  <c:v>收费项目及招标投标</c:v>
                </c:pt>
                <c:pt idx="13">
                  <c:v>政府工作报告落实</c:v>
                </c:pt>
                <c:pt idx="14">
                  <c:v>政府信息公开年报</c:v>
                </c:pt>
                <c:pt idx="15">
                  <c:v>政务公开工作培训</c:v>
                </c:pt>
                <c:pt idx="16">
                  <c:v>政务公开工作推进</c:v>
                </c:pt>
                <c:pt idx="17">
                  <c:v>政务公开组织领导</c:v>
                </c:pt>
                <c:pt idx="18">
                  <c:v>执行效果评估</c:v>
                </c:pt>
                <c:pt idx="19">
                  <c:v>重大决策预公开</c:v>
                </c:pt>
              </c:strCache>
            </c:strRef>
          </c:cat>
          <c:val>
            <c:numRef>
              <c:f>'[政府信息公开台账（2025 2024）.xlsx]Sheet2'!$D$5:$D$24</c:f>
              <c:numCache>
                <c:formatCode>General</c:formatCode>
                <c:ptCount val="20"/>
                <c:pt idx="0">
                  <c:v>28</c:v>
                </c:pt>
                <c:pt idx="1">
                  <c:v>30</c:v>
                </c:pt>
                <c:pt idx="2">
                  <c:v>17</c:v>
                </c:pt>
                <c:pt idx="3">
                  <c:v>9</c:v>
                </c:pt>
                <c:pt idx="4">
                  <c:v>22</c:v>
                </c:pt>
                <c:pt idx="5">
                  <c:v>5</c:v>
                </c:pt>
                <c:pt idx="6">
                  <c:v>5</c:v>
                </c:pt>
                <c:pt idx="7">
                  <c:v>5</c:v>
                </c:pt>
                <c:pt idx="8">
                  <c:v>1</c:v>
                </c:pt>
                <c:pt idx="9">
                  <c:v>1</c:v>
                </c:pt>
                <c:pt idx="10">
                  <c:v>3</c:v>
                </c:pt>
                <c:pt idx="11">
                  <c:v>1</c:v>
                </c:pt>
                <c:pt idx="12">
                  <c:v>1</c:v>
                </c:pt>
                <c:pt idx="13">
                  <c:v>4</c:v>
                </c:pt>
                <c:pt idx="14">
                  <c:v>1</c:v>
                </c:pt>
                <c:pt idx="15">
                  <c:v>1</c:v>
                </c:pt>
                <c:pt idx="16">
                  <c:v>1</c:v>
                </c:pt>
                <c:pt idx="17">
                  <c:v>2</c:v>
                </c:pt>
                <c:pt idx="18">
                  <c:v>1</c:v>
                </c:pt>
                <c:pt idx="19">
                  <c:v>2</c:v>
                </c:pt>
              </c:numCache>
            </c:numRef>
          </c:val>
        </c:ser>
        <c:dLbls>
          <c:showLegendKey val="0"/>
          <c:showVal val="0"/>
          <c:showCatName val="0"/>
          <c:showSerName val="0"/>
          <c:showPercent val="0"/>
          <c:showBubbleSize val="0"/>
        </c:dLbls>
      </c:pie3DChart>
      <c:spPr>
        <a:noFill/>
        <a:ln>
          <a:noFill/>
        </a:ln>
        <a:effectLst/>
      </c:spPr>
    </c:plotArea>
    <c:legend>
      <c:legendPos val="r"/>
      <c:legendEntry>
        <c:idx val="0"/>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1"/>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2"/>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3"/>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4"/>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5"/>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6"/>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7"/>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8"/>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9"/>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10"/>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11"/>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12"/>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13"/>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14"/>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15"/>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16"/>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17"/>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18"/>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egendEntry>
        <c:idx val="19"/>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Entry>
      <c:layout>
        <c:manualLayout>
          <c:xMode val="edge"/>
          <c:yMode val="edge"/>
          <c:x val="0.759559076817086"/>
          <c:y val="0.0532091785833056"/>
          <c:w val="0.21977264898381"/>
          <c:h val="0.899401396740938"/>
        </c:manualLayout>
      </c:layout>
      <c:overlay val="0"/>
      <c:spPr>
        <a:noFill/>
        <a:ln>
          <a:noFill/>
        </a:ln>
        <a:effectLst/>
      </c:spPr>
      <c:txPr>
        <a:bodyPr rot="0" spcFirstLastPara="0" vertOverflow="ellipsis" vert="horz" wrap="square" anchor="ctr" anchorCtr="1"/>
        <a:lstStyle/>
        <a:p>
          <a:pPr>
            <a:defRPr lang="zh-CN" sz="900" b="1" i="0" u="none" strike="noStrike" kern="1200" baseline="0">
              <a:solidFill>
                <a:schemeClr val="tx1">
                  <a:lumMod val="65000"/>
                  <a:lumOff val="35000"/>
                </a:schemeClr>
              </a:solidFill>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legend>
    <c:plotVisOnly val="1"/>
    <c:dispBlanksAs val="gap"/>
    <c:showDLblsOverMax val="0"/>
    <c:extLst>
      <c:ext uri="{0b15fc19-7d7d-44ad-8c2d-2c3a37ce22c3}">
        <chartProps xmlns="https://web.wps.cn/et/2018/main" chartId="{aabe945f-46a9-46c3-907d-150fde52b368}"/>
      </c:ext>
    </c:extLst>
  </c:chart>
  <c:spPr>
    <a:solidFill>
      <a:schemeClr val="bg1"/>
    </a:solidFill>
    <a:ln w="9525" cap="flat" cmpd="sng" algn="ctr">
      <a:noFill/>
      <a:round/>
    </a:ln>
    <a:effectLst/>
  </c:spPr>
  <c:txPr>
    <a:bodyPr/>
    <a:lstStyle/>
    <a:p>
      <a:pPr>
        <a:defRPr lang="zh-CN" b="1">
          <a:latin typeface="方正仿宋简体" panose="02010601030101010101" charset="-122"/>
          <a:ea typeface="方正仿宋简体" panose="02010601030101010101" charset="-122"/>
          <a:cs typeface="方正仿宋简体" panose="02010601030101010101" charset="-122"/>
          <a:sym typeface="方正仿宋简体" panose="02010601030101010101"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2877</Words>
  <Characters>2975</Characters>
  <Lines>38</Lines>
  <Paragraphs>10</Paragraphs>
  <TotalTime>434.333333333333</TotalTime>
  <ScaleCrop>false</ScaleCrop>
  <LinksUpToDate>false</LinksUpToDate>
  <CharactersWithSpaces>2975</CharactersWithSpaces>
  <Application>WPS Office_12.8.2.19550_F1E327BC-269C-435d-A152-05C5408002CA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2022-01-19T02:03:00Z</dcterms:created>
  <dc:creator>云淡风轻</dc:creator>
  <cp:lastModifiedBy>huawei</cp:lastModifiedBy>
  <cp:lastPrinted>2024-01-23T11:20:24Z</cp:lastPrinted>
  <dcterms:modified xsi:type="dcterms:W3CDTF">2026-01-13T16:11:57Z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2052-12.8.2.19550</vt:lpwstr>
  </property>
  <property fmtid="{D5CDD505-2E9C-101B-9397-08002B2CF9AE}" pid="3" name="ICV">
    <vt:lpwstr>B5A67065AEC42722FDFC656901732391_43</vt:lpwstr>
  </property>
  <property fmtid="{D5CDD505-2E9C-101B-9397-08002B2CF9AE}" pid="4" name="KSOSaveFontToCloudKey">
    <vt:lpwstr>509185331_btnclosed</vt:lpwstr>
  </property>
  <property fmtid="{D5CDD505-2E9C-101B-9397-08002B2CF9AE}" pid="5" name="KSOTemplateDocerSaveRecord">
    <vt:lpwstr>eyJoZGlkIjoiYzY0MmRhNDEzNzNjMWFmNTFhMTBlZTI3OGE1NzJkNzIiLCJ1c2VySWQiOiIxMjcyMjg2ODg1In0=</vt:lpwstr>
  </property>
</Properties>
</file>