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B0E30">
      <w:pPr>
        <w:spacing w:line="590" w:lineRule="exact"/>
        <w:ind w:right="-100" w:rightChars="-50"/>
        <w:jc w:val="center"/>
        <w:rPr>
          <w:rFonts w:hint="default" w:eastAsia="方正小标宋简体"/>
          <w:b/>
          <w:color w:val="000000"/>
          <w:sz w:val="44"/>
          <w:szCs w:val="44"/>
          <w:lang w:val="en-US" w:eastAsia="zh-CN"/>
        </w:rPr>
      </w:pPr>
      <w:r>
        <w:rPr>
          <w:rFonts w:hint="eastAsia" w:eastAsia="方正小标宋简体"/>
          <w:b/>
          <w:color w:val="000000"/>
          <w:sz w:val="44"/>
          <w:szCs w:val="44"/>
        </w:rPr>
        <w:t>济宁市兖州区</w:t>
      </w:r>
      <w:r>
        <w:rPr>
          <w:rFonts w:hint="eastAsia" w:eastAsia="方正小标宋简体"/>
          <w:b/>
          <w:color w:val="auto"/>
          <w:sz w:val="44"/>
          <w:szCs w:val="44"/>
          <w:highlight w:val="none"/>
          <w:lang w:val="en-US" w:eastAsia="zh-CN"/>
        </w:rPr>
        <w:t>农业农村局</w:t>
      </w:r>
    </w:p>
    <w:p w14:paraId="2A505FB3">
      <w:pPr>
        <w:spacing w:line="590" w:lineRule="exact"/>
        <w:ind w:right="-100" w:rightChars="-50"/>
        <w:jc w:val="center"/>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5</w:t>
      </w:r>
      <w:r>
        <w:rPr>
          <w:rFonts w:eastAsia="方正小标宋简体"/>
          <w:b/>
          <w:color w:val="000000"/>
          <w:sz w:val="44"/>
          <w:szCs w:val="44"/>
        </w:rPr>
        <w:t>年政府信息公开工作年度报告</w:t>
      </w:r>
    </w:p>
    <w:p w14:paraId="69A0A1AA">
      <w:pPr>
        <w:spacing w:line="590" w:lineRule="exact"/>
        <w:ind w:right="-100" w:rightChars="-50" w:firstLine="643" w:firstLineChars="200"/>
        <w:rPr>
          <w:rFonts w:eastAsia="方正仿宋简体"/>
          <w:b/>
          <w:color w:val="000000"/>
          <w:sz w:val="32"/>
          <w:szCs w:val="32"/>
        </w:rPr>
      </w:pPr>
    </w:p>
    <w:p w14:paraId="0DA7D2E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auto"/>
          <w:sz w:val="32"/>
          <w:szCs w:val="32"/>
        </w:rPr>
      </w:pPr>
      <w:r>
        <w:rPr>
          <w:rFonts w:eastAsia="方正仿宋简体"/>
          <w:b/>
          <w:color w:val="000000"/>
          <w:sz w:val="32"/>
          <w:szCs w:val="32"/>
        </w:rPr>
        <w:t>本报告由济宁市兖</w:t>
      </w:r>
      <w:r>
        <w:rPr>
          <w:rFonts w:eastAsia="方正仿宋简体"/>
          <w:b/>
          <w:color w:val="auto"/>
          <w:sz w:val="32"/>
          <w:szCs w:val="32"/>
        </w:rPr>
        <w:t>州区</w:t>
      </w:r>
      <w:r>
        <w:rPr>
          <w:rFonts w:hint="eastAsia" w:eastAsia="方正仿宋简体"/>
          <w:b/>
          <w:color w:val="auto"/>
          <w:sz w:val="32"/>
          <w:szCs w:val="32"/>
          <w:lang w:val="en-US" w:eastAsia="zh-CN"/>
        </w:rPr>
        <w:t>农业农村局</w:t>
      </w:r>
      <w:r>
        <w:rPr>
          <w:rFonts w:eastAsia="方正仿宋简体"/>
          <w:b/>
          <w:color w:val="auto"/>
          <w:sz w:val="32"/>
          <w:szCs w:val="32"/>
        </w:rPr>
        <w:t>按照《中华人民共和国政府信息公开条例》（以下简称《条例》）和《中华人民共和国政府信息公开工作年度报告格式》（国办公开办函〔2021〕30号）要求编制。</w:t>
      </w:r>
    </w:p>
    <w:p w14:paraId="4B67F00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auto"/>
          <w:sz w:val="32"/>
          <w:szCs w:val="32"/>
        </w:rPr>
      </w:pPr>
      <w:r>
        <w:rPr>
          <w:rFonts w:eastAsia="方正仿宋简体"/>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0BB19B8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仿宋简体"/>
          <w:b/>
          <w:color w:val="auto"/>
          <w:sz w:val="32"/>
          <w:szCs w:val="32"/>
        </w:rPr>
      </w:pPr>
      <w:r>
        <w:rPr>
          <w:rFonts w:eastAsia="方正仿宋简体"/>
          <w:b/>
          <w:color w:val="auto"/>
          <w:sz w:val="32"/>
          <w:szCs w:val="32"/>
        </w:rPr>
        <w:t>本报告所列数据的统计期限自202</w:t>
      </w:r>
      <w:r>
        <w:rPr>
          <w:rFonts w:hint="eastAsia" w:eastAsia="方正仿宋简体"/>
          <w:b/>
          <w:color w:val="auto"/>
          <w:sz w:val="32"/>
          <w:szCs w:val="32"/>
          <w:lang w:val="en-US" w:eastAsia="zh-CN"/>
        </w:rPr>
        <w:t>5</w:t>
      </w:r>
      <w:r>
        <w:rPr>
          <w:rFonts w:eastAsia="方正仿宋简体"/>
          <w:b/>
          <w:color w:val="auto"/>
          <w:sz w:val="32"/>
          <w:szCs w:val="32"/>
        </w:rPr>
        <w:t>年1月1日起至202</w:t>
      </w:r>
      <w:r>
        <w:rPr>
          <w:rFonts w:hint="eastAsia" w:eastAsia="方正仿宋简体"/>
          <w:b/>
          <w:color w:val="auto"/>
          <w:sz w:val="32"/>
          <w:szCs w:val="32"/>
          <w:lang w:val="en-US" w:eastAsia="zh-CN"/>
        </w:rPr>
        <w:t>5</w:t>
      </w:r>
      <w:r>
        <w:rPr>
          <w:rFonts w:eastAsia="方正仿宋简体"/>
          <w:b/>
          <w:color w:val="auto"/>
          <w:sz w:val="32"/>
          <w:szCs w:val="32"/>
        </w:rPr>
        <w:t>年12月31日止。本报告电子版可在“中国·</w:t>
      </w:r>
      <w:r>
        <w:rPr>
          <w:rFonts w:hint="eastAsia" w:eastAsia="方正仿宋简体"/>
          <w:b/>
          <w:color w:val="auto"/>
          <w:sz w:val="32"/>
          <w:szCs w:val="32"/>
        </w:rPr>
        <w:t>兖州</w:t>
      </w:r>
      <w:r>
        <w:rPr>
          <w:rFonts w:eastAsia="方正仿宋简体"/>
          <w:b/>
          <w:color w:val="auto"/>
          <w:sz w:val="32"/>
          <w:szCs w:val="32"/>
        </w:rPr>
        <w:t>”政府门户网站（www.yanzhou.gov.cn）查阅或下载。如对本报告有疑问，请与济宁市兖州区</w:t>
      </w:r>
      <w:r>
        <w:rPr>
          <w:rFonts w:hint="eastAsia" w:eastAsia="方正仿宋简体"/>
          <w:b/>
          <w:color w:val="auto"/>
          <w:sz w:val="32"/>
          <w:szCs w:val="32"/>
          <w:lang w:val="en-US" w:eastAsia="zh-CN"/>
        </w:rPr>
        <w:t>农业农村局</w:t>
      </w:r>
      <w:r>
        <w:rPr>
          <w:rFonts w:eastAsia="方正仿宋简体"/>
          <w:b/>
          <w:color w:val="auto"/>
          <w:sz w:val="32"/>
          <w:szCs w:val="32"/>
        </w:rPr>
        <w:t>联系（地址：济宁市兖州区</w:t>
      </w:r>
      <w:r>
        <w:rPr>
          <w:rFonts w:hint="eastAsia" w:eastAsia="方正仿宋简体"/>
          <w:b/>
          <w:color w:val="auto"/>
          <w:sz w:val="32"/>
          <w:szCs w:val="32"/>
          <w:lang w:eastAsia="zh-CN"/>
        </w:rPr>
        <w:t>迎</w:t>
      </w:r>
      <w:r>
        <w:rPr>
          <w:rFonts w:hint="eastAsia" w:eastAsia="方正仿宋简体"/>
          <w:b/>
          <w:color w:val="auto"/>
          <w:sz w:val="32"/>
          <w:szCs w:val="32"/>
          <w:lang w:val="en-US" w:eastAsia="zh-CN"/>
        </w:rPr>
        <w:t>春路北首农高园大楼11楼</w:t>
      </w:r>
      <w:r>
        <w:rPr>
          <w:rFonts w:eastAsia="方正仿宋简体"/>
          <w:b/>
          <w:color w:val="auto"/>
          <w:sz w:val="32"/>
          <w:szCs w:val="32"/>
        </w:rPr>
        <w:t>，联系电话：0537</w:t>
      </w:r>
      <w:r>
        <w:rPr>
          <w:rFonts w:hint="eastAsia" w:eastAsia="方正仿宋简体"/>
          <w:b/>
          <w:color w:val="auto"/>
          <w:sz w:val="32"/>
          <w:szCs w:val="32"/>
        </w:rPr>
        <w:t>—</w:t>
      </w:r>
      <w:r>
        <w:rPr>
          <w:rFonts w:hint="eastAsia" w:eastAsia="方正仿宋简体"/>
          <w:b/>
          <w:color w:val="auto"/>
          <w:sz w:val="32"/>
          <w:szCs w:val="32"/>
          <w:lang w:val="en-US" w:eastAsia="zh-CN"/>
        </w:rPr>
        <w:t>3412713</w:t>
      </w:r>
      <w:r>
        <w:rPr>
          <w:rFonts w:eastAsia="方正仿宋简体"/>
          <w:b/>
          <w:color w:val="auto"/>
          <w:sz w:val="32"/>
          <w:szCs w:val="32"/>
        </w:rPr>
        <w:t>）。</w:t>
      </w:r>
    </w:p>
    <w:p w14:paraId="416D5E5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一、总体情况</w:t>
      </w:r>
    </w:p>
    <w:p w14:paraId="7D17ABD4">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color w:val="000000"/>
          <w:sz w:val="32"/>
          <w:lang w:eastAsia="zh-CN"/>
        </w:rPr>
      </w:pPr>
      <w:r>
        <w:rPr>
          <w:rFonts w:hint="eastAsia" w:eastAsia="方正仿宋简体"/>
          <w:b/>
          <w:color w:val="000000"/>
          <w:sz w:val="32"/>
          <w:lang w:val="en-US" w:eastAsia="zh-CN"/>
        </w:rPr>
        <w:t>2025年，区农业农村局严格按照《条例》规定，认真落实区政府关于深化政务公开工作的各项要求。紧密围绕全区“三农”工作重点任务，不断健全工作机制，创新公开方式，强化解读回应，持续深化农业农村领域政府信息公开工作，全年政府信息公开各项任务顺利完成。</w:t>
      </w:r>
    </w:p>
    <w:p w14:paraId="418205B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FF"/>
          <w:sz w:val="32"/>
          <w:szCs w:val="32"/>
          <w:lang w:eastAsia="zh-CN"/>
        </w:rPr>
      </w:pPr>
      <w:r>
        <w:rPr>
          <w:rFonts w:eastAsia="方正楷体简体"/>
          <w:b/>
          <w:color w:val="000000"/>
          <w:sz w:val="32"/>
          <w:szCs w:val="32"/>
        </w:rPr>
        <w:t>（一）主动公开</w:t>
      </w:r>
    </w:p>
    <w:p w14:paraId="30B0EA10">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区农业农村局全力推进政府信息公开工作有序开展，2025年共主</w:t>
      </w:r>
      <w:r>
        <w:rPr>
          <w:rFonts w:hint="eastAsia" w:ascii="Times New Roman" w:hAnsi="Times New Roman" w:eastAsia="方正仿宋简体" w:cs="Times New Roman"/>
          <w:b/>
          <w:color w:val="000000"/>
          <w:sz w:val="32"/>
          <w:shd w:val="clear" w:color="auto" w:fill="auto"/>
          <w:lang w:val="en-US" w:eastAsia="zh-CN"/>
        </w:rPr>
        <w:t>动公开信息140条。其中，公开公告公示28条，行政执法公示30条，财政预算决算17条，建议提案办理答复8条，涉农补贴专栏22条，乡村振兴专栏5条，“双随机、一公开”专栏5条，民生实事工作落实5条，其他20条。</w:t>
      </w:r>
    </w:p>
    <w:p w14:paraId="55618384">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简体" w:cs="Times New Roman"/>
          <w:b/>
          <w:color w:val="000000"/>
          <w:sz w:val="32"/>
          <w:lang w:val="en-US" w:eastAsia="zh-CN"/>
        </w:rPr>
      </w:pPr>
      <w:r>
        <w:drawing>
          <wp:inline distT="0" distB="0" distL="114300" distR="114300">
            <wp:extent cx="5270500" cy="3639185"/>
            <wp:effectExtent l="0" t="0" r="6350" b="1841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bookmarkStart w:id="1" w:name="_GoBack"/>
      <w:bookmarkEnd w:id="1"/>
    </w:p>
    <w:p w14:paraId="231E7E2B">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楷体简体"/>
          <w:b/>
          <w:color w:val="000000"/>
          <w:sz w:val="32"/>
          <w:szCs w:val="32"/>
        </w:rPr>
      </w:pPr>
      <w:r>
        <w:rPr>
          <w:rFonts w:eastAsia="方正楷体简体"/>
          <w:b/>
          <w:color w:val="000000"/>
          <w:sz w:val="32"/>
          <w:szCs w:val="32"/>
        </w:rPr>
        <w:t>（二）依申请公开</w:t>
      </w:r>
    </w:p>
    <w:p w14:paraId="06577797">
      <w:pPr>
        <w:pStyle w:val="3"/>
        <w:keepNext w:val="0"/>
        <w:keepLines w:val="0"/>
        <w:pageBreakBefore w:val="0"/>
        <w:widowControl w:val="0"/>
        <w:kinsoku/>
        <w:wordWrap/>
        <w:overflowPunct/>
        <w:topLinePunct w:val="0"/>
        <w:autoSpaceDE/>
        <w:autoSpaceDN/>
        <w:bidi w:val="0"/>
        <w:adjustRightInd/>
        <w:snapToGrid/>
        <w:spacing w:after="0" w:line="590" w:lineRule="exact"/>
        <w:ind w:right="0" w:rightChars="0" w:firstLine="643" w:firstLineChars="200"/>
        <w:jc w:val="left"/>
        <w:textAlignment w:val="auto"/>
        <w:rPr>
          <w:rFonts w:hint="eastAsia" w:eastAsia="宋体"/>
          <w:b/>
          <w:bCs/>
          <w:lang w:eastAsia="zh-CN"/>
        </w:rPr>
      </w:pPr>
      <w:r>
        <w:rPr>
          <w:rFonts w:hint="eastAsia" w:ascii="Times New Roman" w:hAnsi="Times New Roman" w:eastAsia="方正仿宋简体" w:cs="Times New Roman"/>
          <w:b/>
          <w:color w:val="000000"/>
          <w:sz w:val="32"/>
          <w:lang w:val="en-US" w:eastAsia="zh-CN"/>
        </w:rPr>
        <w:t>2025年度区农业农村局收到政府信息公开申请1条，与2024年申请数量持平，结转2026年继续办理。年内未收取任何费用。</w:t>
      </w:r>
    </w:p>
    <w:p w14:paraId="00FCEB54">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（三）</w:t>
      </w:r>
      <w:r>
        <w:rPr>
          <w:rFonts w:hint="eastAsia" w:eastAsia="方正楷体简体"/>
          <w:b/>
          <w:color w:val="000000"/>
          <w:sz w:val="32"/>
          <w:szCs w:val="32"/>
        </w:rPr>
        <w:t>政府信息管理</w:t>
      </w:r>
    </w:p>
    <w:p w14:paraId="67053A2E">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bCs/>
          <w:color w:val="FF0000"/>
          <w:sz w:val="32"/>
          <w:szCs w:val="32"/>
          <w:lang w:val="en-US" w:eastAsia="zh-CN"/>
        </w:rPr>
      </w:pPr>
      <w:r>
        <w:rPr>
          <w:rFonts w:hint="eastAsia" w:ascii="Times New Roman" w:hAnsi="Times New Roman" w:eastAsia="方正仿宋简体" w:cs="Times New Roman"/>
          <w:b/>
          <w:color w:val="000000"/>
          <w:sz w:val="32"/>
          <w:lang w:val="en-US" w:eastAsia="zh-CN"/>
        </w:rPr>
        <w:t>区农业农村局高度重视政府信息的发布与管理工作，遵循“一事一审”的原则，不断完善信息发布审核机制，制定《济宁市兖州区农业农村局政府信息公开保密审查制度》，所有拟发布信息均需由拟稿人、科室负责人、科室分管领导进行三级审核，并按规定填写《农业农村局政府信息公开保密审查表》，由专人统一归档保存，确保信息发布内容真实、准确、规范、安全。建立健全已公开信息动态监测，不定时进行抽查，发现问题及时整改，筑牢信息公开安全底线。</w:t>
      </w:r>
    </w:p>
    <w:p w14:paraId="1EF5D97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（四）政府信息公开平台建设</w:t>
      </w:r>
    </w:p>
    <w:p w14:paraId="75A3A8B0">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bCs/>
          <w:color w:val="FF0000"/>
          <w:sz w:val="32"/>
          <w:szCs w:val="32"/>
          <w:lang w:val="en-US" w:eastAsia="zh-CN"/>
        </w:rPr>
      </w:pPr>
      <w:r>
        <w:rPr>
          <w:rFonts w:hint="eastAsia" w:ascii="Times New Roman" w:hAnsi="Times New Roman" w:eastAsia="方正仿宋简体" w:cs="Times New Roman"/>
          <w:b/>
          <w:strike w:val="0"/>
          <w:dstrike w:val="0"/>
          <w:color w:val="000000"/>
          <w:sz w:val="32"/>
          <w:lang w:val="en-US" w:eastAsia="zh-CN"/>
        </w:rPr>
        <w:t>区农业农村局把区政府门户网站作为农业农村领域信息公开主阵地，</w:t>
      </w:r>
      <w:r>
        <w:rPr>
          <w:rFonts w:hint="eastAsia" w:ascii="Times New Roman" w:hAnsi="Times New Roman" w:eastAsia="方正仿宋简体" w:cs="Times New Roman"/>
          <w:b/>
          <w:color w:val="000000"/>
          <w:sz w:val="32"/>
          <w:lang w:val="en-US" w:eastAsia="zh-CN"/>
        </w:rPr>
        <w:t>以主动、规范、透明、便民为导向，积极回应社会关切。通过“乡村振兴”、“涉农补贴”等专题栏目，集中发布农业农村领域重要政策解读与阶段性工作进展，并在农业农村局设立政府信息公开查阅点，便于群众线下查询、准确掌握相关政策与动态，有效增强信息传播与公众参与。</w:t>
      </w:r>
    </w:p>
    <w:p w14:paraId="56AD61F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FF"/>
          <w:sz w:val="32"/>
          <w:szCs w:val="32"/>
          <w:lang w:eastAsia="zh-CN"/>
        </w:rPr>
      </w:pPr>
      <w:r>
        <w:rPr>
          <w:rFonts w:eastAsia="方正楷体简体"/>
          <w:b/>
          <w:color w:val="000000"/>
          <w:sz w:val="32"/>
          <w:szCs w:val="32"/>
        </w:rPr>
        <w:t>（五）监督保障</w:t>
      </w:r>
    </w:p>
    <w:p w14:paraId="1D10ED5E">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bCs/>
          <w:strike/>
          <w:dstrike w:val="0"/>
          <w:color w:val="FF0000"/>
          <w:sz w:val="32"/>
          <w:szCs w:val="32"/>
          <w:lang w:val="en-US" w:eastAsia="zh-CN"/>
        </w:rPr>
      </w:pPr>
      <w:r>
        <w:rPr>
          <w:rFonts w:hint="eastAsia" w:ascii="Times New Roman" w:hAnsi="Times New Roman" w:eastAsia="方正仿宋简体" w:cs="Times New Roman"/>
          <w:b/>
          <w:color w:val="000000"/>
          <w:sz w:val="32"/>
          <w:lang w:val="en-US" w:eastAsia="zh-CN"/>
        </w:rPr>
        <w:t>区农业农村局持续加强信息公开工作的组织保障与机制建设。明确办公室作为政府信息公开专职机构，配备1名专职工作人员负责政务公开日常事务，确保工作责任到人、落实到位。加强业务培训，每年组织各科室学习《条例》和相关法律法规，增强规范公开意识和业务水平，确保信息公开依法依规、标准有序。</w:t>
      </w:r>
    </w:p>
    <w:p w14:paraId="441519A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color w:val="000000"/>
          <w:sz w:val="32"/>
          <w:szCs w:val="32"/>
        </w:rPr>
      </w:pPr>
      <w:r>
        <w:rPr>
          <w:rFonts w:eastAsia="方正黑体简体"/>
          <w:b/>
          <w:color w:val="000000"/>
          <w:sz w:val="32"/>
          <w:szCs w:val="32"/>
        </w:rPr>
        <w:t>二、主动公开政府信息情况</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128"/>
        <w:gridCol w:w="2128"/>
        <w:gridCol w:w="2137"/>
      </w:tblGrid>
      <w:tr w14:paraId="5EBB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516C1A64">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14:paraId="51DB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7D463C36">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noWrap w:val="0"/>
            <w:vAlign w:val="center"/>
          </w:tcPr>
          <w:p w14:paraId="66CAAB4E">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noWrap w:val="0"/>
            <w:vAlign w:val="center"/>
          </w:tcPr>
          <w:p w14:paraId="3EFCD94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noWrap w:val="0"/>
            <w:vAlign w:val="center"/>
          </w:tcPr>
          <w:p w14:paraId="332DB5D3">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14:paraId="1BD2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4E74DA8F">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noWrap w:val="0"/>
            <w:vAlign w:val="center"/>
          </w:tcPr>
          <w:p w14:paraId="674A94BA">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noWrap w:val="0"/>
            <w:vAlign w:val="center"/>
          </w:tcPr>
          <w:p w14:paraId="7597C298">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noWrap w:val="0"/>
            <w:vAlign w:val="center"/>
          </w:tcPr>
          <w:p w14:paraId="5B84F655">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2F4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7EDA83E0">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noWrap w:val="0"/>
            <w:vAlign w:val="center"/>
          </w:tcPr>
          <w:p w14:paraId="407BFCF7">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noWrap w:val="0"/>
            <w:vAlign w:val="center"/>
          </w:tcPr>
          <w:p w14:paraId="0DF360F4">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noWrap w:val="0"/>
            <w:vAlign w:val="center"/>
          </w:tcPr>
          <w:p w14:paraId="2473D337">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14:paraId="2288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48745733">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14:paraId="6483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2D025CA9">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4D8D868D">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75B8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71D9ACBE">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noWrap w:val="0"/>
            <w:vAlign w:val="center"/>
          </w:tcPr>
          <w:p w14:paraId="0ECD6727">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651</w:t>
            </w:r>
          </w:p>
        </w:tc>
      </w:tr>
      <w:tr w14:paraId="5C45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75875F3A">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14:paraId="5E67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37B697B6">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2E955A1A">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14:paraId="1653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1CD680D8">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noWrap w:val="0"/>
            <w:vAlign w:val="center"/>
          </w:tcPr>
          <w:p w14:paraId="29D6D82F">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16</w:t>
            </w:r>
          </w:p>
        </w:tc>
      </w:tr>
      <w:tr w14:paraId="5EE2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39B0799E">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noWrap w:val="0"/>
            <w:vAlign w:val="center"/>
          </w:tcPr>
          <w:p w14:paraId="6B564CED">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1</w:t>
            </w:r>
          </w:p>
        </w:tc>
      </w:tr>
      <w:tr w14:paraId="24D1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shd w:val="clear" w:color="000000" w:fill="C6D9F1"/>
            <w:noWrap w:val="0"/>
            <w:vAlign w:val="center"/>
          </w:tcPr>
          <w:p w14:paraId="6F3497BC">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14:paraId="0707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052DDF13">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noWrap w:val="0"/>
            <w:vAlign w:val="center"/>
          </w:tcPr>
          <w:p w14:paraId="67F918B7">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14:paraId="3508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8" w:type="pct"/>
            <w:noWrap w:val="0"/>
            <w:vAlign w:val="center"/>
          </w:tcPr>
          <w:p w14:paraId="586DFB82">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noWrap w:val="0"/>
            <w:vAlign w:val="center"/>
          </w:tcPr>
          <w:p w14:paraId="037A965E">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bl>
    <w:p w14:paraId="32AC64A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eastAsia="方正黑体简体"/>
          <w:b/>
          <w:color w:val="FF0000"/>
          <w:sz w:val="32"/>
          <w:szCs w:val="32"/>
          <w:lang w:eastAsia="zh-CN"/>
        </w:rPr>
      </w:pPr>
      <w:r>
        <w:rPr>
          <w:rFonts w:eastAsia="方正黑体简体"/>
          <w:b/>
          <w:sz w:val="32"/>
          <w:szCs w:val="32"/>
        </w:rPr>
        <w:t>三、收到和处理政府信息公开申请情况</w:t>
      </w:r>
    </w:p>
    <w:tbl>
      <w:tblPr>
        <w:tblStyle w:val="10"/>
        <w:tblpPr w:leftFromText="180" w:rightFromText="180" w:vertAnchor="text" w:horzAnchor="page" w:tblpX="1092" w:tblpY="296"/>
        <w:tblOverlap w:val="never"/>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4D66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14:paraId="30142321">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14:paraId="19F0AB0B">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noWrap w:val="0"/>
            <w:tcMar>
              <w:left w:w="108" w:type="dxa"/>
              <w:right w:w="108" w:type="dxa"/>
            </w:tcMar>
            <w:vAlign w:val="center"/>
          </w:tcPr>
          <w:p w14:paraId="6859D3D5">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14:paraId="5C0B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14:paraId="3F87E9EF">
            <w:pPr>
              <w:jc w:val="center"/>
              <w:rPr>
                <w:rFonts w:ascii="Times New Roman" w:hAnsi="Times New Roman" w:eastAsia="仿宋_GB2312"/>
                <w:szCs w:val="21"/>
              </w:rPr>
            </w:pPr>
          </w:p>
        </w:tc>
        <w:tc>
          <w:tcPr>
            <w:tcW w:w="829" w:type="dxa"/>
            <w:vMerge w:val="restart"/>
            <w:noWrap w:val="0"/>
            <w:tcMar>
              <w:left w:w="108" w:type="dxa"/>
              <w:right w:w="108" w:type="dxa"/>
            </w:tcMar>
            <w:vAlign w:val="center"/>
          </w:tcPr>
          <w:p w14:paraId="354E05CD">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noWrap w:val="0"/>
            <w:tcMar>
              <w:left w:w="108" w:type="dxa"/>
              <w:right w:w="108" w:type="dxa"/>
            </w:tcMar>
            <w:vAlign w:val="center"/>
          </w:tcPr>
          <w:p w14:paraId="6A15A4B4">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noWrap w:val="0"/>
            <w:tcMar>
              <w:left w:w="108" w:type="dxa"/>
              <w:right w:w="108" w:type="dxa"/>
            </w:tcMar>
            <w:vAlign w:val="center"/>
          </w:tcPr>
          <w:p w14:paraId="42C46F87">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14:paraId="0F51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14:paraId="7BF2AA49">
            <w:pPr>
              <w:jc w:val="center"/>
              <w:rPr>
                <w:rFonts w:ascii="Times New Roman" w:hAnsi="Times New Roman" w:eastAsia="仿宋_GB2312"/>
                <w:szCs w:val="21"/>
              </w:rPr>
            </w:pPr>
          </w:p>
        </w:tc>
        <w:tc>
          <w:tcPr>
            <w:tcW w:w="829" w:type="dxa"/>
            <w:vMerge w:val="continue"/>
            <w:noWrap w:val="0"/>
            <w:tcMar>
              <w:left w:w="108" w:type="dxa"/>
              <w:right w:w="108" w:type="dxa"/>
            </w:tcMar>
            <w:vAlign w:val="center"/>
          </w:tcPr>
          <w:p w14:paraId="1363D438">
            <w:pPr>
              <w:jc w:val="center"/>
              <w:rPr>
                <w:rFonts w:ascii="Times New Roman" w:hAnsi="Times New Roman" w:eastAsia="黑体"/>
                <w:szCs w:val="21"/>
              </w:rPr>
            </w:pPr>
          </w:p>
        </w:tc>
        <w:tc>
          <w:tcPr>
            <w:tcW w:w="567" w:type="dxa"/>
            <w:noWrap w:val="0"/>
            <w:tcMar>
              <w:left w:w="108" w:type="dxa"/>
              <w:right w:w="108" w:type="dxa"/>
            </w:tcMar>
            <w:vAlign w:val="center"/>
          </w:tcPr>
          <w:p w14:paraId="703822F4">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noWrap w:val="0"/>
            <w:tcMar>
              <w:left w:w="108" w:type="dxa"/>
              <w:right w:w="108" w:type="dxa"/>
            </w:tcMar>
            <w:vAlign w:val="center"/>
          </w:tcPr>
          <w:p w14:paraId="28BE1937">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noWrap w:val="0"/>
            <w:tcMar>
              <w:left w:w="108" w:type="dxa"/>
              <w:right w:w="108" w:type="dxa"/>
            </w:tcMar>
            <w:vAlign w:val="center"/>
          </w:tcPr>
          <w:p w14:paraId="10FB652B">
            <w:pPr>
              <w:widowControl/>
              <w:spacing w:line="320" w:lineRule="exact"/>
              <w:ind w:left="-102" w:leftChars="-51" w:right="-102"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noWrap w:val="0"/>
            <w:tcMar>
              <w:left w:w="108" w:type="dxa"/>
              <w:right w:w="108" w:type="dxa"/>
            </w:tcMar>
            <w:vAlign w:val="center"/>
          </w:tcPr>
          <w:p w14:paraId="73C9E7EA">
            <w:pPr>
              <w:widowControl/>
              <w:spacing w:line="320" w:lineRule="exact"/>
              <w:ind w:left="-101" w:leftChars="-51" w:right="-102"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noWrap w:val="0"/>
            <w:tcMar>
              <w:left w:w="108" w:type="dxa"/>
              <w:right w:w="108" w:type="dxa"/>
            </w:tcMar>
            <w:vAlign w:val="center"/>
          </w:tcPr>
          <w:p w14:paraId="56A2849D">
            <w:pPr>
              <w:widowControl/>
              <w:spacing w:line="360" w:lineRule="exact"/>
              <w:ind w:left="-60" w:leftChars="-30" w:right="-128"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noWrap w:val="0"/>
            <w:tcMar>
              <w:left w:w="108" w:type="dxa"/>
              <w:right w:w="108" w:type="dxa"/>
            </w:tcMar>
            <w:vAlign w:val="center"/>
          </w:tcPr>
          <w:p w14:paraId="042F0B8E">
            <w:pPr>
              <w:jc w:val="center"/>
              <w:rPr>
                <w:rFonts w:ascii="Times New Roman" w:hAnsi="Times New Roman" w:eastAsia="仿宋_GB2312"/>
                <w:szCs w:val="21"/>
              </w:rPr>
            </w:pPr>
          </w:p>
        </w:tc>
      </w:tr>
      <w:tr w14:paraId="0CC4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3415DD4E">
            <w:pPr>
              <w:widowControl/>
              <w:rPr>
                <w:rFonts w:ascii="Times New Roman" w:hAnsi="Times New Roman" w:eastAsia="黑体"/>
                <w:szCs w:val="21"/>
              </w:rPr>
            </w:pPr>
            <w:r>
              <w:rPr>
                <w:rFonts w:hint="eastAsia" w:ascii="Times New Roman" w:hAnsi="Times New Roman" w:eastAsia="黑体"/>
                <w:kern w:val="0"/>
                <w:szCs w:val="21"/>
              </w:rPr>
              <w:t>一、本年新收政府信息公开申请数量</w:t>
            </w:r>
          </w:p>
        </w:tc>
        <w:tc>
          <w:tcPr>
            <w:tcW w:w="829" w:type="dxa"/>
            <w:noWrap w:val="0"/>
            <w:tcMar>
              <w:left w:w="108" w:type="dxa"/>
              <w:right w:w="108" w:type="dxa"/>
            </w:tcMar>
            <w:vAlign w:val="center"/>
          </w:tcPr>
          <w:p w14:paraId="423C0D8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w:t>
            </w:r>
          </w:p>
        </w:tc>
        <w:tc>
          <w:tcPr>
            <w:tcW w:w="567" w:type="dxa"/>
            <w:noWrap w:val="0"/>
            <w:tcMar>
              <w:left w:w="108" w:type="dxa"/>
              <w:right w:w="108" w:type="dxa"/>
            </w:tcMar>
            <w:vAlign w:val="center"/>
          </w:tcPr>
          <w:p w14:paraId="53A8D8A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3AF4DB0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498B364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7627C95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540D912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18B09A8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w:t>
            </w:r>
          </w:p>
        </w:tc>
      </w:tr>
      <w:tr w14:paraId="1424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14:paraId="0DB07E34">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noWrap w:val="0"/>
            <w:tcMar>
              <w:left w:w="108" w:type="dxa"/>
              <w:right w:w="108" w:type="dxa"/>
            </w:tcMar>
            <w:vAlign w:val="center"/>
          </w:tcPr>
          <w:p w14:paraId="1662C88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25F43A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601E8A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C5ABEC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4A51F8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A08D2E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6B8AA5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324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14:paraId="6E63B680">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noWrap w:val="0"/>
            <w:tcMar>
              <w:left w:w="108" w:type="dxa"/>
              <w:right w:w="108" w:type="dxa"/>
            </w:tcMar>
            <w:vAlign w:val="center"/>
          </w:tcPr>
          <w:p w14:paraId="76A90797">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noWrap w:val="0"/>
            <w:tcMar>
              <w:left w:w="108" w:type="dxa"/>
              <w:right w:w="108" w:type="dxa"/>
            </w:tcMar>
            <w:vAlign w:val="center"/>
          </w:tcPr>
          <w:p w14:paraId="0295FD0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85C3A5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E22ABD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AEB92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F1D090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6EB02D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B86F09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8F7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7D26ABB9">
            <w:pPr>
              <w:rPr>
                <w:rFonts w:ascii="Times New Roman" w:hAnsi="Times New Roman" w:eastAsia="黑体"/>
                <w:szCs w:val="21"/>
              </w:rPr>
            </w:pPr>
          </w:p>
        </w:tc>
        <w:tc>
          <w:tcPr>
            <w:tcW w:w="4677" w:type="dxa"/>
            <w:gridSpan w:val="2"/>
            <w:noWrap w:val="0"/>
            <w:tcMar>
              <w:left w:w="108" w:type="dxa"/>
              <w:right w:w="108" w:type="dxa"/>
            </w:tcMar>
            <w:vAlign w:val="center"/>
          </w:tcPr>
          <w:p w14:paraId="7569F158">
            <w:pPr>
              <w:widowControl/>
              <w:rPr>
                <w:rFonts w:ascii="Times New Roman" w:hAnsi="Times New Roman" w:eastAsia="黑体"/>
                <w:szCs w:val="21"/>
              </w:rPr>
            </w:pPr>
            <w:r>
              <w:rPr>
                <w:rFonts w:hint="eastAsia" w:ascii="Times New Roman" w:hAnsi="Times New Roman" w:eastAsia="黑体"/>
                <w:kern w:val="0"/>
                <w:szCs w:val="21"/>
              </w:rPr>
              <w:t>（二）部分公开</w:t>
            </w:r>
            <w:r>
              <w:rPr>
                <w:rFonts w:hint="eastAsia" w:ascii="Times New Roman" w:hAnsi="Times New Roman" w:eastAsia="仿宋_GB2312" w:cs="Times New Roman"/>
                <w:kern w:val="0"/>
                <w:szCs w:val="21"/>
              </w:rPr>
              <w:t>（区分处理的，只计这一情形，不计其他情形）</w:t>
            </w:r>
          </w:p>
        </w:tc>
        <w:tc>
          <w:tcPr>
            <w:tcW w:w="829" w:type="dxa"/>
            <w:noWrap w:val="0"/>
            <w:tcMar>
              <w:left w:w="108" w:type="dxa"/>
              <w:right w:w="108" w:type="dxa"/>
            </w:tcMar>
            <w:vAlign w:val="center"/>
          </w:tcPr>
          <w:p w14:paraId="1B4CFAD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9A245E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3426CF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BC606A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16E66FC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20FC95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10FB77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F47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191D4E9">
            <w:pPr>
              <w:rPr>
                <w:rFonts w:ascii="Times New Roman" w:hAnsi="Times New Roman" w:eastAsia="黑体"/>
                <w:szCs w:val="21"/>
              </w:rPr>
            </w:pPr>
          </w:p>
        </w:tc>
        <w:tc>
          <w:tcPr>
            <w:tcW w:w="1701" w:type="dxa"/>
            <w:vMerge w:val="restart"/>
            <w:noWrap w:val="0"/>
            <w:tcMar>
              <w:left w:w="108" w:type="dxa"/>
              <w:right w:w="108" w:type="dxa"/>
            </w:tcMar>
            <w:vAlign w:val="center"/>
          </w:tcPr>
          <w:p w14:paraId="2679E676">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noWrap w:val="0"/>
            <w:tcMar>
              <w:left w:w="108" w:type="dxa"/>
              <w:right w:w="108" w:type="dxa"/>
            </w:tcMar>
            <w:vAlign w:val="center"/>
          </w:tcPr>
          <w:p w14:paraId="587F25D7">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noWrap w:val="0"/>
            <w:tcMar>
              <w:left w:w="108" w:type="dxa"/>
              <w:right w:w="108" w:type="dxa"/>
            </w:tcMar>
            <w:vAlign w:val="center"/>
          </w:tcPr>
          <w:p w14:paraId="754E0CA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175AF0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09B499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2EE487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6050A4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02253C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5090D4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D57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145C8292">
            <w:pPr>
              <w:rPr>
                <w:rFonts w:ascii="Times New Roman" w:hAnsi="Times New Roman" w:eastAsia="黑体"/>
                <w:szCs w:val="21"/>
              </w:rPr>
            </w:pPr>
          </w:p>
        </w:tc>
        <w:tc>
          <w:tcPr>
            <w:tcW w:w="1701" w:type="dxa"/>
            <w:vMerge w:val="continue"/>
            <w:noWrap w:val="0"/>
            <w:tcMar>
              <w:left w:w="108" w:type="dxa"/>
              <w:right w:w="108" w:type="dxa"/>
            </w:tcMar>
            <w:vAlign w:val="center"/>
          </w:tcPr>
          <w:p w14:paraId="461EE42C">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57FB2E4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2.其他法律行政法规禁止公开</w:t>
            </w:r>
          </w:p>
        </w:tc>
        <w:tc>
          <w:tcPr>
            <w:tcW w:w="829" w:type="dxa"/>
            <w:noWrap w:val="0"/>
            <w:tcMar>
              <w:left w:w="108" w:type="dxa"/>
              <w:right w:w="108" w:type="dxa"/>
            </w:tcMar>
            <w:vAlign w:val="center"/>
          </w:tcPr>
          <w:p w14:paraId="61EDBEA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A026CA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1ACA0B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D03D70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DFD5D9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BB55FA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8B1568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568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E695941">
            <w:pPr>
              <w:rPr>
                <w:rFonts w:ascii="Times New Roman" w:hAnsi="Times New Roman" w:eastAsia="黑体"/>
                <w:szCs w:val="21"/>
              </w:rPr>
            </w:pPr>
          </w:p>
        </w:tc>
        <w:tc>
          <w:tcPr>
            <w:tcW w:w="1701" w:type="dxa"/>
            <w:vMerge w:val="continue"/>
            <w:noWrap w:val="0"/>
            <w:tcMar>
              <w:left w:w="108" w:type="dxa"/>
              <w:right w:w="108" w:type="dxa"/>
            </w:tcMar>
            <w:vAlign w:val="center"/>
          </w:tcPr>
          <w:p w14:paraId="2073BB4D">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4755160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noWrap w:val="0"/>
            <w:tcMar>
              <w:left w:w="108" w:type="dxa"/>
              <w:right w:w="108" w:type="dxa"/>
            </w:tcMar>
            <w:vAlign w:val="center"/>
          </w:tcPr>
          <w:p w14:paraId="2607B41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84D104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36C8D4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8ED5FD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58D934B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1F4D7A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88CAF4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22C4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AC4AEDA">
            <w:pPr>
              <w:rPr>
                <w:rFonts w:ascii="Times New Roman" w:hAnsi="Times New Roman" w:eastAsia="黑体"/>
                <w:szCs w:val="21"/>
              </w:rPr>
            </w:pPr>
          </w:p>
        </w:tc>
        <w:tc>
          <w:tcPr>
            <w:tcW w:w="1701" w:type="dxa"/>
            <w:vMerge w:val="continue"/>
            <w:noWrap w:val="0"/>
            <w:tcMar>
              <w:left w:w="108" w:type="dxa"/>
              <w:right w:w="108" w:type="dxa"/>
            </w:tcMar>
            <w:vAlign w:val="center"/>
          </w:tcPr>
          <w:p w14:paraId="4D8A7121">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43B7D65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4.保护第三方合法权益</w:t>
            </w:r>
          </w:p>
        </w:tc>
        <w:tc>
          <w:tcPr>
            <w:tcW w:w="829" w:type="dxa"/>
            <w:noWrap w:val="0"/>
            <w:tcMar>
              <w:left w:w="108" w:type="dxa"/>
              <w:right w:w="108" w:type="dxa"/>
            </w:tcMar>
            <w:vAlign w:val="center"/>
          </w:tcPr>
          <w:p w14:paraId="107DA4A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5A3E10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077128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9E1CE1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52E93B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83A534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4A7DB3B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725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70A346F">
            <w:pPr>
              <w:rPr>
                <w:rFonts w:ascii="Times New Roman" w:hAnsi="Times New Roman" w:eastAsia="黑体"/>
                <w:szCs w:val="21"/>
              </w:rPr>
            </w:pPr>
          </w:p>
        </w:tc>
        <w:tc>
          <w:tcPr>
            <w:tcW w:w="1701" w:type="dxa"/>
            <w:vMerge w:val="continue"/>
            <w:noWrap w:val="0"/>
            <w:tcMar>
              <w:left w:w="108" w:type="dxa"/>
              <w:right w:w="108" w:type="dxa"/>
            </w:tcMar>
            <w:vAlign w:val="center"/>
          </w:tcPr>
          <w:p w14:paraId="35269EB7">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3057373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noWrap w:val="0"/>
            <w:tcMar>
              <w:left w:w="108" w:type="dxa"/>
              <w:right w:w="108" w:type="dxa"/>
            </w:tcMar>
            <w:vAlign w:val="center"/>
          </w:tcPr>
          <w:p w14:paraId="6CA74A2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4E95DC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232A73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BC336D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5533DA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4CD7DA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CC1B1D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C5F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B5A7244">
            <w:pPr>
              <w:rPr>
                <w:rFonts w:ascii="Times New Roman" w:hAnsi="Times New Roman" w:eastAsia="黑体"/>
                <w:szCs w:val="21"/>
              </w:rPr>
            </w:pPr>
          </w:p>
        </w:tc>
        <w:tc>
          <w:tcPr>
            <w:tcW w:w="1701" w:type="dxa"/>
            <w:vMerge w:val="continue"/>
            <w:noWrap w:val="0"/>
            <w:tcMar>
              <w:left w:w="108" w:type="dxa"/>
              <w:right w:w="108" w:type="dxa"/>
            </w:tcMar>
            <w:vAlign w:val="center"/>
          </w:tcPr>
          <w:p w14:paraId="726C623E">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3C701B6">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6.属于四类过程性信息</w:t>
            </w:r>
          </w:p>
        </w:tc>
        <w:tc>
          <w:tcPr>
            <w:tcW w:w="829" w:type="dxa"/>
            <w:noWrap w:val="0"/>
            <w:tcMar>
              <w:left w:w="108" w:type="dxa"/>
              <w:right w:w="108" w:type="dxa"/>
            </w:tcMar>
            <w:vAlign w:val="center"/>
          </w:tcPr>
          <w:p w14:paraId="7BEFA94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0162D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E7EDAD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1C034A9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64FD6C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F0CDA7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1D8B8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FFA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9EB0371">
            <w:pPr>
              <w:rPr>
                <w:rFonts w:ascii="Times New Roman" w:hAnsi="Times New Roman" w:eastAsia="黑体"/>
                <w:szCs w:val="21"/>
              </w:rPr>
            </w:pPr>
          </w:p>
        </w:tc>
        <w:tc>
          <w:tcPr>
            <w:tcW w:w="1701" w:type="dxa"/>
            <w:vMerge w:val="continue"/>
            <w:noWrap w:val="0"/>
            <w:tcMar>
              <w:left w:w="108" w:type="dxa"/>
              <w:right w:w="108" w:type="dxa"/>
            </w:tcMar>
            <w:vAlign w:val="center"/>
          </w:tcPr>
          <w:p w14:paraId="7D0439B3">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4001480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noWrap w:val="0"/>
            <w:tcMar>
              <w:left w:w="108" w:type="dxa"/>
              <w:right w:w="108" w:type="dxa"/>
            </w:tcMar>
            <w:vAlign w:val="center"/>
          </w:tcPr>
          <w:p w14:paraId="23949E9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ED9D5B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3E43C2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C2C071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6499D79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920C88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950C87E">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945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655D074A">
            <w:pPr>
              <w:rPr>
                <w:rFonts w:ascii="Times New Roman" w:hAnsi="Times New Roman" w:eastAsia="黑体"/>
                <w:szCs w:val="21"/>
              </w:rPr>
            </w:pPr>
          </w:p>
        </w:tc>
        <w:tc>
          <w:tcPr>
            <w:tcW w:w="1701" w:type="dxa"/>
            <w:vMerge w:val="continue"/>
            <w:noWrap w:val="0"/>
            <w:tcMar>
              <w:left w:w="108" w:type="dxa"/>
              <w:right w:w="108" w:type="dxa"/>
            </w:tcMar>
            <w:vAlign w:val="center"/>
          </w:tcPr>
          <w:p w14:paraId="5F68B319">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10FBB2A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8.属于行政查询事项</w:t>
            </w:r>
          </w:p>
        </w:tc>
        <w:tc>
          <w:tcPr>
            <w:tcW w:w="829" w:type="dxa"/>
            <w:noWrap w:val="0"/>
            <w:tcMar>
              <w:left w:w="108" w:type="dxa"/>
              <w:right w:w="108" w:type="dxa"/>
            </w:tcMar>
            <w:vAlign w:val="center"/>
          </w:tcPr>
          <w:p w14:paraId="523C44E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212DD0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44BD07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30C99B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49514A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3CB048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6DAD55A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631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14ED414">
            <w:pPr>
              <w:rPr>
                <w:rFonts w:ascii="Times New Roman" w:hAnsi="Times New Roman" w:eastAsia="黑体"/>
                <w:szCs w:val="21"/>
              </w:rPr>
            </w:pPr>
          </w:p>
        </w:tc>
        <w:tc>
          <w:tcPr>
            <w:tcW w:w="1701" w:type="dxa"/>
            <w:vMerge w:val="restart"/>
            <w:noWrap w:val="0"/>
            <w:tcMar>
              <w:left w:w="108" w:type="dxa"/>
              <w:right w:w="108" w:type="dxa"/>
            </w:tcMar>
            <w:vAlign w:val="center"/>
          </w:tcPr>
          <w:p w14:paraId="00426B30">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noWrap w:val="0"/>
            <w:tcMar>
              <w:left w:w="108" w:type="dxa"/>
              <w:right w:w="108" w:type="dxa"/>
            </w:tcMar>
            <w:vAlign w:val="center"/>
          </w:tcPr>
          <w:p w14:paraId="564070E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noWrap w:val="0"/>
            <w:tcMar>
              <w:left w:w="108" w:type="dxa"/>
              <w:right w:w="108" w:type="dxa"/>
            </w:tcMar>
            <w:vAlign w:val="center"/>
          </w:tcPr>
          <w:p w14:paraId="72966EE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409EF4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735AE0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3BEA13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A18A32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6B491F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9DFE564">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1B1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7E0F632A">
            <w:pPr>
              <w:rPr>
                <w:rFonts w:ascii="Times New Roman" w:hAnsi="Times New Roman" w:eastAsia="黑体"/>
                <w:szCs w:val="21"/>
              </w:rPr>
            </w:pPr>
          </w:p>
        </w:tc>
        <w:tc>
          <w:tcPr>
            <w:tcW w:w="1701" w:type="dxa"/>
            <w:vMerge w:val="continue"/>
            <w:noWrap w:val="0"/>
            <w:tcMar>
              <w:left w:w="108" w:type="dxa"/>
              <w:right w:w="108" w:type="dxa"/>
            </w:tcMar>
            <w:vAlign w:val="center"/>
          </w:tcPr>
          <w:p w14:paraId="75893DED">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53EC946E">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2.没有现成信息需要另行制作</w:t>
            </w:r>
          </w:p>
        </w:tc>
        <w:tc>
          <w:tcPr>
            <w:tcW w:w="829" w:type="dxa"/>
            <w:noWrap w:val="0"/>
            <w:tcMar>
              <w:left w:w="108" w:type="dxa"/>
              <w:right w:w="108" w:type="dxa"/>
            </w:tcMar>
            <w:vAlign w:val="center"/>
          </w:tcPr>
          <w:p w14:paraId="5FACA0B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2E0861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C1A3AA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35058E9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E7C02D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FA5479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C56CA8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C4C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04D72389">
            <w:pPr>
              <w:rPr>
                <w:rFonts w:ascii="Times New Roman" w:hAnsi="Times New Roman" w:eastAsia="黑体"/>
                <w:szCs w:val="21"/>
              </w:rPr>
            </w:pPr>
          </w:p>
        </w:tc>
        <w:tc>
          <w:tcPr>
            <w:tcW w:w="1701" w:type="dxa"/>
            <w:vMerge w:val="continue"/>
            <w:noWrap w:val="0"/>
            <w:tcMar>
              <w:left w:w="108" w:type="dxa"/>
              <w:right w:w="108" w:type="dxa"/>
            </w:tcMar>
            <w:vAlign w:val="center"/>
          </w:tcPr>
          <w:p w14:paraId="66BB8768">
            <w:pPr>
              <w:keepNext w:val="0"/>
              <w:keepLines w:val="0"/>
              <w:pageBreakBefore w:val="0"/>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p>
        </w:tc>
        <w:tc>
          <w:tcPr>
            <w:tcW w:w="2976" w:type="dxa"/>
            <w:noWrap w:val="0"/>
            <w:tcMar>
              <w:left w:w="108" w:type="dxa"/>
              <w:right w:w="108" w:type="dxa"/>
            </w:tcMar>
            <w:vAlign w:val="center"/>
          </w:tcPr>
          <w:p w14:paraId="1801FAAA">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3.补正后申请内容仍不明确</w:t>
            </w:r>
          </w:p>
        </w:tc>
        <w:tc>
          <w:tcPr>
            <w:tcW w:w="829" w:type="dxa"/>
            <w:noWrap w:val="0"/>
            <w:tcMar>
              <w:left w:w="108" w:type="dxa"/>
              <w:right w:w="108" w:type="dxa"/>
            </w:tcMar>
            <w:vAlign w:val="center"/>
          </w:tcPr>
          <w:p w14:paraId="3FF34390">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D4342C8">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4D5DCD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222672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4880B77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08B7F5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0D5786D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1F5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23CC7FAF">
            <w:pPr>
              <w:rPr>
                <w:rFonts w:ascii="Times New Roman" w:hAnsi="Times New Roman" w:eastAsia="黑体"/>
                <w:szCs w:val="21"/>
              </w:rPr>
            </w:pPr>
          </w:p>
        </w:tc>
        <w:tc>
          <w:tcPr>
            <w:tcW w:w="1701" w:type="dxa"/>
            <w:vMerge w:val="restart"/>
            <w:noWrap w:val="0"/>
            <w:tcMar>
              <w:left w:w="108" w:type="dxa"/>
              <w:right w:w="108" w:type="dxa"/>
            </w:tcMar>
            <w:vAlign w:val="center"/>
          </w:tcPr>
          <w:p w14:paraId="698BCD50">
            <w:pPr>
              <w:keepNext w:val="0"/>
              <w:keepLines w:val="0"/>
              <w:pageBreakBefore w:val="0"/>
              <w:widowControl/>
              <w:kinsoku/>
              <w:wordWrap/>
              <w:overflowPunct/>
              <w:topLinePunct w:val="0"/>
              <w:autoSpaceDE/>
              <w:autoSpaceDN/>
              <w:bidi w:val="0"/>
              <w:adjustRightInd/>
              <w:snapToGrid/>
              <w:spacing w:line="300" w:lineRule="exact"/>
              <w:ind w:left="-102"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noWrap w:val="0"/>
            <w:tcMar>
              <w:left w:w="108" w:type="dxa"/>
              <w:right w:w="108" w:type="dxa"/>
            </w:tcMar>
            <w:vAlign w:val="center"/>
          </w:tcPr>
          <w:p w14:paraId="54677C6B">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1.信访举报投诉类申请</w:t>
            </w:r>
          </w:p>
        </w:tc>
        <w:tc>
          <w:tcPr>
            <w:tcW w:w="829" w:type="dxa"/>
            <w:noWrap w:val="0"/>
            <w:tcMar>
              <w:left w:w="108" w:type="dxa"/>
              <w:right w:w="108" w:type="dxa"/>
            </w:tcMar>
            <w:vAlign w:val="center"/>
          </w:tcPr>
          <w:p w14:paraId="738715A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295766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3A18BA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2CCDE2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8B1C08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262FBE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0469A2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132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35B85BDA">
            <w:pPr>
              <w:rPr>
                <w:rFonts w:ascii="Times New Roman" w:hAnsi="Times New Roman" w:eastAsia="黑体"/>
                <w:szCs w:val="21"/>
              </w:rPr>
            </w:pPr>
          </w:p>
        </w:tc>
        <w:tc>
          <w:tcPr>
            <w:tcW w:w="1701" w:type="dxa"/>
            <w:vMerge w:val="continue"/>
            <w:noWrap w:val="0"/>
            <w:tcMar>
              <w:left w:w="108" w:type="dxa"/>
              <w:right w:w="108" w:type="dxa"/>
            </w:tcMar>
            <w:vAlign w:val="center"/>
          </w:tcPr>
          <w:p w14:paraId="780CE1F2">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78E75F1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noWrap w:val="0"/>
            <w:tcMar>
              <w:left w:w="108" w:type="dxa"/>
              <w:right w:w="108" w:type="dxa"/>
            </w:tcMar>
            <w:vAlign w:val="center"/>
          </w:tcPr>
          <w:p w14:paraId="68E4EE4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2C4DDBE">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A816C3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411F54D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3B9903E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B750C7F">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6FFC11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64C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14:paraId="57D49110">
            <w:pPr>
              <w:rPr>
                <w:rFonts w:ascii="Times New Roman" w:hAnsi="Times New Roman" w:eastAsia="黑体"/>
                <w:szCs w:val="21"/>
              </w:rPr>
            </w:pPr>
          </w:p>
        </w:tc>
        <w:tc>
          <w:tcPr>
            <w:tcW w:w="1701" w:type="dxa"/>
            <w:vMerge w:val="continue"/>
            <w:noWrap w:val="0"/>
            <w:tcMar>
              <w:left w:w="108" w:type="dxa"/>
              <w:right w:w="108" w:type="dxa"/>
            </w:tcMar>
            <w:vAlign w:val="center"/>
          </w:tcPr>
          <w:p w14:paraId="23EA7A5F">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0E797330">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noWrap w:val="0"/>
            <w:tcMar>
              <w:left w:w="108" w:type="dxa"/>
              <w:right w:w="108" w:type="dxa"/>
            </w:tcMar>
            <w:vAlign w:val="center"/>
          </w:tcPr>
          <w:p w14:paraId="7F4CA47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AC1ECC3">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021C5D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62F621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B766C4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7B715D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BE833D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40B3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noWrap w:val="0"/>
            <w:tcMar>
              <w:left w:w="108" w:type="dxa"/>
              <w:right w:w="108" w:type="dxa"/>
            </w:tcMar>
            <w:vAlign w:val="center"/>
          </w:tcPr>
          <w:p w14:paraId="71D7A5C8">
            <w:pPr>
              <w:rPr>
                <w:rFonts w:ascii="Times New Roman" w:hAnsi="Times New Roman" w:eastAsia="黑体"/>
                <w:szCs w:val="21"/>
              </w:rPr>
            </w:pPr>
          </w:p>
        </w:tc>
        <w:tc>
          <w:tcPr>
            <w:tcW w:w="1701" w:type="dxa"/>
            <w:vMerge w:val="continue"/>
            <w:noWrap w:val="0"/>
            <w:tcMar>
              <w:left w:w="108" w:type="dxa"/>
              <w:right w:w="108" w:type="dxa"/>
            </w:tcMar>
            <w:vAlign w:val="center"/>
          </w:tcPr>
          <w:p w14:paraId="0DFB8D14">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11F35ED1">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noWrap w:val="0"/>
            <w:tcMar>
              <w:left w:w="108" w:type="dxa"/>
              <w:right w:w="108" w:type="dxa"/>
            </w:tcMar>
            <w:vAlign w:val="center"/>
          </w:tcPr>
          <w:p w14:paraId="36724AB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D3675E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D1FF2B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589B20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F31126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095121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5411996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0FE7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noWrap w:val="0"/>
            <w:tcMar>
              <w:left w:w="108" w:type="dxa"/>
              <w:right w:w="108" w:type="dxa"/>
            </w:tcMar>
            <w:vAlign w:val="center"/>
          </w:tcPr>
          <w:p w14:paraId="24122B77">
            <w:pPr>
              <w:rPr>
                <w:rFonts w:ascii="Times New Roman" w:hAnsi="Times New Roman" w:eastAsia="黑体"/>
                <w:szCs w:val="21"/>
              </w:rPr>
            </w:pPr>
          </w:p>
        </w:tc>
        <w:tc>
          <w:tcPr>
            <w:tcW w:w="1701" w:type="dxa"/>
            <w:vMerge w:val="continue"/>
            <w:noWrap w:val="0"/>
            <w:tcMar>
              <w:left w:w="108" w:type="dxa"/>
              <w:right w:w="108" w:type="dxa"/>
            </w:tcMar>
            <w:vAlign w:val="center"/>
          </w:tcPr>
          <w:p w14:paraId="7BD18E68">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14:paraId="11743CB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5.要求行政机关确认或重新出具已获取信息</w:t>
            </w:r>
          </w:p>
        </w:tc>
        <w:tc>
          <w:tcPr>
            <w:tcW w:w="829" w:type="dxa"/>
            <w:noWrap w:val="0"/>
            <w:tcMar>
              <w:left w:w="108" w:type="dxa"/>
              <w:right w:w="108" w:type="dxa"/>
            </w:tcMar>
            <w:vAlign w:val="center"/>
          </w:tcPr>
          <w:p w14:paraId="5EB83FE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1E4428C">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29C7669">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29A8E64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66A0CF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184220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7867FFF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777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3C9E9A01">
            <w:pPr>
              <w:rPr>
                <w:rFonts w:ascii="Times New Roman" w:hAnsi="Times New Roman" w:eastAsia="黑体"/>
                <w:szCs w:val="21"/>
              </w:rPr>
            </w:pPr>
          </w:p>
        </w:tc>
        <w:tc>
          <w:tcPr>
            <w:tcW w:w="1701" w:type="dxa"/>
            <w:vMerge w:val="restart"/>
            <w:noWrap w:val="0"/>
            <w:tcMar>
              <w:left w:w="108" w:type="dxa"/>
              <w:right w:w="108" w:type="dxa"/>
            </w:tcMar>
            <w:vAlign w:val="center"/>
          </w:tcPr>
          <w:p w14:paraId="35908774">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noWrap w:val="0"/>
            <w:vAlign w:val="center"/>
          </w:tcPr>
          <w:p w14:paraId="4436193F">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noWrap w:val="0"/>
            <w:tcMar>
              <w:left w:w="108" w:type="dxa"/>
              <w:right w:w="108" w:type="dxa"/>
            </w:tcMar>
            <w:vAlign w:val="center"/>
          </w:tcPr>
          <w:p w14:paraId="11D75447">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0E96E5EB">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10E912F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693B58D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F90571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5E99A4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1458CF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306C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59898024">
            <w:pPr>
              <w:rPr>
                <w:rFonts w:ascii="Times New Roman" w:hAnsi="Times New Roman" w:eastAsia="黑体"/>
                <w:szCs w:val="21"/>
              </w:rPr>
            </w:pPr>
          </w:p>
        </w:tc>
        <w:tc>
          <w:tcPr>
            <w:tcW w:w="1701" w:type="dxa"/>
            <w:vMerge w:val="continue"/>
            <w:noWrap w:val="0"/>
            <w:tcMar>
              <w:left w:w="108" w:type="dxa"/>
              <w:right w:w="108" w:type="dxa"/>
            </w:tcMar>
            <w:vAlign w:val="center"/>
          </w:tcPr>
          <w:p w14:paraId="56763F95">
            <w:pPr>
              <w:widowControl/>
              <w:spacing w:line="300" w:lineRule="exact"/>
              <w:rPr>
                <w:rFonts w:ascii="Times New Roman" w:hAnsi="Times New Roman" w:eastAsia="黑体"/>
                <w:kern w:val="0"/>
                <w:szCs w:val="21"/>
              </w:rPr>
            </w:pPr>
          </w:p>
        </w:tc>
        <w:tc>
          <w:tcPr>
            <w:tcW w:w="2976" w:type="dxa"/>
            <w:noWrap w:val="0"/>
            <w:vAlign w:val="center"/>
          </w:tcPr>
          <w:p w14:paraId="3B9255FD">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144D53C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4A36DA2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FB3610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79C780ED">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2A695EF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2A7642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399FC92B">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6B87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29A1BD42">
            <w:pPr>
              <w:rPr>
                <w:rFonts w:ascii="Times New Roman" w:hAnsi="Times New Roman" w:eastAsia="黑体"/>
                <w:szCs w:val="21"/>
              </w:rPr>
            </w:pPr>
          </w:p>
        </w:tc>
        <w:tc>
          <w:tcPr>
            <w:tcW w:w="1701" w:type="dxa"/>
            <w:vMerge w:val="continue"/>
            <w:noWrap w:val="0"/>
            <w:tcMar>
              <w:left w:w="108" w:type="dxa"/>
              <w:right w:w="108" w:type="dxa"/>
            </w:tcMar>
            <w:vAlign w:val="center"/>
          </w:tcPr>
          <w:p w14:paraId="3239DAB9">
            <w:pPr>
              <w:widowControl/>
              <w:spacing w:line="300" w:lineRule="exact"/>
              <w:rPr>
                <w:rFonts w:ascii="Times New Roman" w:hAnsi="Times New Roman" w:eastAsia="黑体"/>
                <w:kern w:val="0"/>
                <w:szCs w:val="21"/>
              </w:rPr>
            </w:pPr>
          </w:p>
        </w:tc>
        <w:tc>
          <w:tcPr>
            <w:tcW w:w="2976" w:type="dxa"/>
            <w:noWrap w:val="0"/>
            <w:vAlign w:val="center"/>
          </w:tcPr>
          <w:p w14:paraId="3A5C8A92">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noWrap w:val="0"/>
            <w:tcMar>
              <w:left w:w="108" w:type="dxa"/>
              <w:right w:w="108" w:type="dxa"/>
            </w:tcMar>
            <w:vAlign w:val="center"/>
          </w:tcPr>
          <w:p w14:paraId="1AC182B6">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18D5D1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20688B2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52A325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79DDFF91">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300B2780">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17C7DA0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77E5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14:paraId="71B569C9">
            <w:pPr>
              <w:rPr>
                <w:rFonts w:ascii="Times New Roman" w:hAnsi="Times New Roman" w:eastAsia="黑体"/>
                <w:szCs w:val="21"/>
              </w:rPr>
            </w:pPr>
          </w:p>
        </w:tc>
        <w:tc>
          <w:tcPr>
            <w:tcW w:w="4677" w:type="dxa"/>
            <w:gridSpan w:val="2"/>
            <w:noWrap w:val="0"/>
            <w:tcMar>
              <w:left w:w="108" w:type="dxa"/>
              <w:right w:w="108" w:type="dxa"/>
            </w:tcMar>
            <w:vAlign w:val="center"/>
          </w:tcPr>
          <w:p w14:paraId="20B90148">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noWrap w:val="0"/>
            <w:tcMar>
              <w:left w:w="108" w:type="dxa"/>
              <w:right w:w="108" w:type="dxa"/>
            </w:tcMar>
            <w:vAlign w:val="center"/>
          </w:tcPr>
          <w:p w14:paraId="59EA706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6E6E701F">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712C502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14:paraId="03875AE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14:paraId="065DF3E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14:paraId="51702CC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14:paraId="21012F0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14:paraId="578D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14:paraId="0680C156">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noWrap w:val="0"/>
            <w:tcMar>
              <w:left w:w="108" w:type="dxa"/>
              <w:right w:w="108" w:type="dxa"/>
            </w:tcMar>
            <w:vAlign w:val="center"/>
          </w:tcPr>
          <w:p w14:paraId="25720E3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w:t>
            </w:r>
          </w:p>
        </w:tc>
        <w:tc>
          <w:tcPr>
            <w:tcW w:w="567" w:type="dxa"/>
            <w:noWrap w:val="0"/>
            <w:tcMar>
              <w:left w:w="108" w:type="dxa"/>
              <w:right w:w="108" w:type="dxa"/>
            </w:tcMar>
            <w:vAlign w:val="center"/>
          </w:tcPr>
          <w:p w14:paraId="723549D1">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26F0494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31" w:type="dxa"/>
            <w:noWrap w:val="0"/>
            <w:tcMar>
              <w:left w:w="108" w:type="dxa"/>
              <w:right w:w="108" w:type="dxa"/>
            </w:tcMar>
            <w:vAlign w:val="center"/>
          </w:tcPr>
          <w:p w14:paraId="741B14C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708" w:type="dxa"/>
            <w:noWrap w:val="0"/>
            <w:tcMar>
              <w:left w:w="108" w:type="dxa"/>
              <w:right w:w="108" w:type="dxa"/>
            </w:tcMar>
            <w:vAlign w:val="center"/>
          </w:tcPr>
          <w:p w14:paraId="146C4BBA">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567" w:type="dxa"/>
            <w:noWrap w:val="0"/>
            <w:tcMar>
              <w:left w:w="108" w:type="dxa"/>
              <w:right w:w="108" w:type="dxa"/>
            </w:tcMar>
            <w:vAlign w:val="center"/>
          </w:tcPr>
          <w:p w14:paraId="46DF9B7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0</w:t>
            </w:r>
          </w:p>
        </w:tc>
        <w:tc>
          <w:tcPr>
            <w:tcW w:w="851" w:type="dxa"/>
            <w:noWrap w:val="0"/>
            <w:tcMar>
              <w:left w:w="108" w:type="dxa"/>
              <w:right w:w="108" w:type="dxa"/>
            </w:tcMar>
            <w:vAlign w:val="center"/>
          </w:tcPr>
          <w:p w14:paraId="5F567DA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color w:val="000000"/>
                <w:szCs w:val="21"/>
                <w:lang w:val="en-US" w:eastAsia="zh-CN"/>
              </w:rPr>
            </w:pPr>
            <w:r>
              <w:rPr>
                <w:rFonts w:hint="eastAsia" w:ascii="Times New Roman" w:hAnsi="Times New Roman" w:eastAsia="仿宋_GB2312"/>
                <w:color w:val="000000"/>
                <w:szCs w:val="21"/>
                <w:lang w:val="en-US" w:eastAsia="zh-CN"/>
              </w:rPr>
              <w:t>1</w:t>
            </w:r>
          </w:p>
        </w:tc>
      </w:tr>
    </w:tbl>
    <w:p w14:paraId="343BDA1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eastAsia="方正黑体简体"/>
          <w:b/>
          <w:color w:val="FF0000"/>
          <w:sz w:val="32"/>
          <w:szCs w:val="32"/>
        </w:rPr>
      </w:pPr>
      <w:r>
        <w:rPr>
          <w:rFonts w:eastAsia="方正黑体简体"/>
          <w:b/>
          <w:sz w:val="32"/>
          <w:szCs w:val="32"/>
        </w:rPr>
        <w:t>四、政府信息公开行政复议、行政诉讼情况</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955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074" w:type="dxa"/>
            <w:gridSpan w:val="5"/>
            <w:noWrap w:val="0"/>
            <w:tcMar>
              <w:left w:w="108" w:type="dxa"/>
              <w:right w:w="108" w:type="dxa"/>
            </w:tcMar>
            <w:vAlign w:val="center"/>
          </w:tcPr>
          <w:p w14:paraId="660BAB39">
            <w:pPr>
              <w:widowControl/>
              <w:jc w:val="center"/>
              <w:rPr>
                <w:rFonts w:ascii="黑体" w:hAnsi="黑体" w:eastAsia="黑体"/>
              </w:rPr>
            </w:pPr>
            <w:r>
              <w:rPr>
                <w:rFonts w:ascii="黑体" w:hAnsi="黑体" w:eastAsia="黑体"/>
                <w:kern w:val="0"/>
                <w:sz w:val="20"/>
                <w:szCs w:val="20"/>
              </w:rPr>
              <w:t>行政复议</w:t>
            </w:r>
          </w:p>
        </w:tc>
        <w:tc>
          <w:tcPr>
            <w:tcW w:w="5997" w:type="dxa"/>
            <w:gridSpan w:val="10"/>
            <w:noWrap w:val="0"/>
            <w:tcMar>
              <w:left w:w="108" w:type="dxa"/>
              <w:right w:w="108" w:type="dxa"/>
            </w:tcMar>
            <w:vAlign w:val="center"/>
          </w:tcPr>
          <w:p w14:paraId="28FBCC36">
            <w:pPr>
              <w:widowControl/>
              <w:jc w:val="center"/>
              <w:rPr>
                <w:rFonts w:ascii="黑体" w:hAnsi="黑体" w:eastAsia="黑体"/>
              </w:rPr>
            </w:pPr>
            <w:r>
              <w:rPr>
                <w:rFonts w:ascii="黑体" w:hAnsi="黑体" w:eastAsia="黑体"/>
                <w:kern w:val="0"/>
                <w:sz w:val="20"/>
                <w:szCs w:val="20"/>
              </w:rPr>
              <w:t>行政诉讼</w:t>
            </w:r>
          </w:p>
        </w:tc>
      </w:tr>
      <w:tr w14:paraId="4067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604" w:type="dxa"/>
            <w:vMerge w:val="restart"/>
            <w:noWrap w:val="0"/>
            <w:tcMar>
              <w:left w:w="108" w:type="dxa"/>
              <w:right w:w="108" w:type="dxa"/>
            </w:tcMar>
            <w:vAlign w:val="center"/>
          </w:tcPr>
          <w:p w14:paraId="3E84230A">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14:paraId="6C5CBE61">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noWrap w:val="0"/>
            <w:tcMar>
              <w:left w:w="108" w:type="dxa"/>
              <w:right w:w="108" w:type="dxa"/>
            </w:tcMar>
            <w:vAlign w:val="center"/>
          </w:tcPr>
          <w:p w14:paraId="20439C18">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noWrap w:val="0"/>
            <w:tcMar>
              <w:left w:w="108" w:type="dxa"/>
              <w:right w:w="108" w:type="dxa"/>
            </w:tcMar>
            <w:vAlign w:val="center"/>
          </w:tcPr>
          <w:p w14:paraId="752B2C2E">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noWrap w:val="0"/>
            <w:tcMar>
              <w:left w:w="108" w:type="dxa"/>
              <w:right w:w="108" w:type="dxa"/>
            </w:tcMar>
            <w:vAlign w:val="center"/>
          </w:tcPr>
          <w:p w14:paraId="49472932">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14:paraId="775DD08B">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noWrap w:val="0"/>
            <w:tcMar>
              <w:left w:w="108" w:type="dxa"/>
              <w:right w:w="108" w:type="dxa"/>
            </w:tcMar>
            <w:vAlign w:val="center"/>
          </w:tcPr>
          <w:p w14:paraId="013DCF41">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04FD2091">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noWrap w:val="0"/>
            <w:tcMar>
              <w:left w:w="108" w:type="dxa"/>
              <w:right w:w="108" w:type="dxa"/>
            </w:tcMar>
            <w:vAlign w:val="center"/>
          </w:tcPr>
          <w:p w14:paraId="255206DD">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noWrap w:val="0"/>
            <w:tcMar>
              <w:left w:w="108" w:type="dxa"/>
              <w:right w:w="108" w:type="dxa"/>
            </w:tcMar>
            <w:vAlign w:val="center"/>
          </w:tcPr>
          <w:p w14:paraId="141FC14A">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14:paraId="6FF0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604" w:type="dxa"/>
            <w:vMerge w:val="continue"/>
            <w:noWrap w:val="0"/>
            <w:tcMar>
              <w:left w:w="108" w:type="dxa"/>
              <w:right w:w="108" w:type="dxa"/>
            </w:tcMar>
            <w:vAlign w:val="center"/>
          </w:tcPr>
          <w:p w14:paraId="652A1AF1">
            <w:pPr>
              <w:rPr>
                <w:rFonts w:ascii="黑体" w:hAnsi="黑体" w:eastAsia="黑体"/>
                <w:sz w:val="24"/>
              </w:rPr>
            </w:pPr>
          </w:p>
        </w:tc>
        <w:tc>
          <w:tcPr>
            <w:tcW w:w="604" w:type="dxa"/>
            <w:vMerge w:val="continue"/>
            <w:noWrap w:val="0"/>
            <w:tcMar>
              <w:left w:w="108" w:type="dxa"/>
              <w:right w:w="108" w:type="dxa"/>
            </w:tcMar>
            <w:vAlign w:val="center"/>
          </w:tcPr>
          <w:p w14:paraId="73ED2989">
            <w:pPr>
              <w:rPr>
                <w:rFonts w:ascii="黑体" w:hAnsi="黑体" w:eastAsia="黑体"/>
                <w:sz w:val="24"/>
              </w:rPr>
            </w:pPr>
          </w:p>
        </w:tc>
        <w:tc>
          <w:tcPr>
            <w:tcW w:w="604" w:type="dxa"/>
            <w:vMerge w:val="continue"/>
            <w:noWrap w:val="0"/>
            <w:tcMar>
              <w:left w:w="108" w:type="dxa"/>
              <w:right w:w="108" w:type="dxa"/>
            </w:tcMar>
            <w:vAlign w:val="center"/>
          </w:tcPr>
          <w:p w14:paraId="2ADED7EB">
            <w:pPr>
              <w:rPr>
                <w:rFonts w:ascii="黑体" w:hAnsi="黑体" w:eastAsia="黑体"/>
                <w:sz w:val="24"/>
              </w:rPr>
            </w:pPr>
          </w:p>
        </w:tc>
        <w:tc>
          <w:tcPr>
            <w:tcW w:w="604" w:type="dxa"/>
            <w:vMerge w:val="continue"/>
            <w:noWrap w:val="0"/>
            <w:tcMar>
              <w:left w:w="108" w:type="dxa"/>
              <w:right w:w="108" w:type="dxa"/>
            </w:tcMar>
            <w:vAlign w:val="center"/>
          </w:tcPr>
          <w:p w14:paraId="3ABA140D">
            <w:pPr>
              <w:rPr>
                <w:rFonts w:ascii="黑体" w:hAnsi="黑体" w:eastAsia="黑体"/>
                <w:sz w:val="24"/>
              </w:rPr>
            </w:pPr>
          </w:p>
        </w:tc>
        <w:tc>
          <w:tcPr>
            <w:tcW w:w="658" w:type="dxa"/>
            <w:vMerge w:val="continue"/>
            <w:noWrap w:val="0"/>
            <w:tcMar>
              <w:left w:w="108" w:type="dxa"/>
              <w:right w:w="108" w:type="dxa"/>
            </w:tcMar>
            <w:vAlign w:val="center"/>
          </w:tcPr>
          <w:p w14:paraId="5F19D8F9">
            <w:pPr>
              <w:rPr>
                <w:rFonts w:ascii="黑体" w:hAnsi="黑体" w:eastAsia="黑体"/>
                <w:sz w:val="24"/>
              </w:rPr>
            </w:pPr>
          </w:p>
        </w:tc>
        <w:tc>
          <w:tcPr>
            <w:tcW w:w="550" w:type="dxa"/>
            <w:noWrap w:val="0"/>
            <w:tcMar>
              <w:left w:w="108" w:type="dxa"/>
              <w:right w:w="108" w:type="dxa"/>
            </w:tcMar>
            <w:vAlign w:val="center"/>
          </w:tcPr>
          <w:p w14:paraId="14358B8F">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420741E9">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noWrap w:val="0"/>
            <w:tcMar>
              <w:left w:w="108" w:type="dxa"/>
              <w:right w:w="108" w:type="dxa"/>
            </w:tcMar>
            <w:vAlign w:val="center"/>
          </w:tcPr>
          <w:p w14:paraId="6AF0FD65">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14:paraId="7DD25153">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noWrap w:val="0"/>
            <w:tcMar>
              <w:left w:w="108" w:type="dxa"/>
              <w:right w:w="108" w:type="dxa"/>
            </w:tcMar>
            <w:vAlign w:val="center"/>
          </w:tcPr>
          <w:p w14:paraId="54807BDF">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14:paraId="7F25CF20">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noWrap w:val="0"/>
            <w:tcMar>
              <w:left w:w="108" w:type="dxa"/>
              <w:right w:w="108" w:type="dxa"/>
            </w:tcMar>
            <w:vAlign w:val="center"/>
          </w:tcPr>
          <w:p w14:paraId="446E3117">
            <w:pPr>
              <w:widowControl/>
              <w:jc w:val="center"/>
              <w:rPr>
                <w:rFonts w:ascii="黑体" w:hAnsi="黑体" w:eastAsia="黑体"/>
              </w:rPr>
            </w:pPr>
            <w:r>
              <w:rPr>
                <w:rFonts w:ascii="黑体" w:hAnsi="黑体" w:eastAsia="黑体"/>
                <w:kern w:val="0"/>
                <w:sz w:val="20"/>
                <w:szCs w:val="20"/>
              </w:rPr>
              <w:t>总计</w:t>
            </w:r>
          </w:p>
        </w:tc>
        <w:tc>
          <w:tcPr>
            <w:tcW w:w="605" w:type="dxa"/>
            <w:noWrap w:val="0"/>
            <w:tcMar>
              <w:left w:w="108" w:type="dxa"/>
              <w:right w:w="108" w:type="dxa"/>
            </w:tcMar>
            <w:vAlign w:val="center"/>
          </w:tcPr>
          <w:p w14:paraId="68380422">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noWrap w:val="0"/>
            <w:tcMar>
              <w:left w:w="108" w:type="dxa"/>
              <w:right w:w="108" w:type="dxa"/>
            </w:tcMar>
            <w:vAlign w:val="center"/>
          </w:tcPr>
          <w:p w14:paraId="4025A42F">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14:paraId="1D3E9B30">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noWrap w:val="0"/>
            <w:tcMar>
              <w:left w:w="108" w:type="dxa"/>
              <w:right w:w="108" w:type="dxa"/>
            </w:tcMar>
            <w:vAlign w:val="center"/>
          </w:tcPr>
          <w:p w14:paraId="1CB6C58F">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14:paraId="70092F4C">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noWrap w:val="0"/>
            <w:tcMar>
              <w:left w:w="108" w:type="dxa"/>
              <w:right w:w="108" w:type="dxa"/>
            </w:tcMar>
            <w:vAlign w:val="center"/>
          </w:tcPr>
          <w:p w14:paraId="113E4A67">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606" w:type="dxa"/>
            <w:noWrap w:val="0"/>
            <w:tcMar>
              <w:left w:w="108" w:type="dxa"/>
              <w:right w:w="108" w:type="dxa"/>
            </w:tcMar>
            <w:vAlign w:val="center"/>
          </w:tcPr>
          <w:p w14:paraId="1F722B9A">
            <w:pPr>
              <w:widowControl/>
              <w:jc w:val="center"/>
              <w:rPr>
                <w:rFonts w:ascii="黑体" w:hAnsi="黑体" w:eastAsia="黑体"/>
              </w:rPr>
            </w:pPr>
            <w:r>
              <w:rPr>
                <w:rFonts w:ascii="黑体" w:hAnsi="黑体" w:eastAsia="黑体"/>
                <w:kern w:val="0"/>
                <w:sz w:val="20"/>
                <w:szCs w:val="20"/>
              </w:rPr>
              <w:t>总计</w:t>
            </w:r>
          </w:p>
        </w:tc>
      </w:tr>
      <w:tr w14:paraId="1180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604" w:type="dxa"/>
            <w:noWrap w:val="0"/>
            <w:tcMar>
              <w:left w:w="108" w:type="dxa"/>
              <w:right w:w="108" w:type="dxa"/>
            </w:tcMar>
            <w:vAlign w:val="center"/>
          </w:tcPr>
          <w:p w14:paraId="5A07025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089C37E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3C036B26">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noWrap w:val="0"/>
            <w:tcMar>
              <w:left w:w="108" w:type="dxa"/>
              <w:right w:w="108" w:type="dxa"/>
            </w:tcMar>
            <w:vAlign w:val="center"/>
          </w:tcPr>
          <w:p w14:paraId="1B2B94B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noWrap w:val="0"/>
            <w:tcMar>
              <w:left w:w="108" w:type="dxa"/>
              <w:right w:w="108" w:type="dxa"/>
            </w:tcMar>
            <w:vAlign w:val="center"/>
          </w:tcPr>
          <w:p w14:paraId="15635688">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noWrap w:val="0"/>
            <w:tcMar>
              <w:left w:w="108" w:type="dxa"/>
              <w:right w:w="108" w:type="dxa"/>
            </w:tcMar>
            <w:vAlign w:val="center"/>
          </w:tcPr>
          <w:p w14:paraId="1F33D047">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5B73594">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15DF3CA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1BF034D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24AA7F6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7C9FA1C2">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726A529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noWrap w:val="0"/>
            <w:tcMar>
              <w:left w:w="108" w:type="dxa"/>
              <w:right w:w="108" w:type="dxa"/>
            </w:tcMar>
            <w:vAlign w:val="center"/>
          </w:tcPr>
          <w:p w14:paraId="4C1A6CDC">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611328A3">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noWrap w:val="0"/>
            <w:tcMar>
              <w:left w:w="108" w:type="dxa"/>
              <w:right w:w="108" w:type="dxa"/>
            </w:tcMar>
            <w:vAlign w:val="center"/>
          </w:tcPr>
          <w:p w14:paraId="2A4E2765">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14:paraId="0C0FDF29">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sz w:val="32"/>
          <w:szCs w:val="32"/>
        </w:rPr>
      </w:pPr>
      <w:r>
        <w:rPr>
          <w:rFonts w:eastAsia="方正黑体简体"/>
          <w:b/>
          <w:sz w:val="32"/>
          <w:szCs w:val="32"/>
        </w:rPr>
        <w:t>五、存在的主要问题及改进情况</w:t>
      </w:r>
    </w:p>
    <w:p w14:paraId="4A218E5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楷体简体" w:cs="Times New Roman"/>
          <w:b/>
          <w:color w:val="000000"/>
          <w:sz w:val="32"/>
          <w:szCs w:val="32"/>
          <w:lang w:val="en-US" w:eastAsia="zh-CN"/>
        </w:rPr>
        <w:t>存在问题：</w:t>
      </w:r>
      <w:r>
        <w:rPr>
          <w:rFonts w:hint="eastAsia" w:ascii="Times New Roman" w:hAnsi="Times New Roman" w:eastAsia="方正仿宋简体" w:cs="Times New Roman"/>
          <w:b/>
          <w:color w:val="000000"/>
          <w:sz w:val="32"/>
          <w:lang w:val="en-US" w:eastAsia="zh-CN"/>
        </w:rPr>
        <w:t>一是信息公开时效性有待加强，部分政府信息更新发布存在滞后现象；二是公开内容形式较为单一，目前仍以文字信息为主。</w:t>
      </w:r>
    </w:p>
    <w:p w14:paraId="3723FED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2026年，将从以下几个方面重点改进：</w:t>
      </w:r>
    </w:p>
    <w:p w14:paraId="70A0658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一是加强培训。组织开展政务公开专题培训，重点围绕主动公开、依申请公开、政策解读、回应关切等环节进行系统性学习，切实增强全员责任意识和主动、及时公开能力。</w:t>
      </w:r>
    </w:p>
    <w:p w14:paraId="7F9C42A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二是丰富内容。在继续做好文字信息发布的基础上，积极运用图解、图表等形式，对政策文件、工作进展、成果成效等进行多角度呈现，提升信息的可读性、易懂性和传播效果。</w:t>
      </w:r>
    </w:p>
    <w:p w14:paraId="72EA74B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黑体简体"/>
          <w:b/>
          <w:sz w:val="32"/>
          <w:szCs w:val="32"/>
        </w:rPr>
      </w:pPr>
      <w:r>
        <w:rPr>
          <w:rFonts w:eastAsia="方正黑体简体"/>
          <w:b/>
          <w:sz w:val="32"/>
          <w:szCs w:val="32"/>
        </w:rPr>
        <w:t>六、其他需要报告的事项</w:t>
      </w:r>
    </w:p>
    <w:p w14:paraId="2CE10E7C">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14:paraId="046B06C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jc w:val="left"/>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无。</w:t>
      </w:r>
    </w:p>
    <w:p w14:paraId="54C57F8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14:paraId="3CA36B01">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2025年，区农业农村局在区政府领导下，扎实推进政务公开工作。紧扣全区农业农村发展实际，围绕乡村振兴、惠农政策、产业发展等重点领域，持续拓展公开内容，优化工作机制。在政策宣传解读、回应群众关切等方面取得积极成效。严格执行主动公开管理，压实各科室责任，规范信息报送流程，确保公开内容全面准确、更新发布及时高效。</w:t>
      </w:r>
    </w:p>
    <w:p w14:paraId="6BE94E2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14:paraId="4B1AF13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2025年，区农业农村局共收到8件建议提案，其中人大代表建议5件（含市级人大代表建议1件，上年结转办理1件），政协委员提案3件。目前已按期办结，吸收采纳建议8件，答复率、满意率为100%。办理情况通过政府门户网站“建议提案办理”专栏进行公示。</w:t>
      </w:r>
    </w:p>
    <w:p w14:paraId="0F52E8D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（四）本行政机关年度政务公开工作创新情况</w:t>
      </w:r>
      <w:r>
        <w:rPr>
          <w:rFonts w:hint="eastAsia" w:eastAsia="方正楷体简体"/>
          <w:b/>
          <w:color w:val="000000"/>
          <w:sz w:val="32"/>
          <w:szCs w:val="32"/>
        </w:rPr>
        <w:t>：</w:t>
      </w:r>
    </w:p>
    <w:p w14:paraId="5C657EE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创新政策解读，针对本单位负责起草的政策文件，综合运用负责人解读、图文解读等多种方式，增强解读的针对性和传播效果，帮助群众更好理解政策内容，助力政策落地实施。丰富政民互动，积极组织开展“政府开放日”活动，全方位展示农业领域工作成果。</w:t>
      </w:r>
    </w:p>
    <w:p w14:paraId="1224541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p>
    <w:p w14:paraId="5C2ED16F">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default" w:ascii="Times New Roman" w:hAnsi="Times New Roman" w:eastAsia="方正仿宋简体" w:cs="Times New Roman"/>
          <w:b/>
          <w:color w:val="000000"/>
          <w:sz w:val="32"/>
          <w:lang w:val="en-US" w:eastAsia="zh-CN"/>
        </w:rPr>
      </w:pPr>
      <w:r>
        <w:rPr>
          <w:rFonts w:hint="eastAsia" w:ascii="Times New Roman" w:hAnsi="Times New Roman" w:eastAsia="方正仿宋简体" w:cs="Times New Roman"/>
          <w:b/>
          <w:color w:val="000000"/>
          <w:sz w:val="32"/>
          <w:lang w:val="en-US" w:eastAsia="zh-CN"/>
        </w:rPr>
        <w:t>无。</w:t>
      </w:r>
    </w:p>
    <w:p w14:paraId="2CC54E5D">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sz w:val="32"/>
          <w:szCs w:val="32"/>
          <w:lang w:eastAsia="zh-CN"/>
        </w:rPr>
      </w:pPr>
      <w:r>
        <w:rPr>
          <w:rFonts w:eastAsia="方正楷体简体"/>
          <w:b/>
          <w:color w:val="000000"/>
          <w:sz w:val="32"/>
          <w:szCs w:val="32"/>
        </w:rPr>
        <w:t>（六）本行政机关认为需要报告的其他事项</w:t>
      </w:r>
      <w:r>
        <w:rPr>
          <w:rFonts w:hint="eastAsia" w:eastAsia="方正楷体简体"/>
          <w:b/>
          <w:color w:val="000000"/>
          <w:sz w:val="32"/>
          <w:szCs w:val="32"/>
        </w:rPr>
        <w:t>：</w:t>
      </w:r>
      <w:r>
        <w:rPr>
          <w:rFonts w:hint="eastAsia" w:eastAsia="方正仿宋简体"/>
          <w:b/>
          <w:sz w:val="32"/>
          <w:szCs w:val="32"/>
        </w:rPr>
        <w:t>无</w:t>
      </w:r>
      <w:r>
        <w:rPr>
          <w:rFonts w:hint="eastAsia" w:eastAsia="方正仿宋简体"/>
          <w:b/>
          <w:sz w:val="32"/>
          <w:szCs w:val="32"/>
          <w:lang w:eastAsia="zh-CN"/>
        </w:rPr>
        <w:t>。</w:t>
      </w:r>
    </w:p>
    <w:p w14:paraId="5B56EB67">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rPr>
          <w:rFonts w:hint="eastAsia" w:eastAsia="方正仿宋简体"/>
          <w:b/>
          <w:sz w:val="32"/>
          <w:szCs w:val="32"/>
          <w:lang w:eastAsia="zh-CN"/>
        </w:rPr>
      </w:pPr>
      <w:r>
        <w:rPr>
          <w:rFonts w:eastAsia="方正楷体简体"/>
          <w:b/>
          <w:color w:val="000000"/>
          <w:sz w:val="32"/>
          <w:szCs w:val="32"/>
        </w:rPr>
        <w:t>（七）其他有关文件专门要求通过政府信息公开工作年度报告予以报告的事项</w:t>
      </w:r>
      <w:r>
        <w:rPr>
          <w:rFonts w:hint="eastAsia" w:eastAsia="方正楷体简体"/>
          <w:b/>
          <w:color w:val="000000"/>
          <w:sz w:val="32"/>
          <w:szCs w:val="32"/>
        </w:rPr>
        <w:t>：</w:t>
      </w:r>
      <w:r>
        <w:rPr>
          <w:rFonts w:hint="eastAsia" w:eastAsia="方正仿宋简体"/>
          <w:b/>
          <w:sz w:val="32"/>
          <w:szCs w:val="32"/>
        </w:rPr>
        <w:t>无</w:t>
      </w:r>
      <w:r>
        <w:rPr>
          <w:rFonts w:hint="eastAsia" w:eastAsia="方正仿宋简体"/>
          <w:b/>
          <w:sz w:val="32"/>
          <w:szCs w:val="32"/>
          <w:lang w:eastAsia="zh-CN"/>
        </w:rPr>
        <w:t>。</w:t>
      </w:r>
    </w:p>
    <w:p w14:paraId="1C39FFED"/>
    <w:p w14:paraId="4DF55D26"/>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altName w:val="方正黑体_GBK"/>
    <w:panose1 w:val="02010601030101010101"/>
    <w:charset w:val="00"/>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楷体_GB2312"/>
    <w:panose1 w:val="03000509000000000000"/>
    <w:charset w:val="00"/>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AAC3B">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8E6ECF">
                          <w:pPr>
                            <w:pStyle w:val="7"/>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338E6ECF">
                    <w:pPr>
                      <w:pStyle w:val="7"/>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0a09109d-8e8d-4de7-b405-11e7f0d414f9"/>
  </w:docVars>
  <w:rsids>
    <w:rsidRoot w:val="241E4FC5"/>
    <w:rsid w:val="000356BA"/>
    <w:rsid w:val="000421DE"/>
    <w:rsid w:val="000A1BE1"/>
    <w:rsid w:val="000E1CEE"/>
    <w:rsid w:val="00160AFD"/>
    <w:rsid w:val="001934D6"/>
    <w:rsid w:val="001A0BD0"/>
    <w:rsid w:val="0024688E"/>
    <w:rsid w:val="00313E03"/>
    <w:rsid w:val="00362FF3"/>
    <w:rsid w:val="00610C0A"/>
    <w:rsid w:val="006B57A7"/>
    <w:rsid w:val="006C338A"/>
    <w:rsid w:val="006F7069"/>
    <w:rsid w:val="008071FD"/>
    <w:rsid w:val="00937F11"/>
    <w:rsid w:val="009D3DD6"/>
    <w:rsid w:val="00A41E78"/>
    <w:rsid w:val="00AF3BEC"/>
    <w:rsid w:val="00C43454"/>
    <w:rsid w:val="00C615E4"/>
    <w:rsid w:val="00C6655F"/>
    <w:rsid w:val="00C8001E"/>
    <w:rsid w:val="00DD549C"/>
    <w:rsid w:val="00F239CF"/>
    <w:rsid w:val="00FF0C00"/>
    <w:rsid w:val="01423F24"/>
    <w:rsid w:val="02C80459"/>
    <w:rsid w:val="03D62104"/>
    <w:rsid w:val="048C67C6"/>
    <w:rsid w:val="05BF1208"/>
    <w:rsid w:val="06710E08"/>
    <w:rsid w:val="06AE3E0A"/>
    <w:rsid w:val="07242737"/>
    <w:rsid w:val="09646A02"/>
    <w:rsid w:val="09EF2614"/>
    <w:rsid w:val="0A4470DA"/>
    <w:rsid w:val="0B4C5599"/>
    <w:rsid w:val="0B5F3E68"/>
    <w:rsid w:val="0D5D2C2A"/>
    <w:rsid w:val="11495627"/>
    <w:rsid w:val="1193257A"/>
    <w:rsid w:val="11A81F3D"/>
    <w:rsid w:val="135205B6"/>
    <w:rsid w:val="14AB3737"/>
    <w:rsid w:val="14F8366F"/>
    <w:rsid w:val="16AD740F"/>
    <w:rsid w:val="1A0D279E"/>
    <w:rsid w:val="1B5E59A7"/>
    <w:rsid w:val="1BD97438"/>
    <w:rsid w:val="1C192B01"/>
    <w:rsid w:val="1ED5560D"/>
    <w:rsid w:val="1EEC64B9"/>
    <w:rsid w:val="20D615C1"/>
    <w:rsid w:val="21101AFF"/>
    <w:rsid w:val="23F33270"/>
    <w:rsid w:val="24196311"/>
    <w:rsid w:val="241E4FC5"/>
    <w:rsid w:val="27E579A8"/>
    <w:rsid w:val="27EA3166"/>
    <w:rsid w:val="294B73D4"/>
    <w:rsid w:val="2EF431F0"/>
    <w:rsid w:val="2F383732"/>
    <w:rsid w:val="2FFD05F5"/>
    <w:rsid w:val="33C3484E"/>
    <w:rsid w:val="352E5F92"/>
    <w:rsid w:val="357EC696"/>
    <w:rsid w:val="35BC67BA"/>
    <w:rsid w:val="36A302BA"/>
    <w:rsid w:val="38D46E50"/>
    <w:rsid w:val="39D76E21"/>
    <w:rsid w:val="39E906DA"/>
    <w:rsid w:val="3A2F701F"/>
    <w:rsid w:val="3A8770E4"/>
    <w:rsid w:val="3AD07DCB"/>
    <w:rsid w:val="3D4967A6"/>
    <w:rsid w:val="3ED82609"/>
    <w:rsid w:val="432172C7"/>
    <w:rsid w:val="4758323C"/>
    <w:rsid w:val="49BA174B"/>
    <w:rsid w:val="4A5674E2"/>
    <w:rsid w:val="4B415739"/>
    <w:rsid w:val="4CA707BE"/>
    <w:rsid w:val="4DA51E00"/>
    <w:rsid w:val="4DB90697"/>
    <w:rsid w:val="4DC36F5E"/>
    <w:rsid w:val="52363D25"/>
    <w:rsid w:val="53333BD1"/>
    <w:rsid w:val="53BA3DAB"/>
    <w:rsid w:val="54E749CC"/>
    <w:rsid w:val="55520701"/>
    <w:rsid w:val="55D528D4"/>
    <w:rsid w:val="577304FA"/>
    <w:rsid w:val="57FF2240"/>
    <w:rsid w:val="59685243"/>
    <w:rsid w:val="596F2345"/>
    <w:rsid w:val="5B0C3A57"/>
    <w:rsid w:val="600C3003"/>
    <w:rsid w:val="6086051C"/>
    <w:rsid w:val="60DB78AD"/>
    <w:rsid w:val="675B76C5"/>
    <w:rsid w:val="67C63C85"/>
    <w:rsid w:val="68CB7079"/>
    <w:rsid w:val="68EC06AA"/>
    <w:rsid w:val="6ADF6418"/>
    <w:rsid w:val="6BDA52D8"/>
    <w:rsid w:val="6C5F3600"/>
    <w:rsid w:val="6CE250E0"/>
    <w:rsid w:val="6EE13152"/>
    <w:rsid w:val="6F1536B5"/>
    <w:rsid w:val="6F5F4720"/>
    <w:rsid w:val="704951B0"/>
    <w:rsid w:val="708E2F38"/>
    <w:rsid w:val="73053A25"/>
    <w:rsid w:val="733A5B61"/>
    <w:rsid w:val="73FD7029"/>
    <w:rsid w:val="744A758A"/>
    <w:rsid w:val="76FED7F7"/>
    <w:rsid w:val="77FF2689"/>
    <w:rsid w:val="7859225A"/>
    <w:rsid w:val="785F6ABD"/>
    <w:rsid w:val="7A454EDD"/>
    <w:rsid w:val="7B3773CE"/>
    <w:rsid w:val="7B47564B"/>
    <w:rsid w:val="7B4D98B1"/>
    <w:rsid w:val="7CC145C3"/>
    <w:rsid w:val="7CF44998"/>
    <w:rsid w:val="7D7812B9"/>
    <w:rsid w:val="7DF29E29"/>
    <w:rsid w:val="7FC45EA0"/>
    <w:rsid w:val="8E98B99E"/>
    <w:rsid w:val="B7FF49DB"/>
    <w:rsid w:val="BBEA2C21"/>
    <w:rsid w:val="BEEECDF0"/>
    <w:rsid w:val="D7EABA42"/>
    <w:rsid w:val="DB375251"/>
    <w:rsid w:val="DFFF33F2"/>
    <w:rsid w:val="F5CF3652"/>
    <w:rsid w:val="F7FD8C94"/>
    <w:rsid w:val="FB6758ED"/>
    <w:rsid w:val="FDF4B61F"/>
    <w:rsid w:val="FE775983"/>
    <w:rsid w:val="FEFA74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1"/>
    <w:qFormat/>
    <w:uiPriority w:val="99"/>
    <w:pPr>
      <w:spacing w:after="120"/>
    </w:pPr>
    <w:rPr>
      <w:rFonts w:ascii="Calibri" w:hAnsi="Calibri" w:eastAsia="宋体" w:cs="Calibri"/>
    </w:rPr>
  </w:style>
  <w:style w:type="paragraph" w:styleId="4">
    <w:name w:val="Body Text Indent"/>
    <w:basedOn w:val="1"/>
    <w:next w:val="5"/>
    <w:qFormat/>
    <w:uiPriority w:val="0"/>
    <w:pPr>
      <w:spacing w:after="120"/>
      <w:ind w:left="200" w:leftChars="200"/>
    </w:pPr>
  </w:style>
  <w:style w:type="paragraph" w:styleId="5">
    <w:name w:val="Body Text First Indent 2"/>
    <w:basedOn w:val="4"/>
    <w:next w:val="6"/>
    <w:qFormat/>
    <w:uiPriority w:val="0"/>
    <w:pPr>
      <w:ind w:firstLine="200" w:firstLineChars="200"/>
    </w:pPr>
  </w:style>
  <w:style w:type="paragraph" w:styleId="6">
    <w:name w:val="Body Text First Indent"/>
    <w:basedOn w:val="3"/>
    <w:qFormat/>
    <w:uiPriority w:val="0"/>
    <w:pPr>
      <w:ind w:firstLine="100" w:firstLineChars="1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Strong"/>
    <w:qFormat/>
    <w:uiPriority w:val="0"/>
    <w:rPr>
      <w:b/>
    </w:rPr>
  </w:style>
  <w:style w:type="character" w:styleId="13">
    <w:name w:val="Emphasis"/>
    <w:basedOn w:val="11"/>
    <w:qFormat/>
    <w:uiPriority w:val="0"/>
    <w:rPr>
      <w:i/>
    </w:rPr>
  </w:style>
  <w:style w:type="character" w:styleId="14">
    <w:name w:val="Hyperlink"/>
    <w:basedOn w:val="11"/>
    <w:uiPriority w:val="0"/>
    <w:rPr>
      <w:color w:val="0000FF"/>
      <w:u w:val="single"/>
    </w:rPr>
  </w:style>
  <w:style w:type="paragraph" w:customStyle="1" w:styleId="15">
    <w:name w:val="正文首行缩进1"/>
    <w:basedOn w:val="3"/>
    <w:uiPriority w:val="0"/>
    <w:pPr>
      <w:spacing w:before="100" w:beforeAutospacing="1"/>
      <w:ind w:firstLine="100" w:firstLineChars="100"/>
    </w:pPr>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huawei/&#26700;&#38754;/&#25919;&#24220;&#20449;&#24687;&#20844;&#24320;&#21488;&#36134;&#65288;2025%202024&#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Pt>
            <c:idx val="3"/>
            <c:bubble3D val="0"/>
            <c:spPr>
              <a:solidFill>
                <a:schemeClr val="accent4"/>
              </a:solidFill>
              <a:ln>
                <a:solidFill>
                  <a:schemeClr val="bg1"/>
                </a:solidFill>
              </a:ln>
              <a:effectLst/>
              <a:scene3d>
                <a:camera prst="orthographicFront"/>
                <a:lightRig rig="threePt" dir="t"/>
              </a:scene3d>
              <a:sp3d contourW="9525"/>
            </c:spPr>
          </c:dPt>
          <c:dPt>
            <c:idx val="4"/>
            <c:bubble3D val="0"/>
            <c:spPr>
              <a:solidFill>
                <a:schemeClr val="accent5"/>
              </a:solidFill>
              <a:ln>
                <a:solidFill>
                  <a:schemeClr val="bg1"/>
                </a:solidFill>
              </a:ln>
              <a:effectLst/>
              <a:scene3d>
                <a:camera prst="orthographicFront"/>
                <a:lightRig rig="threePt" dir="t"/>
              </a:scene3d>
              <a:sp3d contourW="9525"/>
            </c:spPr>
          </c:dPt>
          <c:dPt>
            <c:idx val="5"/>
            <c:bubble3D val="0"/>
            <c:spPr>
              <a:solidFill>
                <a:schemeClr val="accent6"/>
              </a:solidFill>
              <a:ln>
                <a:solidFill>
                  <a:schemeClr val="bg1"/>
                </a:solidFill>
              </a:ln>
              <a:effectLst/>
              <a:scene3d>
                <a:camera prst="orthographicFront"/>
                <a:lightRig rig="threePt" dir="t"/>
              </a:scene3d>
              <a:sp3d contourW="9525"/>
            </c:spPr>
          </c:dPt>
          <c:dPt>
            <c:idx val="6"/>
            <c:bubble3D val="0"/>
            <c:spPr>
              <a:solidFill>
                <a:schemeClr val="accent1">
                  <a:lumMod val="60000"/>
                </a:schemeClr>
              </a:solidFill>
              <a:ln>
                <a:solidFill>
                  <a:schemeClr val="bg1"/>
                </a:solidFill>
              </a:ln>
              <a:effectLst/>
              <a:scene3d>
                <a:camera prst="orthographicFront"/>
                <a:lightRig rig="threePt" dir="t"/>
              </a:scene3d>
              <a:sp3d contourW="9525"/>
            </c:spPr>
          </c:dPt>
          <c:dPt>
            <c:idx val="7"/>
            <c:bubble3D val="0"/>
            <c:spPr>
              <a:solidFill>
                <a:schemeClr val="accent2">
                  <a:lumMod val="60000"/>
                </a:schemeClr>
              </a:solidFill>
              <a:ln>
                <a:solidFill>
                  <a:schemeClr val="bg1"/>
                </a:solidFill>
              </a:ln>
              <a:effectLst/>
              <a:scene3d>
                <a:camera prst="orthographicFront"/>
                <a:lightRig rig="threePt" dir="t"/>
              </a:scene3d>
              <a:sp3d contourW="9525"/>
            </c:spPr>
          </c:dPt>
          <c:dPt>
            <c:idx val="8"/>
            <c:bubble3D val="0"/>
            <c:spPr>
              <a:solidFill>
                <a:schemeClr val="accent3">
                  <a:lumMod val="60000"/>
                </a:schemeClr>
              </a:solidFill>
              <a:ln>
                <a:solidFill>
                  <a:schemeClr val="bg1"/>
                </a:solidFill>
              </a:ln>
              <a:effectLst/>
              <a:scene3d>
                <a:camera prst="orthographicFront"/>
                <a:lightRig rig="threePt" dir="t"/>
              </a:scene3d>
              <a:sp3d contourW="9525"/>
            </c:spPr>
          </c:dPt>
          <c:dPt>
            <c:idx val="9"/>
            <c:bubble3D val="0"/>
            <c:spPr>
              <a:solidFill>
                <a:schemeClr val="accent4">
                  <a:lumMod val="60000"/>
                </a:schemeClr>
              </a:solidFill>
              <a:ln>
                <a:solidFill>
                  <a:schemeClr val="bg1"/>
                </a:solidFill>
              </a:ln>
              <a:effectLst/>
              <a:scene3d>
                <a:camera prst="orthographicFront"/>
                <a:lightRig rig="threePt" dir="t"/>
              </a:scene3d>
              <a:sp3d contourW="9525"/>
            </c:spPr>
          </c:dPt>
          <c:dPt>
            <c:idx val="10"/>
            <c:bubble3D val="0"/>
            <c:spPr>
              <a:solidFill>
                <a:schemeClr val="accent5">
                  <a:lumMod val="60000"/>
                </a:schemeClr>
              </a:solidFill>
              <a:ln>
                <a:solidFill>
                  <a:schemeClr val="bg1"/>
                </a:solidFill>
              </a:ln>
              <a:effectLst/>
              <a:scene3d>
                <a:camera prst="orthographicFront"/>
                <a:lightRig rig="threePt" dir="t"/>
              </a:scene3d>
              <a:sp3d contourW="9525"/>
            </c:spPr>
          </c:dPt>
          <c:dPt>
            <c:idx val="11"/>
            <c:bubble3D val="0"/>
            <c:spPr>
              <a:solidFill>
                <a:schemeClr val="accent6">
                  <a:lumMod val="60000"/>
                </a:schemeClr>
              </a:solidFill>
              <a:ln>
                <a:solidFill>
                  <a:schemeClr val="bg1"/>
                </a:solidFill>
              </a:ln>
              <a:effectLst/>
              <a:scene3d>
                <a:camera prst="orthographicFront"/>
                <a:lightRig rig="threePt" dir="t"/>
              </a:scene3d>
              <a:sp3d contourW="9525"/>
            </c:spPr>
          </c:dPt>
          <c:dPt>
            <c:idx val="12"/>
            <c:bubble3D val="0"/>
            <c:spPr>
              <a:solidFill>
                <a:schemeClr val="accent1">
                  <a:lumMod val="80000"/>
                  <a:lumOff val="20000"/>
                </a:schemeClr>
              </a:solidFill>
              <a:ln>
                <a:solidFill>
                  <a:schemeClr val="bg1"/>
                </a:solidFill>
              </a:ln>
              <a:effectLst/>
              <a:scene3d>
                <a:camera prst="orthographicFront"/>
                <a:lightRig rig="threePt" dir="t"/>
              </a:scene3d>
              <a:sp3d contourW="9525"/>
            </c:spPr>
          </c:dPt>
          <c:dPt>
            <c:idx val="13"/>
            <c:bubble3D val="0"/>
            <c:spPr>
              <a:solidFill>
                <a:schemeClr val="accent2">
                  <a:lumMod val="80000"/>
                  <a:lumOff val="20000"/>
                </a:schemeClr>
              </a:solidFill>
              <a:ln>
                <a:solidFill>
                  <a:schemeClr val="bg1"/>
                </a:solidFill>
              </a:ln>
              <a:effectLst/>
              <a:scene3d>
                <a:camera prst="orthographicFront"/>
                <a:lightRig rig="threePt" dir="t"/>
              </a:scene3d>
              <a:sp3d contourW="9525"/>
            </c:spPr>
          </c:dPt>
          <c:dPt>
            <c:idx val="14"/>
            <c:bubble3D val="0"/>
            <c:spPr>
              <a:solidFill>
                <a:schemeClr val="accent3">
                  <a:lumMod val="80000"/>
                  <a:lumOff val="20000"/>
                </a:schemeClr>
              </a:solidFill>
              <a:ln>
                <a:solidFill>
                  <a:schemeClr val="bg1"/>
                </a:solidFill>
              </a:ln>
              <a:effectLst/>
              <a:scene3d>
                <a:camera prst="orthographicFront"/>
                <a:lightRig rig="threePt" dir="t"/>
              </a:scene3d>
              <a:sp3d contourW="9525"/>
            </c:spPr>
          </c:dPt>
          <c:dPt>
            <c:idx val="15"/>
            <c:bubble3D val="0"/>
            <c:spPr>
              <a:solidFill>
                <a:schemeClr val="accent4">
                  <a:lumMod val="80000"/>
                  <a:lumOff val="20000"/>
                </a:schemeClr>
              </a:solidFill>
              <a:ln>
                <a:solidFill>
                  <a:schemeClr val="bg1"/>
                </a:solidFill>
              </a:ln>
              <a:effectLst/>
              <a:scene3d>
                <a:camera prst="orthographicFront"/>
                <a:lightRig rig="threePt" dir="t"/>
              </a:scene3d>
              <a:sp3d contourW="9525"/>
            </c:spPr>
          </c:dPt>
          <c:dPt>
            <c:idx val="16"/>
            <c:bubble3D val="0"/>
            <c:spPr>
              <a:solidFill>
                <a:schemeClr val="accent5">
                  <a:lumMod val="80000"/>
                  <a:lumOff val="20000"/>
                </a:schemeClr>
              </a:solidFill>
              <a:ln>
                <a:solidFill>
                  <a:schemeClr val="bg1"/>
                </a:solidFill>
              </a:ln>
              <a:effectLst/>
              <a:scene3d>
                <a:camera prst="orthographicFront"/>
                <a:lightRig rig="threePt" dir="t"/>
              </a:scene3d>
              <a:sp3d contourW="9525"/>
            </c:spPr>
          </c:dPt>
          <c:dPt>
            <c:idx val="17"/>
            <c:bubble3D val="0"/>
            <c:spPr>
              <a:solidFill>
                <a:schemeClr val="accent6">
                  <a:lumMod val="80000"/>
                  <a:lumOff val="20000"/>
                </a:schemeClr>
              </a:solidFill>
              <a:ln>
                <a:solidFill>
                  <a:schemeClr val="bg1"/>
                </a:solidFill>
              </a:ln>
              <a:effectLst/>
              <a:scene3d>
                <a:camera prst="orthographicFront"/>
                <a:lightRig rig="threePt" dir="t"/>
              </a:scene3d>
              <a:sp3d contourW="9525"/>
            </c:spPr>
          </c:dPt>
          <c:dPt>
            <c:idx val="18"/>
            <c:bubble3D val="0"/>
            <c:spPr>
              <a:solidFill>
                <a:schemeClr val="accent1">
                  <a:lumMod val="80000"/>
                </a:schemeClr>
              </a:solidFill>
              <a:ln>
                <a:solidFill>
                  <a:schemeClr val="bg1"/>
                </a:solidFill>
              </a:ln>
              <a:effectLst/>
              <a:scene3d>
                <a:camera prst="orthographicFront"/>
                <a:lightRig rig="threePt" dir="t"/>
              </a:scene3d>
              <a:sp3d contourW="9525"/>
            </c:spPr>
          </c:dPt>
          <c:dPt>
            <c:idx val="19"/>
            <c:bubble3D val="0"/>
            <c:spPr>
              <a:solidFill>
                <a:schemeClr val="accent2">
                  <a:lumMod val="80000"/>
                </a:schemeClr>
              </a:solidFill>
              <a:ln>
                <a:solidFill>
                  <a:schemeClr val="bg1"/>
                </a:solidFill>
              </a:ln>
              <a:effectLst/>
              <a:scene3d>
                <a:camera prst="orthographicFront"/>
                <a:lightRig rig="threePt" dir="t"/>
              </a:scene3d>
              <a:sp3d contourW="9525"/>
            </c:spPr>
          </c:dPt>
          <c:dLbls>
            <c:delete val="1"/>
          </c:dLbls>
          <c:cat>
            <c:strRef>
              <c:f>'[政府信息公开台账（2025 2024）.xlsx]Sheet2'!$C$5:$C$24</c:f>
              <c:strCache>
                <c:ptCount val="20"/>
                <c:pt idx="0">
                  <c:v>公告公示</c:v>
                </c:pt>
                <c:pt idx="1">
                  <c:v>行政执法公示</c:v>
                </c:pt>
                <c:pt idx="2">
                  <c:v>财政预算决算</c:v>
                </c:pt>
                <c:pt idx="3">
                  <c:v>建议提案办理</c:v>
                </c:pt>
                <c:pt idx="4">
                  <c:v>涉农补贴</c:v>
                </c:pt>
                <c:pt idx="5">
                  <c:v>乡村振兴</c:v>
                </c:pt>
                <c:pt idx="6">
                  <c:v>“双随机、一公开”</c:v>
                </c:pt>
                <c:pt idx="7">
                  <c:v>民生实事工作落实</c:v>
                </c:pt>
                <c:pt idx="8">
                  <c:v>部门文件</c:v>
                </c:pt>
                <c:pt idx="9">
                  <c:v>会议公开</c:v>
                </c:pt>
                <c:pt idx="10">
                  <c:v>政策解读</c:v>
                </c:pt>
                <c:pt idx="11">
                  <c:v>年报图解</c:v>
                </c:pt>
                <c:pt idx="12">
                  <c:v>收费项目及招标投标</c:v>
                </c:pt>
                <c:pt idx="13">
                  <c:v>政府工作报告落实</c:v>
                </c:pt>
                <c:pt idx="14">
                  <c:v>政府信息公开年报</c:v>
                </c:pt>
                <c:pt idx="15">
                  <c:v>政务公开工作培训</c:v>
                </c:pt>
                <c:pt idx="16">
                  <c:v>政务公开工作推进</c:v>
                </c:pt>
                <c:pt idx="17">
                  <c:v>政务公开组织领导</c:v>
                </c:pt>
                <c:pt idx="18">
                  <c:v>执行效果评估</c:v>
                </c:pt>
                <c:pt idx="19">
                  <c:v>重大决策预公开</c:v>
                </c:pt>
              </c:strCache>
            </c:strRef>
          </c:cat>
          <c:val>
            <c:numRef>
              <c:f>'[政府信息公开台账（2025 2024）.xlsx]Sheet2'!$D$5:$D$24</c:f>
              <c:numCache>
                <c:formatCode>General</c:formatCode>
                <c:ptCount val="20"/>
                <c:pt idx="0">
                  <c:v>28</c:v>
                </c:pt>
                <c:pt idx="1">
                  <c:v>30</c:v>
                </c:pt>
                <c:pt idx="2">
                  <c:v>17</c:v>
                </c:pt>
                <c:pt idx="3">
                  <c:v>9</c:v>
                </c:pt>
                <c:pt idx="4">
                  <c:v>22</c:v>
                </c:pt>
                <c:pt idx="5">
                  <c:v>5</c:v>
                </c:pt>
                <c:pt idx="6">
                  <c:v>5</c:v>
                </c:pt>
                <c:pt idx="7">
                  <c:v>5</c:v>
                </c:pt>
                <c:pt idx="8">
                  <c:v>1</c:v>
                </c:pt>
                <c:pt idx="9">
                  <c:v>1</c:v>
                </c:pt>
                <c:pt idx="10">
                  <c:v>3</c:v>
                </c:pt>
                <c:pt idx="11">
                  <c:v>1</c:v>
                </c:pt>
                <c:pt idx="12">
                  <c:v>1</c:v>
                </c:pt>
                <c:pt idx="13">
                  <c:v>4</c:v>
                </c:pt>
                <c:pt idx="14">
                  <c:v>1</c:v>
                </c:pt>
                <c:pt idx="15">
                  <c:v>1</c:v>
                </c:pt>
                <c:pt idx="16">
                  <c:v>1</c:v>
                </c:pt>
                <c:pt idx="17">
                  <c:v>2</c:v>
                </c:pt>
                <c:pt idx="18">
                  <c:v>1</c:v>
                </c:pt>
                <c:pt idx="19">
                  <c:v>2</c:v>
                </c:pt>
              </c:numCache>
            </c:numRef>
          </c:val>
        </c:ser>
        <c:dLbls>
          <c:showLegendKey val="0"/>
          <c:showVal val="0"/>
          <c:showCatName val="0"/>
          <c:showSerName val="0"/>
          <c:showPercent val="0"/>
          <c:showBubbleSize val="0"/>
        </c:dLbls>
      </c:pie3DChart>
      <c:spPr>
        <a:noFill/>
        <a:ln>
          <a:noFill/>
        </a:ln>
        <a:effectLst/>
      </c:spPr>
    </c:plotArea>
    <c:legend>
      <c:legendPos val="r"/>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3"/>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4"/>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5"/>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6"/>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7"/>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8"/>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9"/>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2"/>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3"/>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4"/>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5"/>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6"/>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7"/>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8"/>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egendEntry>
        <c:idx val="19"/>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Entry>
      <c:layout>
        <c:manualLayout>
          <c:xMode val="edge"/>
          <c:yMode val="edge"/>
          <c:x val="0.759559076817086"/>
          <c:y val="0.0532091785833056"/>
          <c:w val="0.21977264898381"/>
          <c:h val="0.899401396740938"/>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legend>
    <c:plotVisOnly val="1"/>
    <c:dispBlanksAs val="gap"/>
    <c:showDLblsOverMax val="0"/>
    <c:extLst>
      <c:ext uri="{0b15fc19-7d7d-44ad-8c2d-2c3a37ce22c3}">
        <chartProps xmlns="https://web.wps.cn/et/2018/main" chartId="{aabe945f-46a9-46c3-907d-150fde52b368}"/>
      </c:ext>
    </c:extLst>
  </c:chart>
  <c:spPr>
    <a:solidFill>
      <a:schemeClr val="bg1"/>
    </a:solidFill>
    <a:ln w="9525" cap="flat" cmpd="sng" algn="ctr">
      <a:noFill/>
      <a:round/>
    </a:ln>
    <a:effectLst/>
  </c:spPr>
  <c:txPr>
    <a:bodyPr/>
    <a:lstStyle/>
    <a:p>
      <a:pPr>
        <a:defRPr lang="zh-CN" b="1">
          <a:latin typeface="方正仿宋简体" panose="02010601030101010101" charset="-122"/>
          <a:ea typeface="方正仿宋简体" panose="02010601030101010101" charset="-122"/>
          <a:cs typeface="方正仿宋简体" panose="02010601030101010101" charset="-122"/>
          <a:sym typeface="方正仿宋简体" panose="02010601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2877</Words>
  <Characters>2975</Characters>
  <Lines>38</Lines>
  <Paragraphs>10</Paragraphs>
  <TotalTime>434.333333333333</TotalTime>
  <ScaleCrop>false</ScaleCrop>
  <LinksUpToDate>false</LinksUpToDate>
  <CharactersWithSpaces>2975</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2022-01-19T02:03:00Z</dcterms:created>
  <dc:creator>云淡风轻</dc:creator>
  <cp:lastModifiedBy>huawei</cp:lastModifiedBy>
  <cp:lastPrinted>2024-01-23T11:20:24Z</cp:lastPrinted>
  <dcterms:modified xsi:type="dcterms:W3CDTF">2026-01-13T16:11:57Z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B5A67065AEC42722FDFC656901732391_43</vt:lpwstr>
  </property>
  <property fmtid="{D5CDD505-2E9C-101B-9397-08002B2CF9AE}" pid="4" name="KSOSaveFontToCloudKey">
    <vt:lpwstr>509185331_btnclosed</vt:lpwstr>
  </property>
  <property fmtid="{D5CDD505-2E9C-101B-9397-08002B2CF9AE}" pid="5" name="KSOTemplateDocerSaveRecord">
    <vt:lpwstr>eyJoZGlkIjoiYzY0MmRhNDEzNzNjMWFmNTFhMTBlZTI3OGE1NzJkNzIiLCJ1c2VySWQiOiIxMjcyMjg2ODg1In0=</vt:lpwstr>
  </property>
</Properties>
</file>