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ascii="Times New Roman" w:hAnsi="Times New Roman" w:eastAsia="方正小标宋简体"/>
          <w:b/>
          <w:color w:val="000000"/>
          <w:kern w:val="0"/>
          <w:sz w:val="44"/>
          <w:szCs w:val="44"/>
        </w:rPr>
      </w:pPr>
      <w:r>
        <w:rPr>
          <w:rFonts w:ascii="Times New Roman" w:hAnsi="Times New Roman" w:eastAsia="方正小标宋简体"/>
          <w:b/>
          <w:color w:val="000000"/>
          <w:kern w:val="0"/>
          <w:sz w:val="44"/>
          <w:szCs w:val="44"/>
        </w:rPr>
        <w:t>济宁市兖州区交通运输局202</w:t>
      </w:r>
      <w:r>
        <w:rPr>
          <w:rFonts w:hint="eastAsia" w:ascii="Times New Roman" w:hAnsi="Times New Roman" w:eastAsia="方正小标宋简体"/>
          <w:b/>
          <w:color w:val="000000"/>
          <w:kern w:val="0"/>
          <w:sz w:val="44"/>
          <w:szCs w:val="44"/>
          <w:lang w:val="en-US" w:eastAsia="zh-CN"/>
        </w:rPr>
        <w:t>4</w:t>
      </w:r>
      <w:r>
        <w:rPr>
          <w:rFonts w:ascii="Times New Roman" w:hAnsi="Times New Roman" w:eastAsia="方正小标宋简体"/>
          <w:b/>
          <w:color w:val="000000"/>
          <w:kern w:val="0"/>
          <w:sz w:val="44"/>
          <w:szCs w:val="44"/>
        </w:rPr>
        <w:t>年政府信息</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ascii="Times New Roman" w:hAnsi="Times New Roman" w:eastAsia="方正小标宋简体"/>
          <w:b/>
          <w:color w:val="000000"/>
          <w:kern w:val="0"/>
          <w:sz w:val="44"/>
          <w:szCs w:val="44"/>
        </w:rPr>
      </w:pPr>
      <w:r>
        <w:rPr>
          <w:rFonts w:ascii="Times New Roman" w:hAnsi="Times New Roman" w:eastAsia="方正小标宋简体"/>
          <w:b/>
          <w:color w:val="000000"/>
          <w:kern w:val="0"/>
          <w:sz w:val="44"/>
          <w:szCs w:val="44"/>
        </w:rPr>
        <w:t>公开</w:t>
      </w:r>
      <w:r>
        <w:rPr>
          <w:rFonts w:hint="eastAsia" w:ascii="Times New Roman" w:hAnsi="Times New Roman" w:eastAsia="方正小标宋简体"/>
          <w:b/>
          <w:color w:val="000000"/>
          <w:kern w:val="0"/>
          <w:sz w:val="44"/>
          <w:szCs w:val="44"/>
        </w:rPr>
        <w:t>工作</w:t>
      </w:r>
      <w:r>
        <w:rPr>
          <w:rFonts w:ascii="Times New Roman" w:hAnsi="Times New Roman" w:eastAsia="方正小标宋简体"/>
          <w:b/>
          <w:color w:val="000000"/>
          <w:kern w:val="0"/>
          <w:sz w:val="44"/>
          <w:szCs w:val="44"/>
        </w:rPr>
        <w:t>年</w:t>
      </w:r>
      <w:r>
        <w:rPr>
          <w:rFonts w:hint="eastAsia" w:ascii="Times New Roman" w:hAnsi="Times New Roman" w:eastAsia="方正小标宋简体"/>
          <w:b/>
          <w:color w:val="000000"/>
          <w:kern w:val="0"/>
          <w:sz w:val="44"/>
          <w:szCs w:val="44"/>
        </w:rPr>
        <w:t>度</w:t>
      </w:r>
      <w:r>
        <w:rPr>
          <w:rFonts w:ascii="Times New Roman" w:hAnsi="Times New Roman" w:eastAsia="方正小标宋简体"/>
          <w:b/>
          <w:color w:val="000000"/>
          <w:kern w:val="0"/>
          <w:sz w:val="44"/>
          <w:szCs w:val="44"/>
        </w:rPr>
        <w:t>报</w:t>
      </w:r>
      <w:r>
        <w:rPr>
          <w:rFonts w:hint="eastAsia" w:ascii="Times New Roman" w:hAnsi="Times New Roman" w:eastAsia="方正小标宋简体"/>
          <w:b/>
          <w:color w:val="000000"/>
          <w:kern w:val="0"/>
          <w:sz w:val="44"/>
          <w:szCs w:val="44"/>
        </w:rPr>
        <w:t>告</w:t>
      </w:r>
    </w:p>
    <w:p>
      <w:pPr>
        <w:spacing w:line="600" w:lineRule="exact"/>
        <w:ind w:firstLine="643" w:firstLineChars="200"/>
        <w:rPr>
          <w:rFonts w:ascii="Times New Roman" w:hAnsi="方正仿宋简体" w:eastAsia="方正仿宋简体" w:cs="Times New Roman"/>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方正仿宋简体" w:eastAsia="方正仿宋简体" w:cs="Times New Roman"/>
          <w:b/>
          <w:color w:val="000000"/>
          <w:kern w:val="0"/>
          <w:sz w:val="32"/>
          <w:szCs w:val="32"/>
        </w:rPr>
      </w:pPr>
      <w:r>
        <w:rPr>
          <w:rFonts w:ascii="Times New Roman" w:hAnsi="方正仿宋简体" w:eastAsia="方正仿宋简体" w:cs="Times New Roman"/>
          <w:b/>
          <w:color w:val="000000"/>
          <w:kern w:val="0"/>
          <w:sz w:val="32"/>
          <w:szCs w:val="32"/>
        </w:rPr>
        <w:t>本报告由济宁市兖州区交通运输局按照《中华人民共和国政府信息公开条例》（以下简称《条例》）和《中华人民共和国政府信息公开工作年度报告格式》（国办公开办函〔2021〕30号）要求编制。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方正仿宋简体" w:eastAsia="方正仿宋简体" w:cs="Times New Roman"/>
          <w:b/>
          <w:color w:val="000000"/>
          <w:kern w:val="0"/>
          <w:sz w:val="32"/>
          <w:szCs w:val="32"/>
        </w:rPr>
      </w:pPr>
      <w:r>
        <w:rPr>
          <w:rFonts w:ascii="Times New Roman" w:hAnsi="方正仿宋简体" w:eastAsia="方正仿宋简体" w:cs="Times New Roman"/>
          <w:b/>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方正仿宋简体" w:eastAsia="方正仿宋简体" w:cs="Times New Roman"/>
          <w:b/>
          <w:color w:val="000000"/>
          <w:kern w:val="0"/>
          <w:sz w:val="32"/>
          <w:szCs w:val="32"/>
        </w:rPr>
      </w:pPr>
      <w:r>
        <w:rPr>
          <w:rFonts w:ascii="Times New Roman" w:hAnsi="方正仿宋简体" w:eastAsia="方正仿宋简体" w:cs="Times New Roman"/>
          <w:b/>
          <w:color w:val="000000"/>
          <w:kern w:val="0"/>
          <w:sz w:val="32"/>
          <w:szCs w:val="32"/>
        </w:rPr>
        <w:t>本报告所列数据的统计期限自2024年1月1日起至2024年12月31日止。本报告电子版可在“中国·兖州”政府门户网站（www.yanzhou.gov.cn）查阅或下载。如对本报告有疑问，请与济宁市兖州区交通运输局联系（地址：济宁市兖州区扬州路2号，区政务服务中心南楼6楼，联系电话：0537—3413776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color w:val="000000"/>
          <w:kern w:val="0"/>
          <w:sz w:val="32"/>
          <w:szCs w:val="32"/>
        </w:rPr>
      </w:pPr>
      <w:r>
        <w:rPr>
          <w:rFonts w:hint="eastAsia" w:ascii="方正黑体简体" w:hAnsi="方正黑体简体" w:eastAsia="方正黑体简体" w:cs="方正黑体简体"/>
          <w:b/>
          <w:color w:val="000000"/>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方正仿宋简体" w:eastAsia="方正仿宋简体" w:cs="Times New Roman"/>
          <w:b/>
          <w:color w:val="000000"/>
          <w:kern w:val="0"/>
          <w:sz w:val="32"/>
          <w:szCs w:val="32"/>
        </w:rPr>
      </w:pPr>
      <w:r>
        <w:rPr>
          <w:rFonts w:ascii="Times New Roman" w:hAnsi="方正仿宋简体" w:eastAsia="方正仿宋简体" w:cs="Times New Roman"/>
          <w:b/>
          <w:color w:val="000000"/>
          <w:kern w:val="0"/>
          <w:sz w:val="32"/>
          <w:szCs w:val="32"/>
        </w:rPr>
        <w:t>2024年以来，兖州区交通运输局按照国家和地方政府关于政府信息公开的相关法规和要求，积极推动政府信息公开工作，确保信息公开内容的全面性、时效性和准确性。本年度工作取得了显著进展，信息公开的透明度和公众参与度明显提升。重点抓好以下几方面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楷体简体" w:cs="Times New Roman"/>
          <w:b/>
          <w:color w:val="000000"/>
          <w:kern w:val="0"/>
          <w:sz w:val="32"/>
          <w:szCs w:val="32"/>
          <w:lang w:eastAsia="zh-CN"/>
        </w:rPr>
      </w:pPr>
      <w:r>
        <w:rPr>
          <w:rFonts w:ascii="Times New Roman" w:hAnsi="方正仿宋简体" w:eastAsia="方正楷体简体" w:cs="Times New Roman"/>
          <w:b/>
          <w:color w:val="000000"/>
          <w:kern w:val="0"/>
          <w:sz w:val="32"/>
          <w:szCs w:val="32"/>
        </w:rPr>
        <w:t>（一）主动公开</w:t>
      </w:r>
      <w:r>
        <w:rPr>
          <w:rFonts w:hint="eastAsia" w:ascii="Times New Roman" w:hAnsi="方正仿宋简体" w:eastAsia="方正楷体简体" w:cs="Times New Roman"/>
          <w:b/>
          <w:color w:val="000000"/>
          <w:kern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仿宋简体" w:cs="Times New Roman"/>
          <w:b/>
          <w:color w:val="000000"/>
          <w:kern w:val="0"/>
          <w:sz w:val="32"/>
          <w:szCs w:val="32"/>
          <w:lang w:eastAsia="zh-CN"/>
        </w:rPr>
      </w:pPr>
      <w:r>
        <w:rPr>
          <w:rFonts w:ascii="Times New Roman" w:hAnsi="方正仿宋简体" w:eastAsia="方正仿宋简体" w:cs="Times New Roman"/>
          <w:b/>
          <w:color w:val="000000"/>
          <w:kern w:val="0"/>
          <w:sz w:val="32"/>
          <w:szCs w:val="32"/>
        </w:rPr>
        <w:t>2024年区交通运输局进一步优化了政府信息公开工作流程，确保信息发布渠道畅通，内容更新及时，便于公众查询和使用。2024年1-12月我局</w:t>
      </w:r>
      <w:r>
        <w:rPr>
          <w:rFonts w:hint="eastAsia" w:ascii="Times New Roman" w:hAnsi="方正仿宋简体" w:eastAsia="方正仿宋简体" w:cs="Times New Roman"/>
          <w:b/>
          <w:color w:val="000000"/>
          <w:kern w:val="0"/>
          <w:sz w:val="32"/>
          <w:szCs w:val="32"/>
          <w:lang w:eastAsia="zh-CN"/>
        </w:rPr>
        <w:t>公开</w:t>
      </w:r>
      <w:r>
        <w:rPr>
          <w:rFonts w:ascii="Times New Roman" w:hAnsi="方正仿宋简体" w:eastAsia="方正仿宋简体" w:cs="Times New Roman"/>
          <w:b/>
          <w:color w:val="000000"/>
          <w:kern w:val="0"/>
          <w:sz w:val="32"/>
          <w:szCs w:val="32"/>
        </w:rPr>
        <w:t>信息523条。其中机构职能和领导信息4条，组织管理7条，部门文件4条，应急管理3条，通知公告46条，行政权力运行公开46条，重点领域9条，政府信息公开指南年报6条，主动公开基本目录2条</w:t>
      </w:r>
      <w:r>
        <w:rPr>
          <w:rFonts w:hint="eastAsia" w:ascii="Times New Roman" w:hAnsi="方正仿宋简体" w:eastAsia="方正仿宋简体" w:cs="Times New Roman"/>
          <w:b/>
          <w:color w:val="000000"/>
          <w:kern w:val="0"/>
          <w:sz w:val="32"/>
          <w:szCs w:val="32"/>
          <w:lang w:eastAsia="zh-CN"/>
        </w:rPr>
        <w:t>，其他各类</w:t>
      </w:r>
      <w:r>
        <w:rPr>
          <w:rFonts w:ascii="Times New Roman" w:hAnsi="方正仿宋简体" w:eastAsia="方正仿宋简体" w:cs="Times New Roman"/>
          <w:b/>
          <w:color w:val="000000"/>
          <w:kern w:val="0"/>
          <w:sz w:val="32"/>
          <w:szCs w:val="32"/>
        </w:rPr>
        <w:t>政府信息396条</w:t>
      </w:r>
      <w:r>
        <w:rPr>
          <w:rFonts w:hint="eastAsia" w:ascii="Times New Roman" w:hAnsi="方正仿宋简体" w:eastAsia="方正仿宋简体" w:cs="Times New Roman"/>
          <w:b/>
          <w:color w:val="000000"/>
          <w:kern w:val="0"/>
          <w:sz w:val="32"/>
          <w:szCs w:val="32"/>
          <w:lang w:eastAsia="zh-CN"/>
        </w:rPr>
        <w:t>。</w:t>
      </w:r>
    </w:p>
    <w:p>
      <w:pPr>
        <w:pStyle w:val="2"/>
        <w:keepNext w:val="0"/>
        <w:keepLines w:val="0"/>
        <w:widowControl/>
        <w:suppressLineNumbers w:val="0"/>
        <w:spacing w:before="0" w:beforeAutospacing="0" w:after="0" w:afterAutospacing="0" w:line="420" w:lineRule="atLeast"/>
        <w:ind w:left="0" w:right="0"/>
        <w:jc w:val="center"/>
      </w:pPr>
      <w:r>
        <w:drawing>
          <wp:inline distT="0" distB="0" distL="114300" distR="114300">
            <wp:extent cx="5270500" cy="4052570"/>
            <wp:effectExtent l="0" t="0" r="6350"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0500" cy="405257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楷体简体" w:cs="Times New Roman"/>
          <w:b/>
          <w:color w:val="000000"/>
          <w:kern w:val="0"/>
          <w:sz w:val="32"/>
          <w:szCs w:val="32"/>
          <w:lang w:eastAsia="zh-CN"/>
        </w:rPr>
      </w:pPr>
      <w:r>
        <w:rPr>
          <w:rFonts w:ascii="Times New Roman" w:hAnsi="方正仿宋简体" w:eastAsia="方正楷体简体" w:cs="Times New Roman"/>
          <w:b/>
          <w:color w:val="000000"/>
          <w:kern w:val="0"/>
          <w:sz w:val="32"/>
          <w:szCs w:val="32"/>
        </w:rPr>
        <w:t>（二）依申请公开</w:t>
      </w:r>
      <w:r>
        <w:rPr>
          <w:rFonts w:hint="eastAsia" w:ascii="Times New Roman" w:hAnsi="方正仿宋简体" w:eastAsia="方正楷体简体" w:cs="Times New Roman"/>
          <w:b/>
          <w:color w:val="000000"/>
          <w:kern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方正仿宋简体" w:eastAsia="方正仿宋简体" w:cs="Times New Roman"/>
          <w:b/>
          <w:color w:val="000000"/>
          <w:kern w:val="0"/>
          <w:sz w:val="32"/>
          <w:szCs w:val="32"/>
        </w:rPr>
      </w:pPr>
      <w:r>
        <w:rPr>
          <w:rFonts w:ascii="Times New Roman" w:hAnsi="方正仿宋简体" w:eastAsia="方正仿宋简体" w:cs="Times New Roman"/>
          <w:b/>
          <w:color w:val="000000"/>
          <w:kern w:val="0"/>
          <w:sz w:val="32"/>
          <w:szCs w:val="32"/>
        </w:rPr>
        <w:t>2024年度，区交通运输局收到政府信息公开申请0条。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楷体简体" w:cs="Times New Roman"/>
          <w:b/>
          <w:color w:val="000000"/>
          <w:kern w:val="0"/>
          <w:sz w:val="32"/>
          <w:szCs w:val="32"/>
          <w:lang w:val="en-US" w:eastAsia="zh-CN"/>
        </w:rPr>
      </w:pPr>
      <w:r>
        <w:rPr>
          <w:rFonts w:ascii="Times New Roman" w:hAnsi="方正仿宋简体" w:eastAsia="方正楷体简体" w:cs="Times New Roman"/>
          <w:b/>
          <w:color w:val="000000"/>
          <w:kern w:val="0"/>
          <w:sz w:val="32"/>
          <w:szCs w:val="32"/>
        </w:rPr>
        <w:t>（三）政府信息管理</w:t>
      </w:r>
      <w:r>
        <w:rPr>
          <w:rFonts w:hint="eastAsia" w:ascii="Times New Roman" w:hAnsi="方正仿宋简体" w:eastAsia="方正楷体简体" w:cs="Times New Roman"/>
          <w:b/>
          <w:color w:val="000000"/>
          <w:kern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方正仿宋简体" w:eastAsia="方正仿宋简体" w:cs="Times New Roman"/>
          <w:b/>
          <w:color w:val="000000"/>
          <w:kern w:val="0"/>
          <w:sz w:val="32"/>
          <w:szCs w:val="32"/>
        </w:rPr>
      </w:pPr>
      <w:r>
        <w:rPr>
          <w:rFonts w:hint="eastAsia" w:ascii="Times New Roman" w:hAnsi="方正仿宋简体" w:eastAsia="方正仿宋简体" w:cs="Times New Roman"/>
          <w:b/>
          <w:color w:val="000000"/>
          <w:kern w:val="0"/>
          <w:sz w:val="32"/>
          <w:szCs w:val="32"/>
        </w:rPr>
        <w:t>一是召开</w:t>
      </w:r>
      <w:r>
        <w:rPr>
          <w:rFonts w:hint="eastAsia" w:ascii="Times New Roman" w:hAnsi="方正仿宋简体" w:eastAsia="方正仿宋简体" w:cs="Times New Roman"/>
          <w:b/>
          <w:color w:val="000000"/>
          <w:kern w:val="0"/>
          <w:sz w:val="32"/>
          <w:szCs w:val="32"/>
          <w:lang w:val="en-US" w:eastAsia="zh-CN"/>
        </w:rPr>
        <w:t>政府信息管理</w:t>
      </w:r>
      <w:r>
        <w:rPr>
          <w:rFonts w:hint="eastAsia" w:ascii="Times New Roman" w:hAnsi="方正仿宋简体" w:eastAsia="方正仿宋简体" w:cs="Times New Roman"/>
          <w:b/>
          <w:color w:val="000000"/>
          <w:kern w:val="0"/>
          <w:sz w:val="32"/>
          <w:szCs w:val="32"/>
        </w:rPr>
        <w:t>专题会议，强化本年度</w:t>
      </w:r>
      <w:r>
        <w:rPr>
          <w:rFonts w:hint="eastAsia" w:ascii="Times New Roman" w:hAnsi="方正仿宋简体" w:eastAsia="方正仿宋简体" w:cs="Times New Roman"/>
          <w:b/>
          <w:color w:val="000000"/>
          <w:kern w:val="0"/>
          <w:sz w:val="32"/>
          <w:szCs w:val="32"/>
          <w:lang w:val="en-US" w:eastAsia="zh-CN"/>
        </w:rPr>
        <w:t>政府信息管理</w:t>
      </w:r>
      <w:r>
        <w:rPr>
          <w:rFonts w:hint="eastAsia" w:ascii="Times New Roman" w:hAnsi="方正仿宋简体" w:eastAsia="方正仿宋简体" w:cs="Times New Roman"/>
          <w:b/>
          <w:color w:val="000000"/>
          <w:kern w:val="0"/>
          <w:sz w:val="32"/>
          <w:szCs w:val="32"/>
        </w:rPr>
        <w:t>工作，安排专人专项负责政府信息公开工作，进一步明确任务分工和责任区分，严格落实</w:t>
      </w:r>
      <w:r>
        <w:rPr>
          <w:rFonts w:hint="eastAsia" w:ascii="Times New Roman" w:hAnsi="方正仿宋简体" w:eastAsia="方正仿宋简体" w:cs="Times New Roman"/>
          <w:b/>
          <w:color w:val="000000"/>
          <w:kern w:val="0"/>
          <w:sz w:val="32"/>
          <w:szCs w:val="32"/>
          <w:lang w:eastAsia="zh-CN"/>
        </w:rPr>
        <w:t>保密审查</w:t>
      </w:r>
      <w:r>
        <w:rPr>
          <w:rFonts w:hint="eastAsia" w:ascii="Times New Roman" w:hAnsi="方正仿宋简体" w:eastAsia="方正仿宋简体" w:cs="Times New Roman"/>
          <w:b/>
          <w:color w:val="000000"/>
          <w:kern w:val="0"/>
          <w:sz w:val="32"/>
          <w:szCs w:val="32"/>
        </w:rPr>
        <w:t>，确保公开内容合法合规、及时准确。二是进一步健全政府信息公开申请登记、审核、办理、答复、归档等各项内部工作制度。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楷体简体" w:cs="Times New Roman"/>
          <w:b/>
          <w:color w:val="000000"/>
          <w:kern w:val="0"/>
          <w:sz w:val="32"/>
          <w:szCs w:val="32"/>
          <w:lang w:eastAsia="zh-CN"/>
        </w:rPr>
      </w:pPr>
      <w:r>
        <w:rPr>
          <w:rFonts w:ascii="Times New Roman" w:hAnsi="方正仿宋简体" w:eastAsia="方正楷体简体" w:cs="Times New Roman"/>
          <w:b/>
          <w:color w:val="000000"/>
          <w:kern w:val="0"/>
          <w:sz w:val="32"/>
          <w:szCs w:val="32"/>
        </w:rPr>
        <w:t>（四）政府信息公开平台</w:t>
      </w:r>
      <w:r>
        <w:rPr>
          <w:rFonts w:hint="eastAsia" w:ascii="Times New Roman" w:hAnsi="方正仿宋简体" w:eastAsia="方正楷体简体" w:cs="Times New Roman"/>
          <w:b/>
          <w:color w:val="000000"/>
          <w:kern w:val="0"/>
          <w:sz w:val="32"/>
          <w:szCs w:val="32"/>
          <w:lang w:eastAsia="zh-CN"/>
        </w:rPr>
        <w:t>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方正仿宋简体" w:eastAsia="方正仿宋简体" w:cs="Times New Roman"/>
          <w:b/>
          <w:color w:val="000000"/>
          <w:kern w:val="0"/>
          <w:sz w:val="32"/>
          <w:szCs w:val="32"/>
        </w:rPr>
      </w:pPr>
      <w:r>
        <w:rPr>
          <w:rFonts w:ascii="Times New Roman" w:hAnsi="方正仿宋简体" w:eastAsia="方正仿宋简体" w:cs="Times New Roman"/>
          <w:b/>
          <w:color w:val="000000"/>
          <w:kern w:val="0"/>
          <w:sz w:val="32"/>
          <w:szCs w:val="32"/>
        </w:rPr>
        <w:t>强化政府信息公开平台建设是提高政府透明度、增强公众参与度、加强政府与市民之间互动的重要途径。区交通运输局2024年不断增强信息发布与更新的时效性、加强信息质量与准确性，在提升信息时效性的同时确保信息的准确性和可信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楷体简体" w:cs="Times New Roman"/>
          <w:b/>
          <w:color w:val="000000"/>
          <w:kern w:val="0"/>
          <w:sz w:val="32"/>
          <w:szCs w:val="32"/>
          <w:lang w:eastAsia="zh-CN"/>
        </w:rPr>
      </w:pPr>
      <w:r>
        <w:rPr>
          <w:rFonts w:hint="eastAsia" w:ascii="Times New Roman" w:hAnsi="方正仿宋简体" w:eastAsia="方正楷体简体" w:cs="Times New Roman"/>
          <w:b/>
          <w:color w:val="000000"/>
          <w:kern w:val="0"/>
          <w:sz w:val="32"/>
          <w:szCs w:val="32"/>
          <w:lang w:val="en-US" w:eastAsia="zh-CN"/>
        </w:rPr>
        <w:t>（五）</w:t>
      </w:r>
      <w:r>
        <w:rPr>
          <w:rFonts w:ascii="Times New Roman" w:hAnsi="方正仿宋简体" w:eastAsia="方正楷体简体" w:cs="Times New Roman"/>
          <w:b/>
          <w:color w:val="000000"/>
          <w:kern w:val="0"/>
          <w:sz w:val="32"/>
          <w:szCs w:val="32"/>
        </w:rPr>
        <w:t>监督保障</w:t>
      </w:r>
      <w:r>
        <w:rPr>
          <w:rFonts w:hint="eastAsia" w:ascii="Times New Roman" w:hAnsi="方正仿宋简体" w:eastAsia="方正楷体简体" w:cs="Times New Roman"/>
          <w:b/>
          <w:color w:val="000000"/>
          <w:kern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方正仿宋简体" w:eastAsia="方正仿宋简体" w:cs="Times New Roman"/>
          <w:b/>
          <w:color w:val="000000"/>
          <w:kern w:val="0"/>
          <w:sz w:val="32"/>
          <w:szCs w:val="32"/>
        </w:rPr>
      </w:pPr>
      <w:r>
        <w:rPr>
          <w:rFonts w:ascii="Times New Roman" w:hAnsi="方正仿宋简体" w:eastAsia="方正仿宋简体" w:cs="Times New Roman"/>
          <w:b/>
          <w:color w:val="000000"/>
          <w:kern w:val="0"/>
          <w:sz w:val="32"/>
          <w:szCs w:val="32"/>
        </w:rPr>
        <w:t>2024年，区交通运输局高度重视政府信息工作监督保障机制，</w:t>
      </w:r>
      <w:r>
        <w:rPr>
          <w:rFonts w:hint="eastAsia" w:ascii="Times New Roman" w:hAnsi="方正仿宋简体" w:eastAsia="方正仿宋简体" w:cs="Times New Roman"/>
          <w:b/>
          <w:color w:val="000000"/>
          <w:kern w:val="0"/>
          <w:sz w:val="32"/>
          <w:szCs w:val="32"/>
        </w:rPr>
        <w:t>制定</w:t>
      </w:r>
      <w:r>
        <w:rPr>
          <w:rFonts w:hint="eastAsia" w:ascii="Times New Roman" w:hAnsi="方正仿宋简体" w:eastAsia="方正仿宋简体" w:cs="Times New Roman"/>
          <w:b/>
          <w:color w:val="000000"/>
          <w:kern w:val="0"/>
          <w:sz w:val="32"/>
          <w:szCs w:val="32"/>
          <w:lang w:val="en-US" w:eastAsia="zh-CN"/>
        </w:rPr>
        <w:t>了</w:t>
      </w:r>
      <w:r>
        <w:rPr>
          <w:rFonts w:hint="eastAsia" w:ascii="Times New Roman" w:hAnsi="方正仿宋简体" w:eastAsia="方正仿宋简体" w:cs="Times New Roman"/>
          <w:b/>
          <w:color w:val="000000"/>
          <w:kern w:val="0"/>
          <w:sz w:val="32"/>
          <w:szCs w:val="32"/>
        </w:rPr>
        <w:t>年度</w:t>
      </w:r>
      <w:r>
        <w:rPr>
          <w:rFonts w:hint="eastAsia" w:ascii="Times New Roman" w:hAnsi="方正仿宋简体" w:eastAsia="方正仿宋简体" w:cs="Times New Roman"/>
          <w:b/>
          <w:color w:val="000000"/>
          <w:kern w:val="0"/>
          <w:sz w:val="32"/>
          <w:szCs w:val="32"/>
          <w:lang w:eastAsia="zh-CN"/>
        </w:rPr>
        <w:t>政府信息公开</w:t>
      </w:r>
      <w:r>
        <w:rPr>
          <w:rFonts w:hint="eastAsia" w:ascii="Times New Roman" w:hAnsi="方正仿宋简体" w:eastAsia="方正仿宋简体" w:cs="Times New Roman"/>
          <w:b/>
          <w:color w:val="000000"/>
          <w:kern w:val="0"/>
          <w:sz w:val="32"/>
          <w:szCs w:val="32"/>
        </w:rPr>
        <w:t>培训计划，全面提升了</w:t>
      </w:r>
      <w:r>
        <w:rPr>
          <w:rFonts w:hint="eastAsia" w:ascii="Times New Roman" w:hAnsi="方正仿宋简体" w:eastAsia="方正仿宋简体" w:cs="Times New Roman"/>
          <w:b/>
          <w:color w:val="000000"/>
          <w:kern w:val="0"/>
          <w:sz w:val="32"/>
          <w:szCs w:val="32"/>
          <w:lang w:eastAsia="zh-CN"/>
        </w:rPr>
        <w:t>政府信息公开</w:t>
      </w:r>
      <w:r>
        <w:rPr>
          <w:rFonts w:hint="eastAsia" w:ascii="Times New Roman" w:hAnsi="方正仿宋简体" w:eastAsia="方正仿宋简体" w:cs="Times New Roman"/>
          <w:b/>
          <w:color w:val="000000"/>
          <w:kern w:val="0"/>
          <w:sz w:val="32"/>
          <w:szCs w:val="32"/>
        </w:rPr>
        <w:t>工作人员业务能力和水平。</w:t>
      </w:r>
      <w:r>
        <w:rPr>
          <w:rFonts w:hint="eastAsia" w:ascii="Times New Roman" w:hAnsi="方正仿宋简体" w:eastAsia="方正仿宋简体" w:cs="Times New Roman"/>
          <w:b/>
          <w:color w:val="000000"/>
          <w:kern w:val="0"/>
          <w:sz w:val="32"/>
          <w:szCs w:val="32"/>
          <w:lang w:val="en-US" w:eastAsia="zh-CN"/>
        </w:rPr>
        <w:t>并</w:t>
      </w:r>
      <w:r>
        <w:rPr>
          <w:rFonts w:hint="eastAsia" w:ascii="Times New Roman" w:hAnsi="方正仿宋简体" w:eastAsia="方正仿宋简体" w:cs="Times New Roman"/>
          <w:b/>
          <w:color w:val="000000"/>
          <w:kern w:val="0"/>
          <w:sz w:val="32"/>
          <w:szCs w:val="32"/>
        </w:rPr>
        <w:t>由政策法规科牵头负责局</w:t>
      </w:r>
      <w:r>
        <w:rPr>
          <w:rFonts w:hint="eastAsia" w:ascii="Times New Roman" w:hAnsi="方正仿宋简体" w:eastAsia="方正仿宋简体" w:cs="Times New Roman"/>
          <w:b/>
          <w:color w:val="000000"/>
          <w:kern w:val="0"/>
          <w:sz w:val="32"/>
          <w:szCs w:val="32"/>
          <w:lang w:eastAsia="zh-CN"/>
        </w:rPr>
        <w:t>政府信息公开</w:t>
      </w:r>
      <w:r>
        <w:rPr>
          <w:rFonts w:hint="eastAsia" w:ascii="Times New Roman" w:hAnsi="方正仿宋简体" w:eastAsia="方正仿宋简体" w:cs="Times New Roman"/>
          <w:b/>
          <w:color w:val="000000"/>
          <w:kern w:val="0"/>
          <w:sz w:val="32"/>
          <w:szCs w:val="32"/>
        </w:rPr>
        <w:t>工作，配备1名专职人员，把好审查关，确保信息发布及时、准确和规范。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color w:val="000000"/>
          <w:kern w:val="0"/>
          <w:sz w:val="32"/>
          <w:szCs w:val="32"/>
        </w:rPr>
      </w:pPr>
      <w:r>
        <w:rPr>
          <w:rFonts w:hint="eastAsia" w:ascii="方正黑体简体" w:hAnsi="方正黑体简体" w:eastAsia="方正黑体简体" w:cs="方正黑体简体"/>
          <w:b/>
          <w:color w:val="000000"/>
          <w:kern w:val="0"/>
          <w:sz w:val="32"/>
          <w:szCs w:val="32"/>
          <w:lang w:val="en-US" w:eastAsia="zh-CN"/>
        </w:rPr>
        <w:t>二、</w:t>
      </w:r>
      <w:r>
        <w:rPr>
          <w:rFonts w:hint="eastAsia" w:ascii="方正黑体简体" w:hAnsi="方正黑体简体" w:eastAsia="方正黑体简体" w:cs="方正黑体简体"/>
          <w:b/>
          <w:color w:val="000000"/>
          <w:kern w:val="0"/>
          <w:sz w:val="32"/>
          <w:szCs w:val="32"/>
        </w:rPr>
        <w:t>主动公开政府信息情况</w:t>
      </w:r>
    </w:p>
    <w:tbl>
      <w:tblPr>
        <w:tblStyle w:val="3"/>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25"/>
        <w:gridCol w:w="2127"/>
        <w:gridCol w:w="2127"/>
        <w:gridCol w:w="2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5000" w:type="pct"/>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信息内容</w:t>
            </w:r>
          </w:p>
        </w:tc>
        <w:tc>
          <w:tcPr>
            <w:tcW w:w="1249"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本年制发件数</w:t>
            </w:r>
          </w:p>
        </w:tc>
        <w:tc>
          <w:tcPr>
            <w:tcW w:w="1249"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本年废止件数</w:t>
            </w:r>
          </w:p>
        </w:tc>
        <w:tc>
          <w:tcPr>
            <w:tcW w:w="125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规章</w:t>
            </w:r>
          </w:p>
        </w:tc>
        <w:tc>
          <w:tcPr>
            <w:tcW w:w="1249"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49"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行政规范性文件</w:t>
            </w:r>
          </w:p>
        </w:tc>
        <w:tc>
          <w:tcPr>
            <w:tcW w:w="1249"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49"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2"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5000" w:type="pct"/>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信息内容</w:t>
            </w:r>
          </w:p>
        </w:tc>
        <w:tc>
          <w:tcPr>
            <w:tcW w:w="3751" w:type="pct"/>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行政许可</w:t>
            </w:r>
          </w:p>
        </w:tc>
        <w:tc>
          <w:tcPr>
            <w:tcW w:w="3751" w:type="pct"/>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5000" w:type="pct"/>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信息内容</w:t>
            </w:r>
          </w:p>
        </w:tc>
        <w:tc>
          <w:tcPr>
            <w:tcW w:w="3751" w:type="pct"/>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行政处罚</w:t>
            </w:r>
          </w:p>
        </w:tc>
        <w:tc>
          <w:tcPr>
            <w:tcW w:w="3751" w:type="pct"/>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bookmarkStart w:id="0" w:name="_GoBack"/>
            <w:bookmarkEnd w:id="0"/>
            <w:r>
              <w:rPr>
                <w:rFonts w:hint="eastAsia" w:ascii="仿宋_GB2312" w:hAnsi="宋体" w:eastAsia="仿宋_GB2312" w:cs="宋体"/>
                <w:color w:val="000000"/>
                <w:kern w:val="0"/>
                <w:szCs w:val="21"/>
                <w:lang w:val="en-US" w:eastAsia="zh-CN"/>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行政强制</w:t>
            </w:r>
          </w:p>
        </w:tc>
        <w:tc>
          <w:tcPr>
            <w:tcW w:w="3751" w:type="pct"/>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5000" w:type="pct"/>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信息内容</w:t>
            </w:r>
          </w:p>
        </w:tc>
        <w:tc>
          <w:tcPr>
            <w:tcW w:w="3751" w:type="pct"/>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行政事业性收费</w:t>
            </w:r>
          </w:p>
        </w:tc>
        <w:tc>
          <w:tcPr>
            <w:tcW w:w="3751" w:type="pct"/>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color w:val="000000"/>
          <w:kern w:val="0"/>
          <w:sz w:val="32"/>
          <w:szCs w:val="32"/>
          <w:lang w:val="en-US" w:eastAsia="zh-CN"/>
        </w:rPr>
      </w:pPr>
      <w:r>
        <w:rPr>
          <w:rFonts w:hint="eastAsia" w:ascii="方正黑体简体" w:hAnsi="方正黑体简体" w:eastAsia="方正黑体简体" w:cs="方正黑体简体"/>
          <w:b/>
          <w:color w:val="000000"/>
          <w:kern w:val="0"/>
          <w:sz w:val="32"/>
          <w:szCs w:val="32"/>
          <w:lang w:val="en-US" w:eastAsia="zh-CN"/>
        </w:rPr>
        <w:t>三、收到和处理政府信息公开申请情况</w:t>
      </w:r>
    </w:p>
    <w:tbl>
      <w:tblPr>
        <w:tblStyle w:val="3"/>
        <w:tblW w:w="99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0"/>
        <w:gridCol w:w="1657"/>
        <w:gridCol w:w="2881"/>
        <w:gridCol w:w="807"/>
        <w:gridCol w:w="563"/>
        <w:gridCol w:w="563"/>
        <w:gridCol w:w="721"/>
        <w:gridCol w:w="692"/>
        <w:gridCol w:w="564"/>
        <w:gridCol w:w="8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510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rPr>
              <w:t>（本列数据的勾稽关系为：第一项加第二项之和，</w:t>
            </w:r>
          </w:p>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rPr>
              <w:t>等于第三项加第四项之和）</w:t>
            </w:r>
          </w:p>
        </w:tc>
        <w:tc>
          <w:tcPr>
            <w:tcW w:w="4815"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8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lang w:val="en-US" w:eastAsia="zh-CN"/>
              </w:rPr>
              <w:t>自然人</w:t>
            </w:r>
          </w:p>
        </w:tc>
        <w:tc>
          <w:tcPr>
            <w:tcW w:w="313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lang w:val="en-US" w:eastAsia="zh-CN"/>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8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lang w:val="en-US" w:eastAsia="zh-CN"/>
              </w:rPr>
              <w:t>商业企业</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lang w:val="en-US" w:eastAsia="zh-CN"/>
              </w:rPr>
              <w:t>科研机构</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lang w:val="en-US" w:eastAsia="zh-CN"/>
              </w:rPr>
              <w:t>社会公益组织</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法律服务机构</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其他</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一、本年新收政府信息公开申请数量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二、上年结转政府信息公开申请数量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2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lang w:val="en-US" w:eastAsia="zh-CN"/>
              </w:rPr>
              <w:t>三、本年度办理结果</w:t>
            </w: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（一）予以公开</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（二）部分公开（区分处理的，只计这一情形，不计其他情形）</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（三）不予公开</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1.属于国家秘密</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2.其他法律行政法规禁止公开</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3.危及“三安全一稳定”</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4.保护第三方合法权益</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5.属于三类内部事务信息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6.属于四类过程性信息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7.属于行政执法案卷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8.属于行政查询事项</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（四）无法提供</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1.本机关不掌握相关政府信息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2.没有现成信息需要另行制作</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3.补正后申请内容仍不明确</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（五）不予处理</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1.信访举报投诉类申请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2.重复申请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3.要求提供公开出版物</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4.无正当理由大量反复申请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5"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5.要求行政机关确认或重新出具已获取信息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（六）其他处理</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1.申请人无正当理由逾期不补正、行政机关不再处理其政府信息公开申请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2.申请人逾期未按收费通知要求缴纳费用、行政机关不再处理其政府信息公开申请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lang w:val="en-US" w:eastAsia="zh-CN"/>
              </w:rPr>
              <w:t>3.其他</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rPr>
            </w:pPr>
            <w:r>
              <w:rPr>
                <w:rFonts w:hint="eastAsia" w:ascii="楷体_GB2312" w:hAnsi="黑体" w:eastAsia="楷体_GB2312" w:cs="Times New Roman"/>
                <w:kern w:val="0"/>
                <w:szCs w:val="21"/>
              </w:rPr>
              <w:t>（七）总计</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四、结转下年度继续办理</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楷体_GB2312" w:hAnsi="黑体" w:eastAsia="楷体_GB2312" w:cs="Times New Roman"/>
                <w:kern w:val="0"/>
                <w:szCs w:val="21"/>
                <w:lang w:val="en-US" w:eastAsia="zh-CN"/>
              </w:rPr>
            </w:pPr>
            <w:r>
              <w:rPr>
                <w:rFonts w:hint="eastAsia" w:ascii="楷体_GB2312" w:hAnsi="黑体" w:eastAsia="楷体_GB2312" w:cs="Times New Roman"/>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color w:val="000000"/>
          <w:kern w:val="0"/>
          <w:sz w:val="32"/>
          <w:szCs w:val="32"/>
          <w:lang w:val="en-US" w:eastAsia="zh-CN"/>
        </w:rPr>
      </w:pPr>
      <w:r>
        <w:rPr>
          <w:rFonts w:hint="eastAsia" w:ascii="方正黑体简体" w:hAnsi="方正黑体简体" w:eastAsia="方正黑体简体" w:cs="方正黑体简体"/>
          <w:b/>
          <w:color w:val="000000"/>
          <w:kern w:val="0"/>
          <w:sz w:val="32"/>
          <w:szCs w:val="32"/>
          <w:lang w:val="en-US" w:eastAsia="zh-CN"/>
        </w:rPr>
        <w:t>四、政府信息公开行政复议、行政诉讼情况</w:t>
      </w:r>
    </w:p>
    <w:tbl>
      <w:tblPr>
        <w:tblStyle w:val="3"/>
        <w:tblW w:w="90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5" w:hRule="atLeast"/>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结果</w:t>
            </w:r>
          </w:p>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尚未</w:t>
            </w:r>
          </w:p>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w:t>
            </w:r>
          </w:p>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0" w:hRule="atLeast"/>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其他</w:t>
            </w:r>
          </w:p>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尚未</w:t>
            </w:r>
          </w:p>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结果</w:t>
            </w:r>
          </w:p>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其他</w:t>
            </w:r>
          </w:p>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color w:val="000000"/>
          <w:kern w:val="0"/>
          <w:sz w:val="32"/>
          <w:szCs w:val="32"/>
          <w:lang w:val="en-US" w:eastAsia="zh-CN"/>
        </w:rPr>
      </w:pPr>
      <w:r>
        <w:rPr>
          <w:rFonts w:hint="eastAsia" w:ascii="方正黑体简体" w:hAnsi="方正黑体简体" w:eastAsia="方正黑体简体" w:cs="方正黑体简体"/>
          <w:b/>
          <w:color w:val="000000"/>
          <w:kern w:val="0"/>
          <w:sz w:val="32"/>
          <w:szCs w:val="32"/>
          <w:lang w:val="en-US" w:eastAsia="zh-CN"/>
        </w:rPr>
        <w:t>五、存在的主要问题及改进情况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2024年区交通运输局在政府信息公开工作方面存在问题：</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信息公开内容不全面、信息更新不及时、公众参与度低等。2025年，将从以下几个方面重点改进：</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1. 完善信息公开制度：进一步完善政府信息公开，确保所有政策和公共事务的相关信息能够及时、准确地公开。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2. 加强信息更新与透明度：确保区交通运输局的所有公开信息都能够在规定时限内更新，确保信息的透明度和时效性。</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3. 提高公众参与度：通过多种方式增强公众对交通政策的参与和监督，增强信息公开的互动性。</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4. 加强数据安全与隐私保护：确保所有公开的政府信息都符合数据保护和隐私法规，防止个人隐私泄露。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黑体简体" w:cs="Times New Roman"/>
          <w:b/>
          <w:color w:val="000000"/>
          <w:kern w:val="0"/>
          <w:sz w:val="32"/>
          <w:szCs w:val="32"/>
        </w:rPr>
      </w:pPr>
      <w:r>
        <w:rPr>
          <w:rFonts w:hint="eastAsia" w:ascii="Times New Roman" w:hAnsi="Times New Roman" w:eastAsia="方正黑体简体" w:cs="Times New Roman"/>
          <w:b/>
          <w:color w:val="000000"/>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楷体简体" w:cs="Times New Roman"/>
          <w:b/>
          <w:color w:val="000000"/>
          <w:kern w:val="0"/>
          <w:sz w:val="32"/>
          <w:szCs w:val="32"/>
          <w:lang w:val="en-US" w:eastAsia="zh-CN"/>
        </w:rPr>
      </w:pPr>
      <w:r>
        <w:rPr>
          <w:rFonts w:hint="eastAsia" w:ascii="Times New Roman" w:hAnsi="方正仿宋简体" w:eastAsia="方正楷体简体" w:cs="Times New Roman"/>
          <w:b/>
          <w:color w:val="000000"/>
          <w:kern w:val="0"/>
          <w:sz w:val="32"/>
          <w:szCs w:val="32"/>
          <w:lang w:val="en-US" w:eastAsia="zh-CN"/>
        </w:rPr>
        <w:t>（一）依据《政府信息公开信息处理费管理办法》收取信息处理费的情况：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楷体简体" w:cs="Times New Roman"/>
          <w:b/>
          <w:color w:val="000000"/>
          <w:kern w:val="0"/>
          <w:sz w:val="32"/>
          <w:szCs w:val="32"/>
          <w:lang w:val="en-US" w:eastAsia="zh-CN"/>
        </w:rPr>
      </w:pPr>
      <w:r>
        <w:rPr>
          <w:rFonts w:hint="eastAsia" w:ascii="Times New Roman" w:hAnsi="方正仿宋简体" w:eastAsia="方正楷体简体" w:cs="Times New Roman"/>
          <w:b/>
          <w:color w:val="000000"/>
          <w:kern w:val="0"/>
          <w:sz w:val="32"/>
          <w:szCs w:val="32"/>
          <w:lang w:val="en-US" w:eastAsia="zh-CN"/>
        </w:rPr>
        <w:t>（二）本行政机关落实上级年度政府信息公开工作要点情况：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eastAsia="zh-CN" w:bidi="ar-SA"/>
        </w:rPr>
        <w:t>一是</w:t>
      </w:r>
      <w:r>
        <w:rPr>
          <w:rFonts w:hint="eastAsia" w:ascii="Times New Roman" w:hAnsi="方正仿宋简体" w:eastAsia="方正仿宋简体" w:cs="Times New Roman"/>
          <w:b/>
          <w:sz w:val="32"/>
          <w:szCs w:val="32"/>
          <w:lang w:bidi="ar-SA"/>
        </w:rPr>
        <w:t>严格</w:t>
      </w:r>
      <w:r>
        <w:rPr>
          <w:rFonts w:hint="eastAsia" w:ascii="Times New Roman" w:hAnsi="方正仿宋简体" w:eastAsia="方正仿宋简体" w:cs="Times New Roman"/>
          <w:b/>
          <w:sz w:val="32"/>
          <w:szCs w:val="32"/>
          <w:lang w:eastAsia="zh-CN" w:bidi="ar-SA"/>
        </w:rPr>
        <w:t>政府信息公开</w:t>
      </w:r>
      <w:r>
        <w:rPr>
          <w:rFonts w:hint="eastAsia" w:ascii="Times New Roman" w:hAnsi="方正仿宋简体" w:eastAsia="方正仿宋简体" w:cs="Times New Roman"/>
          <w:b/>
          <w:sz w:val="32"/>
          <w:szCs w:val="32"/>
          <w:lang w:bidi="ar-SA"/>
        </w:rPr>
        <w:t>职责落实。认真落实局机关各科室和局属各单位</w:t>
      </w:r>
      <w:r>
        <w:rPr>
          <w:rFonts w:hint="eastAsia" w:ascii="Times New Roman" w:hAnsi="方正仿宋简体" w:eastAsia="方正仿宋简体" w:cs="Times New Roman"/>
          <w:b/>
          <w:sz w:val="32"/>
          <w:szCs w:val="32"/>
          <w:lang w:eastAsia="zh-CN" w:bidi="ar-SA"/>
        </w:rPr>
        <w:t>政府信息公开</w:t>
      </w:r>
      <w:r>
        <w:rPr>
          <w:rFonts w:hint="eastAsia" w:ascii="Times New Roman" w:hAnsi="方正仿宋简体" w:eastAsia="方正仿宋简体" w:cs="Times New Roman"/>
          <w:b/>
          <w:sz w:val="32"/>
          <w:szCs w:val="32"/>
          <w:lang w:bidi="ar-SA"/>
        </w:rPr>
        <w:t>工作职责，强化各科室与局属单位之间的沟通协调，进一步提高依法公开</w:t>
      </w:r>
      <w:r>
        <w:rPr>
          <w:rFonts w:hint="eastAsia" w:ascii="Times New Roman" w:hAnsi="方正仿宋简体" w:eastAsia="方正仿宋简体" w:cs="Times New Roman"/>
          <w:b/>
          <w:sz w:val="32"/>
          <w:szCs w:val="32"/>
          <w:lang w:eastAsia="zh-CN" w:bidi="ar-SA"/>
        </w:rPr>
        <w:t>政府</w:t>
      </w:r>
      <w:r>
        <w:rPr>
          <w:rFonts w:hint="eastAsia" w:ascii="Times New Roman" w:hAnsi="方正仿宋简体" w:eastAsia="方正仿宋简体" w:cs="Times New Roman"/>
          <w:b/>
          <w:sz w:val="32"/>
          <w:szCs w:val="32"/>
          <w:lang w:bidi="ar-SA"/>
        </w:rPr>
        <w:t>信息的工作水平，确保及时、完整、准确地向社会公开行业政务信息。二是建立完善</w:t>
      </w:r>
      <w:r>
        <w:rPr>
          <w:rFonts w:hint="eastAsia" w:ascii="Times New Roman" w:hAnsi="方正仿宋简体" w:eastAsia="方正仿宋简体" w:cs="Times New Roman"/>
          <w:b/>
          <w:sz w:val="32"/>
          <w:szCs w:val="32"/>
          <w:lang w:eastAsia="zh-CN" w:bidi="ar-SA"/>
        </w:rPr>
        <w:t>政府信息公开</w:t>
      </w:r>
      <w:r>
        <w:rPr>
          <w:rFonts w:hint="eastAsia" w:ascii="Times New Roman" w:hAnsi="方正仿宋简体" w:eastAsia="方正仿宋简体" w:cs="Times New Roman"/>
          <w:b/>
          <w:sz w:val="32"/>
          <w:szCs w:val="32"/>
          <w:lang w:bidi="ar-SA"/>
        </w:rPr>
        <w:t>机制。进一步完善相关制度和程序，加强政务信息公开的内部审查、协调发布、监督检查等制度，进一步提高行业政务信息公开的工作水平和服务水平。三是加快推进</w:t>
      </w:r>
      <w:r>
        <w:rPr>
          <w:rFonts w:hint="eastAsia" w:ascii="Times New Roman" w:hAnsi="方正仿宋简体" w:eastAsia="方正仿宋简体" w:cs="Times New Roman"/>
          <w:b/>
          <w:sz w:val="32"/>
          <w:szCs w:val="32"/>
          <w:lang w:eastAsia="zh-CN" w:bidi="ar-SA"/>
        </w:rPr>
        <w:t>政府信息公开</w:t>
      </w:r>
      <w:r>
        <w:rPr>
          <w:rFonts w:hint="eastAsia" w:ascii="Times New Roman" w:hAnsi="方正仿宋简体" w:eastAsia="方正仿宋简体" w:cs="Times New Roman"/>
          <w:b/>
          <w:sz w:val="32"/>
          <w:szCs w:val="32"/>
          <w:lang w:bidi="ar-SA"/>
        </w:rPr>
        <w:t>常态化建设。坚持以公开为常态，常态化推进行业政策决策、执行、管理、服务和结果公开，强化依法行政，加快推进互联网+政务服务，着力打造透明阳光的交通运输政务平台，全力为社会和公众服务，建设人民满意交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楷体简体" w:cs="Times New Roman"/>
          <w:b/>
          <w:color w:val="000000"/>
          <w:kern w:val="0"/>
          <w:sz w:val="32"/>
          <w:szCs w:val="32"/>
          <w:lang w:val="en-US" w:eastAsia="zh-CN"/>
        </w:rPr>
      </w:pPr>
      <w:r>
        <w:rPr>
          <w:rFonts w:hint="eastAsia" w:ascii="Times New Roman" w:hAnsi="方正仿宋简体" w:eastAsia="方正楷体简体" w:cs="Times New Roman"/>
          <w:b/>
          <w:color w:val="000000"/>
          <w:kern w:val="0"/>
          <w:sz w:val="32"/>
          <w:szCs w:val="32"/>
          <w:lang w:val="en-US" w:eastAsia="zh-CN"/>
        </w:rPr>
        <w:t>（三）人大代表建议和政协提案办理结果公开情况：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2024年区交通运输局共承办人大代表建议10件，政协提案2件。其中涉及农村公路路网基础设施改善方面的8件，公共交通线路运行及站点设置方面的4件。所有议案建议均与人大代表见面，答复率100%，满意率为100%。吸收采纳建议</w:t>
      </w:r>
      <w:r>
        <w:rPr>
          <w:rFonts w:hint="eastAsia" w:ascii="Times New Roman" w:hAnsi="方正仿宋简体" w:eastAsia="方正仿宋简体" w:cs="Times New Roman"/>
          <w:b/>
          <w:sz w:val="32"/>
          <w:szCs w:val="32"/>
          <w:lang w:eastAsia="zh-CN" w:bidi="ar-SA"/>
        </w:rPr>
        <w:t>、</w:t>
      </w:r>
      <w:r>
        <w:rPr>
          <w:rFonts w:hint="eastAsia" w:ascii="Times New Roman" w:hAnsi="方正仿宋简体" w:eastAsia="方正仿宋简体" w:cs="Times New Roman"/>
          <w:b/>
          <w:sz w:val="32"/>
          <w:szCs w:val="32"/>
          <w:lang w:val="en-US" w:eastAsia="zh-CN" w:bidi="ar-SA"/>
        </w:rPr>
        <w:t>提案</w:t>
      </w:r>
      <w:r>
        <w:rPr>
          <w:rFonts w:hint="eastAsia" w:ascii="Times New Roman" w:hAnsi="方正仿宋简体" w:eastAsia="方正仿宋简体" w:cs="Times New Roman"/>
          <w:b/>
          <w:sz w:val="32"/>
          <w:szCs w:val="32"/>
          <w:lang w:bidi="ar-SA"/>
        </w:rPr>
        <w:t>12件</w:t>
      </w:r>
      <w:r>
        <w:rPr>
          <w:rFonts w:hint="eastAsia" w:ascii="Times New Roman" w:hAnsi="方正仿宋简体" w:eastAsia="方正仿宋简体" w:cs="Times New Roman"/>
          <w:b/>
          <w:sz w:val="32"/>
          <w:szCs w:val="32"/>
          <w:lang w:eastAsia="zh-CN" w:bidi="ar-SA"/>
        </w:rPr>
        <w:t>，答复情况已在兖州区政府门户网站进行公示</w:t>
      </w:r>
      <w:r>
        <w:rPr>
          <w:rFonts w:hint="eastAsia" w:ascii="Times New Roman" w:hAnsi="方正仿宋简体" w:eastAsia="方正仿宋简体" w:cs="Times New Roman"/>
          <w:b/>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方正仿宋简体" w:eastAsia="方正楷体简体" w:cs="Times New Roman"/>
          <w:b/>
          <w:color w:val="000000"/>
          <w:kern w:val="0"/>
          <w:sz w:val="32"/>
          <w:szCs w:val="32"/>
          <w:lang w:val="en-US" w:eastAsia="zh-CN"/>
        </w:rPr>
      </w:pPr>
      <w:r>
        <w:rPr>
          <w:rFonts w:hint="eastAsia" w:ascii="Times New Roman" w:hAnsi="方正仿宋简体" w:eastAsia="方正楷体简体" w:cs="Times New Roman"/>
          <w:b/>
          <w:color w:val="000000"/>
          <w:kern w:val="0"/>
          <w:sz w:val="32"/>
          <w:szCs w:val="32"/>
          <w:lang w:val="en-US" w:eastAsia="zh-CN"/>
        </w:rPr>
        <w:t>（四）本行政机关年度政府信息公开工作创新情况：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我局建立日常</w:t>
      </w:r>
      <w:r>
        <w:rPr>
          <w:rFonts w:hint="eastAsia" w:ascii="Times New Roman" w:hAnsi="方正仿宋简体" w:eastAsia="方正仿宋简体" w:cs="Times New Roman"/>
          <w:b/>
          <w:sz w:val="32"/>
          <w:szCs w:val="32"/>
          <w:lang w:eastAsia="zh-CN" w:bidi="ar-SA"/>
        </w:rPr>
        <w:t>政府信息公开</w:t>
      </w:r>
      <w:r>
        <w:rPr>
          <w:rFonts w:hint="eastAsia" w:ascii="Times New Roman" w:hAnsi="方正仿宋简体" w:eastAsia="方正仿宋简体" w:cs="Times New Roman"/>
          <w:b/>
          <w:sz w:val="32"/>
          <w:szCs w:val="32"/>
          <w:lang w:bidi="ar-SA"/>
        </w:rPr>
        <w:t>工作经验交流机制，在符合保密要求的前提下，进一步创新政府信息公开的工作体系和载体，使政府信息公开灵活多样。坚持在创新中求发展。充分发挥互联网传播快、效率高、受众广的优势，加大信息公开力度，切实保障群众对</w:t>
      </w:r>
      <w:r>
        <w:rPr>
          <w:rFonts w:hint="eastAsia" w:ascii="Times New Roman" w:hAnsi="方正仿宋简体" w:eastAsia="方正仿宋简体" w:cs="Times New Roman"/>
          <w:b/>
          <w:sz w:val="32"/>
          <w:szCs w:val="32"/>
          <w:lang w:val="en-US" w:eastAsia="zh-CN" w:bidi="ar-SA"/>
        </w:rPr>
        <w:t>交通运输</w:t>
      </w:r>
      <w:r>
        <w:rPr>
          <w:rFonts w:hint="eastAsia" w:ascii="Times New Roman" w:hAnsi="方正仿宋简体" w:eastAsia="方正仿宋简体" w:cs="Times New Roman"/>
          <w:b/>
          <w:sz w:val="32"/>
          <w:szCs w:val="32"/>
          <w:lang w:bidi="ar-SA"/>
        </w:rPr>
        <w:t>工作的知情权。自觉接受群众的监督</w:t>
      </w:r>
      <w:r>
        <w:rPr>
          <w:rFonts w:hint="eastAsia" w:ascii="Times New Roman" w:hAnsi="方正仿宋简体" w:eastAsia="方正仿宋简体" w:cs="Times New Roman"/>
          <w:b/>
          <w:sz w:val="32"/>
          <w:szCs w:val="32"/>
          <w:lang w:eastAsia="zh-CN" w:bidi="ar-SA"/>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楷体简体" w:cs="Times New Roman"/>
          <w:b/>
          <w:color w:val="000000"/>
          <w:kern w:val="0"/>
          <w:sz w:val="32"/>
          <w:szCs w:val="32"/>
          <w:lang w:val="en-US" w:eastAsia="zh-CN" w:bidi="ar-SA"/>
        </w:rPr>
        <w:t>（五）本行政机关政府信息公开工作年度报告数据统计需要说明的事项：</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无。</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楷体简体" w:cs="Times New Roman"/>
          <w:b/>
          <w:color w:val="000000"/>
          <w:kern w:val="0"/>
          <w:sz w:val="32"/>
          <w:szCs w:val="32"/>
          <w:lang w:val="en-US" w:eastAsia="zh-CN" w:bidi="ar-SA"/>
        </w:rPr>
      </w:pPr>
      <w:r>
        <w:rPr>
          <w:rFonts w:hint="eastAsia" w:ascii="Times New Roman" w:hAnsi="方正仿宋简体" w:eastAsia="方正楷体简体" w:cs="Times New Roman"/>
          <w:b/>
          <w:color w:val="000000"/>
          <w:kern w:val="0"/>
          <w:sz w:val="32"/>
          <w:szCs w:val="32"/>
          <w:lang w:val="en-US" w:eastAsia="zh-CN" w:bidi="ar-SA"/>
        </w:rPr>
        <w:t>（六）本行政机关认为需要报告的其他事项：</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仿宋简体" w:cs="Times New Roman"/>
          <w:b/>
          <w:sz w:val="32"/>
          <w:szCs w:val="32"/>
          <w:lang w:bidi="ar-SA"/>
        </w:rPr>
        <w:t>2024年我局暂无需要其他报告的事项；</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方正仿宋简体" w:eastAsia="方正仿宋简体" w:cs="Times New Roman"/>
          <w:b/>
          <w:sz w:val="32"/>
          <w:szCs w:val="32"/>
          <w:lang w:bidi="ar-SA"/>
        </w:rPr>
      </w:pPr>
      <w:r>
        <w:rPr>
          <w:rFonts w:hint="eastAsia" w:ascii="Times New Roman" w:hAnsi="方正仿宋简体" w:eastAsia="方正楷体简体" w:cs="Times New Roman"/>
          <w:b/>
          <w:color w:val="000000"/>
          <w:kern w:val="0"/>
          <w:sz w:val="32"/>
          <w:szCs w:val="32"/>
          <w:lang w:val="en-US" w:eastAsia="zh-CN" w:bidi="ar-SA"/>
        </w:rPr>
        <w:t>（七）其他有关文件专门要求通过政府信息公开工作年度报告予以报告的事项：</w:t>
      </w:r>
      <w:r>
        <w:rPr>
          <w:rFonts w:hint="eastAsia" w:ascii="Times New Roman" w:hAnsi="方正仿宋简体" w:eastAsia="方正仿宋简体" w:cs="Times New Roman"/>
          <w:b/>
          <w:sz w:val="32"/>
          <w:szCs w:val="32"/>
          <w:lang w:bidi="ar-SA"/>
        </w:rPr>
        <w:t>无。</w:t>
      </w:r>
    </w:p>
    <w:p>
      <w:pPr>
        <w:pStyle w:val="2"/>
        <w:spacing w:before="0" w:beforeAutospacing="0" w:after="0" w:afterAutospacing="0" w:line="560" w:lineRule="exact"/>
        <w:ind w:left="0" w:right="0" w:firstLine="643" w:firstLineChars="200"/>
        <w:jc w:val="both"/>
        <w:rPr>
          <w:rFonts w:hint="eastAsia" w:ascii="Times New Roman" w:hAnsi="方正仿宋简体" w:eastAsia="方正仿宋简体" w:cs="Times New Roman"/>
          <w:b/>
          <w:sz w:val="32"/>
          <w:szCs w:val="32"/>
          <w:lang w:bidi="ar-SA"/>
        </w:rPr>
      </w:pPr>
    </w:p>
    <w:p>
      <w:pPr>
        <w:pStyle w:val="2"/>
        <w:spacing w:before="0" w:beforeAutospacing="0" w:after="0" w:afterAutospacing="0" w:line="560" w:lineRule="exact"/>
        <w:ind w:left="0" w:right="0" w:firstLine="643" w:firstLineChars="200"/>
        <w:jc w:val="both"/>
        <w:rPr>
          <w:rFonts w:hint="eastAsia" w:ascii="Times New Roman" w:hAnsi="方正仿宋简体" w:eastAsia="方正仿宋简体" w:cs="Times New Roman"/>
          <w:b/>
          <w:sz w:val="32"/>
          <w:szCs w:val="32"/>
          <w:lang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E5E72C-75D8-4B63-8FA5-1D9284FFD1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EF7273B5-92B1-4952-B3A0-1A9608008095}"/>
  </w:font>
  <w:font w:name="方正仿宋简体">
    <w:panose1 w:val="02000000000000000000"/>
    <w:charset w:val="86"/>
    <w:family w:val="auto"/>
    <w:pitch w:val="default"/>
    <w:sig w:usb0="A00002BF" w:usb1="184F6CFA" w:usb2="00000012" w:usb3="00000000" w:csb0="00040001" w:csb1="00000000"/>
    <w:embedRegular r:id="rId3" w:fontKey="{18330034-2829-4A4B-BB24-F096B4B6C3D8}"/>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4" w:fontKey="{D6C798A7-6C04-4E12-B8CD-16A5485B0737}"/>
  </w:font>
  <w:font w:name="仿宋_GB2312">
    <w:panose1 w:val="02010609030101010101"/>
    <w:charset w:val="86"/>
    <w:family w:val="modern"/>
    <w:pitch w:val="default"/>
    <w:sig w:usb0="00000001" w:usb1="080E0000" w:usb2="00000000" w:usb3="00000000" w:csb0="00040000" w:csb1="00000000"/>
    <w:embedRegular r:id="rId5" w:fontKey="{952BC288-6D8F-408D-A3E3-E94DDFA181E9}"/>
  </w:font>
  <w:font w:name="楷体_GB2312">
    <w:panose1 w:val="02010609030101010101"/>
    <w:charset w:val="86"/>
    <w:family w:val="modern"/>
    <w:pitch w:val="default"/>
    <w:sig w:usb0="00000001" w:usb1="080E0000" w:usb2="00000000" w:usb3="00000000" w:csb0="00040000" w:csb1="00000000"/>
    <w:embedRegular r:id="rId6" w:fontKey="{9500FDE5-FFDF-4FAC-9AF7-A21A17345107}"/>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178eccf1-c324-4930-9a8a-1a71337c0257"/>
  </w:docVars>
  <w:rsids>
    <w:rsidRoot w:val="00000000"/>
    <w:rsid w:val="0AB67D3A"/>
    <w:rsid w:val="133140AF"/>
    <w:rsid w:val="182574E5"/>
    <w:rsid w:val="1C8D216C"/>
    <w:rsid w:val="26BE6A35"/>
    <w:rsid w:val="2BF13964"/>
    <w:rsid w:val="32237808"/>
    <w:rsid w:val="37797999"/>
    <w:rsid w:val="47D56E82"/>
    <w:rsid w:val="5AE56AF7"/>
    <w:rsid w:val="5F025C16"/>
    <w:rsid w:val="733A0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2960</Words>
  <Characters>3075</Characters>
  <Lines>0</Lines>
  <Paragraphs>0</Paragraphs>
  <TotalTime>0</TotalTime>
  <ScaleCrop>false</ScaleCrop>
  <LinksUpToDate>false</LinksUpToDate>
  <CharactersWithSpaces>3079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2025-01-10T06:28:00Z</dcterms:created>
  <dc:creator>Administrator</dc:creator>
  <cp:lastModifiedBy>Administrator</cp:lastModifiedBy>
  <dcterms:modified xsi:type="dcterms:W3CDTF">2025-01-23T09:36:00Z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KSOTemplateDocerSaveRecord">
    <vt:lpwstr>eyJoZGlkIjoiNjZlZmRiNjMyYWYxYTgzYjI2NGU3NzIxMjgxZTM1OWUiLCJ1c2VySWQiOiIxMTU3MzY0MjU1In0=</vt:lpwstr>
  </property>
  <property fmtid="{D5CDD505-2E9C-101B-9397-08002B2CF9AE}" pid="4" name="ICV">
    <vt:lpwstr>1C366E5D1D574F04A8634FA11B4D9C0D_13</vt:lpwstr>
  </property>
</Properties>
</file>