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F089E">
      <w:pPr>
        <w:spacing w:line="590" w:lineRule="exact"/>
        <w:ind w:right="-100" w:rightChars="-50"/>
        <w:jc w:val="center"/>
        <w:rPr>
          <w:rFonts w:hint="default" w:ascii="Times New Roman" w:hAnsi="Times New Roman" w:eastAsia="方正小标宋简体" w:cs="Times New Roman"/>
          <w:b/>
          <w:color w:val="000000"/>
          <w:sz w:val="44"/>
          <w:szCs w:val="44"/>
          <w:lang w:val="en-US" w:eastAsia="zh-CN"/>
        </w:rPr>
      </w:pPr>
      <w:r>
        <w:rPr>
          <w:rFonts w:hint="eastAsia" w:ascii="Times New Roman" w:hAnsi="Times New Roman" w:eastAsia="方正小标宋简体" w:cs="Times New Roman"/>
          <w:b/>
          <w:color w:val="000000"/>
          <w:sz w:val="44"/>
          <w:szCs w:val="44"/>
        </w:rPr>
        <w:t>济宁市兖州区</w:t>
      </w:r>
      <w:r>
        <w:rPr>
          <w:rFonts w:hint="eastAsia" w:ascii="Times New Roman" w:hAnsi="Times New Roman" w:eastAsia="方正小标宋简体" w:cs="Times New Roman"/>
          <w:b/>
          <w:color w:val="000000"/>
          <w:sz w:val="44"/>
          <w:szCs w:val="44"/>
          <w:lang w:val="en-US" w:eastAsia="zh-CN"/>
        </w:rPr>
        <w:t>交通运输局</w:t>
      </w:r>
    </w:p>
    <w:p w14:paraId="0805D728">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5</w:t>
      </w:r>
      <w:r>
        <w:rPr>
          <w:rFonts w:eastAsia="方正小标宋简体"/>
          <w:b/>
          <w:color w:val="000000"/>
          <w:sz w:val="44"/>
          <w:szCs w:val="44"/>
        </w:rPr>
        <w:t>年政府信息公开工作年度报告</w:t>
      </w:r>
    </w:p>
    <w:p w14:paraId="1EDDD145">
      <w:pPr>
        <w:spacing w:line="590" w:lineRule="exact"/>
        <w:ind w:right="-100" w:rightChars="-50" w:firstLine="643" w:firstLineChars="200"/>
        <w:rPr>
          <w:rFonts w:eastAsia="方正仿宋简体"/>
          <w:b/>
          <w:color w:val="000000"/>
          <w:sz w:val="32"/>
          <w:szCs w:val="32"/>
        </w:rPr>
      </w:pPr>
    </w:p>
    <w:p w14:paraId="378C6E5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w:t>
      </w:r>
      <w:r>
        <w:rPr>
          <w:rFonts w:ascii="Times New Roman" w:hAnsi="Times New Roman" w:eastAsia="方正仿宋简体" w:cs="Times New Roman"/>
          <w:b/>
          <w:color w:val="000000"/>
          <w:sz w:val="32"/>
          <w:szCs w:val="32"/>
        </w:rPr>
        <w:t>州区</w:t>
      </w:r>
      <w:r>
        <w:rPr>
          <w:rFonts w:hint="eastAsia" w:ascii="Times New Roman" w:hAnsi="Times New Roman" w:eastAsia="方正仿宋简体" w:cs="Times New Roman"/>
          <w:b/>
          <w:color w:val="000000"/>
          <w:sz w:val="32"/>
          <w:szCs w:val="32"/>
          <w:lang w:val="en-US" w:eastAsia="zh-CN"/>
        </w:rPr>
        <w:t>交通运输局</w:t>
      </w:r>
      <w:r>
        <w:rPr>
          <w:rFonts w:ascii="Times New Roman" w:hAnsi="Times New Roman" w:eastAsia="方正仿宋简体" w:cs="Times New Roman"/>
          <w:b/>
          <w:color w:val="000000"/>
          <w:sz w:val="32"/>
          <w:szCs w:val="32"/>
        </w:rPr>
        <w:t>按照《</w:t>
      </w:r>
      <w:r>
        <w:rPr>
          <w:rFonts w:eastAsia="方正仿宋简体"/>
          <w:b/>
          <w:color w:val="000000"/>
          <w:sz w:val="32"/>
          <w:szCs w:val="32"/>
        </w:rPr>
        <w:t>中华人民共和国政府信息公开条例》（以下简称《条例》）和《中华人民共和国政府信息公开工作年度报告格式》（国办公开办函〔2021〕30号）要求编制。</w:t>
      </w:r>
    </w:p>
    <w:p w14:paraId="137DA30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color w:val="000000"/>
          <w:sz w:val="32"/>
          <w:szCs w:val="32"/>
          <w:lang w:val="en-US" w:eastAsia="zh-CN"/>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4298A5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ascii="Times New Roman" w:hAnsi="Times New Roman" w:eastAsia="方正仿宋简体" w:cs="Times New Roman"/>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5</w:t>
      </w:r>
      <w:r>
        <w:rPr>
          <w:rFonts w:eastAsia="方正仿宋简体"/>
          <w:b/>
          <w:color w:val="000000"/>
          <w:sz w:val="32"/>
          <w:szCs w:val="32"/>
        </w:rPr>
        <w:t>年1月1日起至202</w:t>
      </w:r>
      <w:r>
        <w:rPr>
          <w:rFonts w:hint="eastAsia" w:eastAsia="方正仿宋简体"/>
          <w:b/>
          <w:color w:val="000000"/>
          <w:sz w:val="32"/>
          <w:szCs w:val="32"/>
          <w:lang w:val="en-US" w:eastAsia="zh-CN"/>
        </w:rPr>
        <w:t>5</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w:t>
      </w:r>
      <w:r>
        <w:rPr>
          <w:rFonts w:ascii="Times New Roman" w:hAnsi="Times New Roman" w:eastAsia="方正仿宋简体" w:cs="Times New Roman"/>
          <w:b/>
          <w:color w:val="000000"/>
          <w:sz w:val="32"/>
          <w:szCs w:val="32"/>
        </w:rPr>
        <w:t>宁市兖州区</w:t>
      </w:r>
      <w:r>
        <w:rPr>
          <w:rFonts w:hint="eastAsia" w:ascii="Times New Roman" w:hAnsi="Times New Roman" w:eastAsia="方正仿宋简体" w:cs="Times New Roman"/>
          <w:b/>
          <w:color w:val="000000"/>
          <w:sz w:val="32"/>
          <w:szCs w:val="32"/>
          <w:lang w:val="en-US" w:eastAsia="zh-CN"/>
        </w:rPr>
        <w:t>交通运输局</w:t>
      </w:r>
      <w:r>
        <w:rPr>
          <w:rFonts w:ascii="Times New Roman" w:hAnsi="Times New Roman" w:eastAsia="方正仿宋简体" w:cs="Times New Roman"/>
          <w:b/>
          <w:color w:val="000000"/>
          <w:sz w:val="32"/>
          <w:szCs w:val="32"/>
        </w:rPr>
        <w:t>联系（地址：济宁市兖州区</w:t>
      </w:r>
      <w:r>
        <w:rPr>
          <w:rFonts w:hint="eastAsia" w:ascii="Times New Roman" w:hAnsi="Times New Roman" w:eastAsia="方正仿宋简体" w:cs="Times New Roman"/>
          <w:b/>
          <w:color w:val="000000"/>
          <w:sz w:val="32"/>
          <w:szCs w:val="32"/>
          <w:lang w:val="en-US" w:eastAsia="zh-CN"/>
        </w:rPr>
        <w:t>扬州路2号</w:t>
      </w:r>
      <w:r>
        <w:rPr>
          <w:rFonts w:ascii="Times New Roman" w:hAnsi="Times New Roman" w:eastAsia="方正仿宋简体" w:cs="Times New Roman"/>
          <w:b/>
          <w:color w:val="000000"/>
          <w:sz w:val="32"/>
          <w:szCs w:val="32"/>
        </w:rPr>
        <w:t>，联系电话：0537</w:t>
      </w:r>
      <w:r>
        <w:rPr>
          <w:rFonts w:hint="eastAsia" w:ascii="Times New Roman" w:hAnsi="Times New Roman" w:eastAsia="方正仿宋简体" w:cs="Times New Roman"/>
          <w:b/>
          <w:color w:val="000000"/>
          <w:sz w:val="32"/>
          <w:szCs w:val="32"/>
        </w:rPr>
        <w:t>—</w:t>
      </w:r>
      <w:r>
        <w:rPr>
          <w:rFonts w:hint="eastAsia" w:ascii="Times New Roman" w:hAnsi="Times New Roman" w:eastAsia="方正仿宋简体" w:cs="Times New Roman"/>
          <w:b/>
          <w:color w:val="000000"/>
          <w:sz w:val="32"/>
          <w:szCs w:val="32"/>
          <w:lang w:val="en-US" w:eastAsia="zh-CN"/>
        </w:rPr>
        <w:t>3413776</w:t>
      </w:r>
      <w:r>
        <w:rPr>
          <w:rFonts w:ascii="Times New Roman" w:hAnsi="Times New Roman" w:eastAsia="方正仿宋简体" w:cs="Times New Roman"/>
          <w:b/>
          <w:color w:val="000000"/>
          <w:sz w:val="32"/>
          <w:szCs w:val="32"/>
        </w:rPr>
        <w:t>）。</w:t>
      </w:r>
    </w:p>
    <w:p w14:paraId="5BF3DF0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14:paraId="476AD93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t>20</w:t>
      </w:r>
      <w:r>
        <w:rPr>
          <w:rFonts w:hint="eastAsia" w:ascii="Times New Roman" w:hAnsi="Times New Roman" w:eastAsia="方正仿宋简体" w:cs="Times New Roman"/>
          <w:b/>
          <w:color w:val="000000"/>
          <w:sz w:val="32"/>
          <w:szCs w:val="32"/>
          <w:lang w:val="en-US" w:eastAsia="zh-CN"/>
        </w:rPr>
        <w:t>25</w:t>
      </w:r>
      <w:r>
        <w:rPr>
          <w:rFonts w:hint="eastAsia" w:ascii="Times New Roman" w:hAnsi="Times New Roman" w:eastAsia="方正仿宋简体" w:cs="Times New Roman"/>
          <w:b/>
          <w:color w:val="000000"/>
          <w:sz w:val="32"/>
          <w:szCs w:val="32"/>
          <w:lang w:eastAsia="zh-CN"/>
        </w:rPr>
        <w:t>年，</w:t>
      </w:r>
      <w:r>
        <w:rPr>
          <w:rFonts w:hint="eastAsia" w:ascii="Times New Roman" w:hAnsi="Times New Roman" w:eastAsia="方正仿宋简体" w:cs="Times New Roman"/>
          <w:b/>
          <w:color w:val="000000"/>
          <w:sz w:val="32"/>
          <w:szCs w:val="32"/>
          <w:lang w:val="en-US" w:eastAsia="zh-CN"/>
        </w:rPr>
        <w:t>区</w:t>
      </w:r>
      <w:r>
        <w:rPr>
          <w:rFonts w:hint="eastAsia" w:ascii="Times New Roman" w:hAnsi="Times New Roman" w:eastAsia="方正仿宋简体" w:cs="Times New Roman"/>
          <w:b/>
          <w:color w:val="000000"/>
          <w:sz w:val="32"/>
          <w:szCs w:val="32"/>
          <w:lang w:eastAsia="zh-CN"/>
        </w:rPr>
        <w:t>交通运输局紧密围绕</w:t>
      </w:r>
      <w:r>
        <w:rPr>
          <w:rFonts w:hint="eastAsia" w:ascii="Times New Roman" w:hAnsi="Times New Roman" w:eastAsia="方正仿宋简体" w:cs="Times New Roman"/>
          <w:b/>
          <w:color w:val="000000"/>
          <w:sz w:val="32"/>
          <w:szCs w:val="32"/>
          <w:lang w:val="en-US" w:eastAsia="zh-CN"/>
        </w:rPr>
        <w:t>交通运输</w:t>
      </w:r>
      <w:r>
        <w:rPr>
          <w:rFonts w:hint="eastAsia" w:ascii="Times New Roman" w:hAnsi="Times New Roman" w:eastAsia="方正仿宋简体" w:cs="Times New Roman"/>
          <w:b/>
          <w:color w:val="000000"/>
          <w:sz w:val="32"/>
          <w:szCs w:val="32"/>
          <w:lang w:eastAsia="zh-CN"/>
        </w:rPr>
        <w:t>核心工作，将</w:t>
      </w:r>
      <w:r>
        <w:rPr>
          <w:rFonts w:hint="eastAsia" w:eastAsia="方正仿宋简体" w:cs="Times New Roman"/>
          <w:b/>
          <w:color w:val="000000"/>
          <w:sz w:val="32"/>
          <w:szCs w:val="32"/>
          <w:lang w:val="en-US" w:eastAsia="zh-CN"/>
        </w:rPr>
        <w:t>政府</w:t>
      </w:r>
      <w:r>
        <w:rPr>
          <w:rFonts w:hint="eastAsia" w:ascii="Times New Roman" w:hAnsi="Times New Roman" w:eastAsia="方正仿宋简体" w:cs="Times New Roman"/>
          <w:b/>
          <w:color w:val="000000"/>
          <w:sz w:val="32"/>
          <w:szCs w:val="32"/>
          <w:lang w:eastAsia="zh-CN"/>
        </w:rPr>
        <w:t>信息公开</w:t>
      </w:r>
      <w:r>
        <w:rPr>
          <w:rFonts w:hint="eastAsia" w:ascii="Times New Roman" w:hAnsi="Times New Roman" w:eastAsia="方正仿宋简体" w:cs="Times New Roman"/>
          <w:b/>
          <w:color w:val="000000"/>
          <w:sz w:val="32"/>
          <w:szCs w:val="32"/>
          <w:lang w:val="en-US" w:eastAsia="zh-CN"/>
        </w:rPr>
        <w:t>作为</w:t>
      </w:r>
      <w:r>
        <w:rPr>
          <w:rFonts w:hint="eastAsia" w:ascii="Times New Roman" w:hAnsi="Times New Roman" w:eastAsia="方正仿宋简体" w:cs="Times New Roman"/>
          <w:b/>
          <w:color w:val="000000"/>
          <w:sz w:val="32"/>
          <w:szCs w:val="32"/>
          <w:lang w:eastAsia="zh-CN"/>
        </w:rPr>
        <w:t>一项长期且动态的关键任务，认真贯彻执行《中华人民共和国政府信息公开条例》，</w:t>
      </w:r>
      <w:r>
        <w:rPr>
          <w:rFonts w:ascii="Times New Roman" w:hAnsi="Times New Roman" w:eastAsia="方正仿宋简体" w:cs="Times New Roman"/>
          <w:b/>
          <w:color w:val="000000"/>
          <w:sz w:val="32"/>
          <w:szCs w:val="32"/>
        </w:rPr>
        <w:t>全力推动政务公开工作</w:t>
      </w:r>
      <w:r>
        <w:rPr>
          <w:rFonts w:hint="eastAsia" w:ascii="Times New Roman" w:hAnsi="Times New Roman" w:eastAsia="方正仿宋简体" w:cs="Times New Roman"/>
          <w:b/>
          <w:color w:val="000000"/>
          <w:sz w:val="32"/>
          <w:szCs w:val="32"/>
          <w:lang w:val="en-US" w:eastAsia="zh-CN"/>
        </w:rPr>
        <w:t>向</w:t>
      </w:r>
      <w:r>
        <w:rPr>
          <w:rFonts w:ascii="Times New Roman" w:hAnsi="Times New Roman" w:eastAsia="方正仿宋简体" w:cs="Times New Roman"/>
          <w:b/>
          <w:color w:val="000000"/>
          <w:sz w:val="32"/>
          <w:szCs w:val="32"/>
        </w:rPr>
        <w:t>纵深发展，</w:t>
      </w:r>
      <w:r>
        <w:rPr>
          <w:rFonts w:hint="eastAsia" w:ascii="Times New Roman" w:hAnsi="Times New Roman" w:eastAsia="方正仿宋简体" w:cs="Times New Roman"/>
          <w:b/>
          <w:color w:val="000000"/>
          <w:sz w:val="32"/>
          <w:szCs w:val="32"/>
        </w:rPr>
        <w:t>进一步调整优化公开目录，在严格保密审查的基础上，及时发布日常工作动态和政策文件，方便群众办事与监督</w:t>
      </w:r>
      <w:r>
        <w:rPr>
          <w:rFonts w:hint="eastAsia" w:ascii="Times New Roman" w:hAnsi="Times New Roman"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rPr>
        <w:t>具体含以下方面：</w:t>
      </w:r>
    </w:p>
    <w:p w14:paraId="01B88CD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FF"/>
          <w:sz w:val="32"/>
          <w:szCs w:val="32"/>
          <w:lang w:eastAsia="zh-CN"/>
        </w:rPr>
      </w:pPr>
      <w:r>
        <w:rPr>
          <w:rFonts w:eastAsia="方正楷体简体"/>
          <w:b/>
          <w:color w:val="000000"/>
          <w:sz w:val="32"/>
          <w:szCs w:val="32"/>
        </w:rPr>
        <w:t>（一）主动公开</w:t>
      </w:r>
    </w:p>
    <w:p w14:paraId="01B5934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pPr>
      <w:r>
        <w:rPr>
          <w:rFonts w:hint="eastAsia" w:ascii="Times New Roman" w:hAnsi="Times New Roman" w:eastAsia="方正仿宋简体" w:cs="Times New Roman"/>
          <w:b/>
          <w:color w:val="000000"/>
          <w:sz w:val="32"/>
          <w:szCs w:val="32"/>
        </w:rPr>
        <w:t>聚焦交通运输政策法规、</w:t>
      </w:r>
      <w:r>
        <w:rPr>
          <w:rFonts w:hint="eastAsia" w:eastAsia="方正仿宋简体" w:cs="Times New Roman"/>
          <w:b/>
          <w:color w:val="000000"/>
          <w:sz w:val="32"/>
          <w:szCs w:val="32"/>
          <w:lang w:val="en-US" w:eastAsia="zh-CN"/>
        </w:rPr>
        <w:t>农村公路建设</w:t>
      </w:r>
      <w:r>
        <w:rPr>
          <w:rFonts w:hint="eastAsia" w:ascii="Times New Roman" w:hAnsi="Times New Roman" w:eastAsia="方正仿宋简体" w:cs="Times New Roman"/>
          <w:b/>
          <w:color w:val="000000"/>
          <w:sz w:val="32"/>
          <w:szCs w:val="32"/>
        </w:rPr>
        <w:t>、优化营商环境、综合运输服务等重点领域，</w:t>
      </w:r>
      <w:r>
        <w:rPr>
          <w:rFonts w:hint="default" w:ascii="Times New Roman" w:hAnsi="Times New Roman" w:eastAsia="方正仿宋简体" w:cs="Times New Roman"/>
          <w:b/>
          <w:color w:val="000000"/>
          <w:sz w:val="32"/>
          <w:szCs w:val="32"/>
        </w:rPr>
        <w:t>202</w:t>
      </w:r>
      <w:r>
        <w:rPr>
          <w:rFonts w:hint="eastAsia"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年1-12月</w:t>
      </w:r>
      <w:r>
        <w:rPr>
          <w:rFonts w:hint="eastAsia" w:ascii="Times New Roman" w:hAnsi="Times New Roman" w:eastAsia="方正仿宋简体" w:cs="Times New Roman"/>
          <w:b/>
          <w:color w:val="000000"/>
          <w:sz w:val="32"/>
          <w:szCs w:val="32"/>
          <w:lang w:val="en-US" w:eastAsia="zh-CN"/>
        </w:rPr>
        <w:t>区交通运输</w:t>
      </w:r>
      <w:r>
        <w:rPr>
          <w:rFonts w:hint="default" w:ascii="Times New Roman" w:hAnsi="Times New Roman" w:eastAsia="方正仿宋简体" w:cs="Times New Roman"/>
          <w:b/>
          <w:color w:val="000000"/>
          <w:sz w:val="32"/>
          <w:szCs w:val="32"/>
          <w:lang w:val="en-US" w:eastAsia="zh-CN"/>
        </w:rPr>
        <w:t>局</w:t>
      </w:r>
      <w:r>
        <w:rPr>
          <w:rFonts w:hint="default" w:ascii="Times New Roman" w:hAnsi="Times New Roman" w:eastAsia="方正仿宋简体" w:cs="Times New Roman"/>
          <w:b/>
          <w:color w:val="000000"/>
          <w:sz w:val="32"/>
          <w:szCs w:val="32"/>
        </w:rPr>
        <w:t>主动公开政府信息</w:t>
      </w:r>
      <w:r>
        <w:rPr>
          <w:rFonts w:hint="eastAsia" w:ascii="Times New Roman" w:hAnsi="Times New Roman" w:eastAsia="方正仿宋简体" w:cs="Times New Roman"/>
          <w:b/>
          <w:color w:val="000000"/>
          <w:sz w:val="32"/>
          <w:szCs w:val="32"/>
          <w:lang w:val="en-US" w:eastAsia="zh-CN"/>
        </w:rPr>
        <w:t>18</w:t>
      </w:r>
      <w:r>
        <w:rPr>
          <w:rFonts w:hint="eastAsia" w:eastAsia="方正仿宋简体" w:cs="Times New Roman"/>
          <w:b/>
          <w:color w:val="000000"/>
          <w:sz w:val="32"/>
          <w:szCs w:val="32"/>
          <w:lang w:val="en-US" w:eastAsia="zh-CN"/>
        </w:rPr>
        <w:t>6</w:t>
      </w:r>
      <w:r>
        <w:rPr>
          <w:rFonts w:hint="default" w:ascii="Times New Roman" w:hAnsi="Times New Roman" w:eastAsia="方正仿宋简体" w:cs="Times New Roman"/>
          <w:b/>
          <w:color w:val="000000"/>
          <w:sz w:val="32"/>
          <w:szCs w:val="32"/>
        </w:rPr>
        <w:t>条。其中机构职能和领导信息</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条，组织管理</w:t>
      </w:r>
      <w:r>
        <w:rPr>
          <w:rFonts w:hint="eastAsia"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条，部门文件</w:t>
      </w:r>
      <w:r>
        <w:rPr>
          <w:rFonts w:hint="eastAsia" w:ascii="Times New Roman" w:hAnsi="Times New Roman" w:eastAsia="方正仿宋简体" w:cs="Times New Roman"/>
          <w:b/>
          <w:color w:val="000000"/>
          <w:sz w:val="32"/>
          <w:szCs w:val="32"/>
          <w:lang w:val="en-US" w:eastAsia="zh-CN"/>
        </w:rPr>
        <w:t>6</w:t>
      </w:r>
      <w:r>
        <w:rPr>
          <w:rFonts w:hint="default" w:ascii="Times New Roman" w:hAnsi="Times New Roman" w:eastAsia="方正仿宋简体" w:cs="Times New Roman"/>
          <w:b/>
          <w:color w:val="000000"/>
          <w:sz w:val="32"/>
          <w:szCs w:val="32"/>
        </w:rPr>
        <w:t>条，通知公告</w:t>
      </w:r>
      <w:r>
        <w:rPr>
          <w:rFonts w:hint="eastAsia" w:ascii="Times New Roman" w:hAnsi="Times New Roman" w:eastAsia="方正仿宋简体" w:cs="Times New Roman"/>
          <w:b/>
          <w:color w:val="000000"/>
          <w:sz w:val="32"/>
          <w:szCs w:val="32"/>
          <w:lang w:val="en-US" w:eastAsia="zh-CN"/>
        </w:rPr>
        <w:t>41</w:t>
      </w:r>
      <w:r>
        <w:rPr>
          <w:rFonts w:hint="default" w:ascii="Times New Roman" w:hAnsi="Times New Roman" w:eastAsia="方正仿宋简体" w:cs="Times New Roman"/>
          <w:b/>
          <w:color w:val="000000"/>
          <w:sz w:val="32"/>
          <w:szCs w:val="32"/>
        </w:rPr>
        <w:t>条，行政权力运行公开</w:t>
      </w:r>
      <w:r>
        <w:rPr>
          <w:rFonts w:hint="eastAsia" w:ascii="Times New Roman" w:hAnsi="Times New Roman" w:eastAsia="方正仿宋简体" w:cs="Times New Roman"/>
          <w:b/>
          <w:color w:val="000000"/>
          <w:sz w:val="32"/>
          <w:szCs w:val="32"/>
          <w:lang w:val="en-US" w:eastAsia="zh-CN"/>
        </w:rPr>
        <w:t>7</w:t>
      </w:r>
      <w:r>
        <w:rPr>
          <w:rFonts w:hint="default"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重点领域</w:t>
      </w:r>
      <w:r>
        <w:rPr>
          <w:rFonts w:hint="eastAsia" w:ascii="Times New Roman" w:hAnsi="Times New Roman" w:eastAsia="方正仿宋简体" w:cs="Times New Roman"/>
          <w:b/>
          <w:color w:val="000000"/>
          <w:sz w:val="32"/>
          <w:szCs w:val="32"/>
          <w:lang w:val="en-US" w:eastAsia="zh-CN"/>
        </w:rPr>
        <w:t>16条</w:t>
      </w:r>
      <w:r>
        <w:rPr>
          <w:rFonts w:hint="default" w:ascii="Times New Roman" w:hAnsi="Times New Roman" w:eastAsia="方正仿宋简体" w:cs="Times New Roman"/>
          <w:b/>
          <w:color w:val="000000"/>
          <w:sz w:val="32"/>
          <w:szCs w:val="32"/>
        </w:rPr>
        <w:t>，重点领域</w:t>
      </w:r>
      <w:r>
        <w:rPr>
          <w:rFonts w:hint="eastAsia" w:ascii="Times New Roman" w:hAnsi="Times New Roman" w:eastAsia="方正仿宋简体" w:cs="Times New Roman"/>
          <w:b/>
          <w:color w:val="000000"/>
          <w:sz w:val="32"/>
          <w:szCs w:val="32"/>
          <w:lang w:val="en-US" w:eastAsia="zh-CN"/>
        </w:rPr>
        <w:t>信息81</w:t>
      </w:r>
      <w:r>
        <w:rPr>
          <w:rFonts w:hint="default" w:ascii="Times New Roman" w:hAnsi="Times New Roman" w:eastAsia="方正仿宋简体" w:cs="Times New Roman"/>
          <w:b/>
          <w:color w:val="000000"/>
          <w:sz w:val="32"/>
          <w:szCs w:val="32"/>
        </w:rPr>
        <w:t>条，政府信息公开指南1条，年报1条，主动公开基本目录2条</w:t>
      </w:r>
      <w:r>
        <w:rPr>
          <w:rFonts w:hint="eastAsia" w:eastAsia="方正仿宋简体" w:cs="Times New Roman"/>
          <w:b/>
          <w:color w:val="000000"/>
          <w:sz w:val="32"/>
          <w:szCs w:val="32"/>
          <w:lang w:val="en-US" w:eastAsia="zh-CN"/>
        </w:rPr>
        <w:t>,“双随机、一公开”5条</w:t>
      </w:r>
      <w:r>
        <w:rPr>
          <w:rFonts w:hint="default" w:ascii="Times New Roman" w:hAnsi="Times New Roman" w:eastAsia="方正仿宋简体" w:cs="Times New Roman"/>
          <w:b/>
          <w:color w:val="000000"/>
          <w:sz w:val="32"/>
          <w:szCs w:val="32"/>
        </w:rPr>
        <w:t>。</w:t>
      </w:r>
    </w:p>
    <w:p w14:paraId="097BBDE2">
      <w:pPr>
        <w:bidi w:val="0"/>
        <w:jc w:val="center"/>
        <w:rPr>
          <w:rFonts w:eastAsia="方正楷体简体"/>
          <w:b/>
          <w:color w:val="000000"/>
          <w:sz w:val="32"/>
          <w:szCs w:val="32"/>
        </w:rPr>
      </w:pPr>
      <w:r>
        <w:rPr>
          <w:rFonts w:hint="eastAsia"/>
          <w:lang w:eastAsia="zh-CN"/>
        </w:rPr>
        <w:drawing>
          <wp:inline distT="0" distB="0" distL="114300" distR="114300">
            <wp:extent cx="3552825" cy="3295650"/>
            <wp:effectExtent l="0" t="0" r="9525" b="0"/>
            <wp:docPr id="2" name="图片 2" descr="4a38b1b1ade9ad9e6b252373cb45f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38b1b1ade9ad9e6b252373cb45f293"/>
                    <pic:cNvPicPr>
                      <a:picLocks noChangeAspect="1"/>
                    </pic:cNvPicPr>
                  </pic:nvPicPr>
                  <pic:blipFill>
                    <a:blip r:embed="rId5"/>
                    <a:stretch>
                      <a:fillRect/>
                    </a:stretch>
                  </pic:blipFill>
                  <pic:spPr>
                    <a:xfrm>
                      <a:off x="0" y="0"/>
                      <a:ext cx="3552825" cy="3295650"/>
                    </a:xfrm>
                    <a:prstGeom prst="rect">
                      <a:avLst/>
                    </a:prstGeom>
                  </pic:spPr>
                </pic:pic>
              </a:graphicData>
            </a:graphic>
          </wp:inline>
        </w:drawing>
      </w:r>
    </w:p>
    <w:p w14:paraId="6A871D7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eastAsia="方正楷体简体"/>
          <w:b/>
          <w:color w:val="000000"/>
          <w:sz w:val="32"/>
          <w:szCs w:val="32"/>
        </w:rPr>
        <w:t>（二）依申请公开</w:t>
      </w:r>
    </w:p>
    <w:p w14:paraId="6BA958F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val="en-US" w:eastAsia="zh-CN"/>
        </w:rPr>
        <w:t>202</w:t>
      </w:r>
      <w:r>
        <w:rPr>
          <w:rFonts w:hint="eastAsia"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lang w:val="en-US" w:eastAsia="zh-CN"/>
        </w:rPr>
        <w:t>年，</w:t>
      </w:r>
      <w:r>
        <w:rPr>
          <w:rFonts w:hint="eastAsia" w:ascii="Times New Roman" w:hAnsi="Times New Roman" w:eastAsia="方正仿宋简体" w:cs="Times New Roman"/>
          <w:b/>
          <w:color w:val="000000"/>
          <w:sz w:val="32"/>
          <w:szCs w:val="32"/>
          <w:lang w:val="en-US" w:eastAsia="zh-CN"/>
        </w:rPr>
        <w:t>区交通运输</w:t>
      </w:r>
      <w:r>
        <w:rPr>
          <w:rFonts w:hint="default" w:ascii="Times New Roman" w:hAnsi="Times New Roman" w:eastAsia="方正仿宋简体" w:cs="Times New Roman"/>
          <w:b/>
          <w:color w:val="000000"/>
          <w:sz w:val="32"/>
          <w:szCs w:val="32"/>
          <w:lang w:val="en-US" w:eastAsia="zh-CN"/>
        </w:rPr>
        <w:t>局依法依规开展政府信息依申请公开工作，全年共收到政府信息公开申请</w:t>
      </w:r>
      <w:r>
        <w:rPr>
          <w:rFonts w:hint="eastAsia" w:ascii="Times New Roman" w:hAnsi="Times New Roman" w:eastAsia="方正仿宋简体" w:cs="Times New Roman"/>
          <w:b/>
          <w:color w:val="000000"/>
          <w:sz w:val="32"/>
          <w:szCs w:val="32"/>
          <w:lang w:val="en-US" w:eastAsia="zh-CN"/>
        </w:rPr>
        <w:t>0</w:t>
      </w:r>
      <w:r>
        <w:rPr>
          <w:rFonts w:hint="default" w:ascii="Times New Roman" w:hAnsi="Times New Roman" w:eastAsia="方正仿宋简体" w:cs="Times New Roman"/>
          <w:b/>
          <w:color w:val="000000"/>
          <w:sz w:val="32"/>
          <w:szCs w:val="32"/>
          <w:lang w:val="en-US" w:eastAsia="zh-CN"/>
        </w:rPr>
        <w:t>件。</w:t>
      </w:r>
      <w:r>
        <w:rPr>
          <w:rFonts w:hint="eastAsia" w:eastAsia="方正仿宋简体" w:cs="Times New Roman"/>
          <w:b/>
          <w:color w:val="000000"/>
          <w:sz w:val="32"/>
          <w:szCs w:val="32"/>
          <w:lang w:val="en-US" w:eastAsia="zh-CN"/>
        </w:rPr>
        <w:t>未收取信息公开处理费。</w:t>
      </w:r>
    </w:p>
    <w:p w14:paraId="70E508E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p>
    <w:p w14:paraId="23D0433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区交通运输局进一步强化政府信息公开管理工作，严格执行政府信息全周期管理制度和政府信息公开保密审查制度，确保公开信息不涉密、涉密信息不公开。及时对政府信息公开指南、主动公开事项目录进行全面梳理与完善，确保发布信息的权威性、及时性、严肃性。</w:t>
      </w:r>
    </w:p>
    <w:p w14:paraId="787223D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（四）政府信息公开平台建设</w:t>
      </w:r>
    </w:p>
    <w:p w14:paraId="7CE9916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2025年，区交通运输局主要依托兖州区人民政府网站公开各类政府信息，依托政府门户网站“交通运输”专题，及时更新运输领域相关信息，依托“企事业单位信息公开”专栏，及时公开公共汽车公司运营服务等相关信息。</w:t>
      </w:r>
    </w:p>
    <w:p w14:paraId="7A83BC3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val="en-US" w:eastAsia="zh-CN"/>
        </w:rPr>
      </w:pPr>
      <w:r>
        <w:rPr>
          <w:rFonts w:eastAsia="方正楷体简体"/>
          <w:b/>
          <w:color w:val="000000"/>
          <w:sz w:val="32"/>
          <w:szCs w:val="32"/>
        </w:rPr>
        <w:t>（五）监督保障</w:t>
      </w:r>
      <w:r>
        <w:rPr>
          <w:rFonts w:hint="eastAsia" w:eastAsia="方正楷体简体"/>
          <w:b/>
          <w:color w:val="000000"/>
          <w:sz w:val="32"/>
          <w:szCs w:val="32"/>
          <w:lang w:val="en-US" w:eastAsia="zh-CN"/>
        </w:rPr>
        <w:t>方面</w:t>
      </w:r>
    </w:p>
    <w:p w14:paraId="5602DF9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安排专人负责</w:t>
      </w:r>
      <w:r>
        <w:rPr>
          <w:rFonts w:hint="eastAsia" w:eastAsia="方正仿宋简体" w:cs="Times New Roman"/>
          <w:b/>
          <w:color w:val="000000"/>
          <w:sz w:val="32"/>
          <w:szCs w:val="32"/>
          <w:lang w:val="en-US" w:eastAsia="zh-CN"/>
        </w:rPr>
        <w:t>政府</w:t>
      </w:r>
      <w:r>
        <w:rPr>
          <w:rFonts w:hint="eastAsia" w:ascii="Times New Roman" w:hAnsi="Times New Roman" w:eastAsia="方正仿宋简体" w:cs="Times New Roman"/>
          <w:b/>
          <w:color w:val="000000"/>
          <w:sz w:val="32"/>
          <w:szCs w:val="32"/>
          <w:lang w:val="en-US" w:eastAsia="zh-CN"/>
        </w:rPr>
        <w:t>信息</w:t>
      </w:r>
      <w:r>
        <w:rPr>
          <w:rFonts w:hint="eastAsia" w:eastAsia="方正仿宋简体" w:cs="Times New Roman"/>
          <w:b/>
          <w:color w:val="000000"/>
          <w:sz w:val="32"/>
          <w:szCs w:val="32"/>
          <w:lang w:val="en-US" w:eastAsia="zh-CN"/>
        </w:rPr>
        <w:t>公开工作</w:t>
      </w:r>
      <w:r>
        <w:rPr>
          <w:rFonts w:hint="eastAsia" w:ascii="Times New Roman" w:hAnsi="Times New Roman" w:eastAsia="方正仿宋简体" w:cs="Times New Roman"/>
          <w:b/>
          <w:color w:val="000000"/>
          <w:sz w:val="32"/>
          <w:szCs w:val="32"/>
          <w:lang w:val="en-US" w:eastAsia="zh-CN"/>
        </w:rPr>
        <w:t>，并</w:t>
      </w:r>
      <w:r>
        <w:rPr>
          <w:rFonts w:hint="eastAsia" w:eastAsia="方正仿宋简体" w:cs="Times New Roman"/>
          <w:b/>
          <w:color w:val="000000"/>
          <w:sz w:val="32"/>
          <w:szCs w:val="32"/>
          <w:lang w:val="en-US" w:eastAsia="zh-CN"/>
        </w:rPr>
        <w:t>积极</w:t>
      </w:r>
      <w:r>
        <w:rPr>
          <w:rFonts w:hint="eastAsia" w:ascii="Times New Roman" w:hAnsi="Times New Roman" w:eastAsia="方正仿宋简体" w:cs="Times New Roman"/>
          <w:b/>
          <w:color w:val="000000"/>
          <w:sz w:val="32"/>
          <w:szCs w:val="32"/>
          <w:lang w:val="en-US" w:eastAsia="zh-CN"/>
        </w:rPr>
        <w:t>参加</w:t>
      </w:r>
      <w:r>
        <w:rPr>
          <w:rFonts w:hint="eastAsia" w:eastAsia="方正仿宋简体" w:cs="Times New Roman"/>
          <w:b/>
          <w:color w:val="000000"/>
          <w:sz w:val="32"/>
          <w:szCs w:val="32"/>
          <w:lang w:val="en-US" w:eastAsia="zh-CN"/>
        </w:rPr>
        <w:t>上级</w:t>
      </w:r>
      <w:r>
        <w:rPr>
          <w:rFonts w:hint="eastAsia" w:ascii="Times New Roman" w:hAnsi="Times New Roman" w:eastAsia="方正仿宋简体" w:cs="Times New Roman"/>
          <w:b/>
          <w:color w:val="000000"/>
          <w:sz w:val="32"/>
          <w:szCs w:val="32"/>
          <w:lang w:val="en-US" w:eastAsia="zh-CN"/>
        </w:rPr>
        <w:t>会议与培训，及时将所学内容向各科室传达、汇报，确保工作紧跟最新要求</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紧密结合工作实际情况，认真组织开展政府信息公开自查工作，对网站各栏目更新状况进行全面梳理，有力督促政务公开工作扎实落地。</w:t>
      </w:r>
    </w:p>
    <w:p w14:paraId="08CEA91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bookmarkStart w:id="1" w:name="_GoBack"/>
      <w:bookmarkEnd w:id="1"/>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8"/>
        <w:gridCol w:w="2128"/>
        <w:gridCol w:w="2137"/>
      </w:tblGrid>
      <w:tr w14:paraId="03C7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13FAD016">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481E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0F7D9B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noWrap w:val="0"/>
            <w:vAlign w:val="center"/>
          </w:tcPr>
          <w:p w14:paraId="7D3376DB">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noWrap w:val="0"/>
            <w:vAlign w:val="center"/>
          </w:tcPr>
          <w:p w14:paraId="04BFCE58">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noWrap w:val="0"/>
            <w:vAlign w:val="center"/>
          </w:tcPr>
          <w:p w14:paraId="7C182E48">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52D3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D7189E7">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noWrap w:val="0"/>
            <w:vAlign w:val="center"/>
          </w:tcPr>
          <w:p w14:paraId="0C23CCD9">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571E5097">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67802E1E">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5AEB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429F4AB">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noWrap w:val="0"/>
            <w:vAlign w:val="center"/>
          </w:tcPr>
          <w:p w14:paraId="7362E9E1">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39CC8B84">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4F81E9AF">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05F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6555C58F">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11F0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9B5643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017227C3">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2872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3A0B9334">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noWrap w:val="0"/>
            <w:vAlign w:val="center"/>
          </w:tcPr>
          <w:p w14:paraId="40E5700A">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61CB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5B63E571">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0DEB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2D8BCD4">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3D950398">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6946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541A8AA">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noWrap w:val="0"/>
            <w:vAlign w:val="center"/>
          </w:tcPr>
          <w:p w14:paraId="24FAD162">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224</w:t>
            </w:r>
          </w:p>
        </w:tc>
      </w:tr>
      <w:tr w14:paraId="2609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6E950015">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noWrap w:val="0"/>
            <w:vAlign w:val="center"/>
          </w:tcPr>
          <w:p w14:paraId="7A17E4D3">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80</w:t>
            </w:r>
          </w:p>
        </w:tc>
      </w:tr>
      <w:tr w14:paraId="4666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03275EB0">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38DA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3C9A52B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70FD8A04">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398B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4497A891">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noWrap w:val="0"/>
            <w:vAlign w:val="center"/>
          </w:tcPr>
          <w:p w14:paraId="4C5D1F6A">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14:paraId="689E3F4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eastAsia="方正黑体简体"/>
          <w:b/>
          <w:color w:val="FF0000"/>
          <w:sz w:val="32"/>
          <w:szCs w:val="32"/>
          <w:lang w:eastAsia="zh-CN"/>
        </w:rPr>
      </w:pPr>
      <w:r>
        <w:rPr>
          <w:rFonts w:eastAsia="方正黑体简体"/>
          <w:b/>
          <w:sz w:val="32"/>
          <w:szCs w:val="32"/>
        </w:rPr>
        <w:t>三、收到和处理政府信息公开申请情况</w:t>
      </w:r>
    </w:p>
    <w:tbl>
      <w:tblPr>
        <w:tblStyle w:val="5"/>
        <w:tblpPr w:leftFromText="180" w:rightFromText="180" w:vertAnchor="text" w:horzAnchor="page" w:tblpX="1092" w:tblpY="296"/>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225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411C4511">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14:paraId="5E946D7F">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14:paraId="676FA453">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14:paraId="0F3D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294B46A1">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14:paraId="4161037A">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14:paraId="22F30CCD">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14:paraId="48631605">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14:paraId="502F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1B0865D8">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14:paraId="161F3442">
            <w:pPr>
              <w:jc w:val="center"/>
              <w:rPr>
                <w:rFonts w:ascii="Times New Roman" w:hAnsi="Times New Roman" w:eastAsia="黑体"/>
                <w:szCs w:val="21"/>
              </w:rPr>
            </w:pPr>
          </w:p>
        </w:tc>
        <w:tc>
          <w:tcPr>
            <w:tcW w:w="567" w:type="dxa"/>
            <w:noWrap w:val="0"/>
            <w:tcMar>
              <w:left w:w="108" w:type="dxa"/>
              <w:right w:w="108" w:type="dxa"/>
            </w:tcMar>
            <w:vAlign w:val="center"/>
          </w:tcPr>
          <w:p w14:paraId="7D8FE6AA">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14:paraId="5B95B8DF">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14:paraId="1747F570">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14:paraId="455A8960">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14:paraId="5796222F">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14:paraId="25EE3C4E">
            <w:pPr>
              <w:jc w:val="center"/>
              <w:rPr>
                <w:rFonts w:ascii="Times New Roman" w:hAnsi="Times New Roman" w:eastAsia="仿宋_GB2312"/>
                <w:szCs w:val="21"/>
              </w:rPr>
            </w:pPr>
          </w:p>
        </w:tc>
      </w:tr>
      <w:tr w14:paraId="2A9B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010F3C55">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14:paraId="5006633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FED380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91566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98BD8F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C8FDD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354686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7D1451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A0E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4557446C">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14:paraId="5D4EF92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1C7A0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3C4988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FEA52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B6E83B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7AFDC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EAECD1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C87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0119182E">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14426992">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14:paraId="52010A1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F5D337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7CC63C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6F17F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F1D742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8F5CE1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E27133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48B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657F2C3C">
            <w:pPr>
              <w:rPr>
                <w:rFonts w:ascii="Times New Roman" w:hAnsi="Times New Roman" w:eastAsia="黑体"/>
                <w:szCs w:val="21"/>
              </w:rPr>
            </w:pPr>
          </w:p>
        </w:tc>
        <w:tc>
          <w:tcPr>
            <w:tcW w:w="4677" w:type="dxa"/>
            <w:gridSpan w:val="2"/>
            <w:noWrap w:val="0"/>
            <w:tcMar>
              <w:left w:w="108" w:type="dxa"/>
              <w:right w:w="108" w:type="dxa"/>
            </w:tcMar>
            <w:vAlign w:val="center"/>
          </w:tcPr>
          <w:p w14:paraId="4187EE85">
            <w:pPr>
              <w:widowControl/>
              <w:rPr>
                <w:rFonts w:ascii="Times New Roman" w:hAnsi="Times New Roman" w:eastAsia="黑体"/>
                <w:szCs w:val="21"/>
              </w:rPr>
            </w:pPr>
            <w:r>
              <w:rPr>
                <w:rFonts w:hint="eastAsia" w:ascii="Times New Roman" w:hAnsi="Times New Roman" w:eastAsia="黑体"/>
                <w:kern w:val="0"/>
                <w:szCs w:val="21"/>
              </w:rPr>
              <w:t>（二）部分公开</w:t>
            </w:r>
            <w:r>
              <w:rPr>
                <w:rFonts w:hint="eastAsia" w:ascii="Times New Roman" w:hAnsi="Times New Roman" w:eastAsia="仿宋_GB2312" w:cs="Times New Roman"/>
                <w:kern w:val="0"/>
                <w:szCs w:val="21"/>
              </w:rPr>
              <w:t>（区分处理的，只计这一情形，不计其他情形）</w:t>
            </w:r>
          </w:p>
        </w:tc>
        <w:tc>
          <w:tcPr>
            <w:tcW w:w="829" w:type="dxa"/>
            <w:noWrap w:val="0"/>
            <w:tcMar>
              <w:left w:w="108" w:type="dxa"/>
              <w:right w:w="108" w:type="dxa"/>
            </w:tcMar>
            <w:vAlign w:val="center"/>
          </w:tcPr>
          <w:p w14:paraId="48B1591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CD76B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0B5FD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8DB2E4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CEB2C2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89CAA8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2BE0B7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C91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F6E563F">
            <w:pPr>
              <w:rPr>
                <w:rFonts w:ascii="Times New Roman" w:hAnsi="Times New Roman" w:eastAsia="黑体"/>
                <w:szCs w:val="21"/>
              </w:rPr>
            </w:pPr>
          </w:p>
        </w:tc>
        <w:tc>
          <w:tcPr>
            <w:tcW w:w="1701" w:type="dxa"/>
            <w:vMerge w:val="restart"/>
            <w:noWrap w:val="0"/>
            <w:tcMar>
              <w:left w:w="108" w:type="dxa"/>
              <w:right w:w="108" w:type="dxa"/>
            </w:tcMar>
            <w:vAlign w:val="center"/>
          </w:tcPr>
          <w:p w14:paraId="27CA7EE3">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14:paraId="5A0BCD9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14:paraId="23BD76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6FBAC8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535261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8D9B71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A561AE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C21CC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78EE0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C55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07A03B1">
            <w:pPr>
              <w:rPr>
                <w:rFonts w:ascii="Times New Roman" w:hAnsi="Times New Roman" w:eastAsia="黑体"/>
                <w:szCs w:val="21"/>
              </w:rPr>
            </w:pPr>
          </w:p>
        </w:tc>
        <w:tc>
          <w:tcPr>
            <w:tcW w:w="1701" w:type="dxa"/>
            <w:vMerge w:val="continue"/>
            <w:noWrap w:val="0"/>
            <w:tcMar>
              <w:left w:w="108" w:type="dxa"/>
              <w:right w:w="108" w:type="dxa"/>
            </w:tcMar>
            <w:vAlign w:val="center"/>
          </w:tcPr>
          <w:p w14:paraId="2BA5174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024D6E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14:paraId="0D97F79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653F0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32C9F1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100CFF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A3293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A23DA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2E114E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553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AB55E50">
            <w:pPr>
              <w:rPr>
                <w:rFonts w:ascii="Times New Roman" w:hAnsi="Times New Roman" w:eastAsia="黑体"/>
                <w:szCs w:val="21"/>
              </w:rPr>
            </w:pPr>
          </w:p>
        </w:tc>
        <w:tc>
          <w:tcPr>
            <w:tcW w:w="1701" w:type="dxa"/>
            <w:vMerge w:val="continue"/>
            <w:noWrap w:val="0"/>
            <w:tcMar>
              <w:left w:w="108" w:type="dxa"/>
              <w:right w:w="108" w:type="dxa"/>
            </w:tcMar>
            <w:vAlign w:val="center"/>
          </w:tcPr>
          <w:p w14:paraId="0ADF515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3F7ED3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14:paraId="79A78F1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A5EDC4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2A46A1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55C8A1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0547E6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2DC2EA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FBC43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F78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67E8D2A">
            <w:pPr>
              <w:rPr>
                <w:rFonts w:ascii="Times New Roman" w:hAnsi="Times New Roman" w:eastAsia="黑体"/>
                <w:szCs w:val="21"/>
              </w:rPr>
            </w:pPr>
          </w:p>
        </w:tc>
        <w:tc>
          <w:tcPr>
            <w:tcW w:w="1701" w:type="dxa"/>
            <w:vMerge w:val="continue"/>
            <w:noWrap w:val="0"/>
            <w:tcMar>
              <w:left w:w="108" w:type="dxa"/>
              <w:right w:w="108" w:type="dxa"/>
            </w:tcMar>
            <w:vAlign w:val="center"/>
          </w:tcPr>
          <w:p w14:paraId="33E3469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16E125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14:paraId="2326236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2E9663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A63E36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FC71E2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56BE60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AE521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5D2226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661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07FA096">
            <w:pPr>
              <w:rPr>
                <w:rFonts w:ascii="Times New Roman" w:hAnsi="Times New Roman" w:eastAsia="黑体"/>
                <w:szCs w:val="21"/>
              </w:rPr>
            </w:pPr>
          </w:p>
        </w:tc>
        <w:tc>
          <w:tcPr>
            <w:tcW w:w="1701" w:type="dxa"/>
            <w:vMerge w:val="continue"/>
            <w:noWrap w:val="0"/>
            <w:tcMar>
              <w:left w:w="108" w:type="dxa"/>
              <w:right w:w="108" w:type="dxa"/>
            </w:tcMar>
            <w:vAlign w:val="center"/>
          </w:tcPr>
          <w:p w14:paraId="0081CAB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226CE31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14:paraId="3E999A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A440F7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3E6ECF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324C95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EB2DF1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731A5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CFEF32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58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7D610F3">
            <w:pPr>
              <w:rPr>
                <w:rFonts w:ascii="Times New Roman" w:hAnsi="Times New Roman" w:eastAsia="黑体"/>
                <w:szCs w:val="21"/>
              </w:rPr>
            </w:pPr>
          </w:p>
        </w:tc>
        <w:tc>
          <w:tcPr>
            <w:tcW w:w="1701" w:type="dxa"/>
            <w:vMerge w:val="continue"/>
            <w:noWrap w:val="0"/>
            <w:tcMar>
              <w:left w:w="108" w:type="dxa"/>
              <w:right w:w="108" w:type="dxa"/>
            </w:tcMar>
            <w:vAlign w:val="center"/>
          </w:tcPr>
          <w:p w14:paraId="32E6254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FDEB80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14:paraId="400533D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043631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D0CEE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4C5B2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9E11A2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D5E5B5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BEFB18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1D5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93AA2A0">
            <w:pPr>
              <w:rPr>
                <w:rFonts w:ascii="Times New Roman" w:hAnsi="Times New Roman" w:eastAsia="黑体"/>
                <w:szCs w:val="21"/>
              </w:rPr>
            </w:pPr>
          </w:p>
        </w:tc>
        <w:tc>
          <w:tcPr>
            <w:tcW w:w="1701" w:type="dxa"/>
            <w:vMerge w:val="continue"/>
            <w:noWrap w:val="0"/>
            <w:tcMar>
              <w:left w:w="108" w:type="dxa"/>
              <w:right w:w="108" w:type="dxa"/>
            </w:tcMar>
            <w:vAlign w:val="center"/>
          </w:tcPr>
          <w:p w14:paraId="1A4DACAA">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E7085D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14:paraId="31FD607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4DB984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6E9F2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7B398B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F7BCAE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E1F8C6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AD3BA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CF4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2DBC0CE">
            <w:pPr>
              <w:rPr>
                <w:rFonts w:ascii="Times New Roman" w:hAnsi="Times New Roman" w:eastAsia="黑体"/>
                <w:szCs w:val="21"/>
              </w:rPr>
            </w:pPr>
          </w:p>
        </w:tc>
        <w:tc>
          <w:tcPr>
            <w:tcW w:w="1701" w:type="dxa"/>
            <w:vMerge w:val="continue"/>
            <w:noWrap w:val="0"/>
            <w:tcMar>
              <w:left w:w="108" w:type="dxa"/>
              <w:right w:w="108" w:type="dxa"/>
            </w:tcMar>
            <w:vAlign w:val="center"/>
          </w:tcPr>
          <w:p w14:paraId="2CC40910">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8CE624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14:paraId="12F07E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5A0E12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943E8B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78D3D0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2543B0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EAF46C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C65578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E46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BDFD5C7">
            <w:pPr>
              <w:rPr>
                <w:rFonts w:ascii="Times New Roman" w:hAnsi="Times New Roman" w:eastAsia="黑体"/>
                <w:szCs w:val="21"/>
              </w:rPr>
            </w:pPr>
          </w:p>
        </w:tc>
        <w:tc>
          <w:tcPr>
            <w:tcW w:w="1701" w:type="dxa"/>
            <w:vMerge w:val="restart"/>
            <w:noWrap w:val="0"/>
            <w:tcMar>
              <w:left w:w="108" w:type="dxa"/>
              <w:right w:w="108" w:type="dxa"/>
            </w:tcMar>
            <w:vAlign w:val="center"/>
          </w:tcPr>
          <w:p w14:paraId="1C4CC36D">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14:paraId="2E6D26D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14:paraId="3B0D418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F2F62C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167A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6D15F2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4EEB7E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D6EC3C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1840FC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F00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F729DD4">
            <w:pPr>
              <w:rPr>
                <w:rFonts w:ascii="Times New Roman" w:hAnsi="Times New Roman" w:eastAsia="黑体"/>
                <w:szCs w:val="21"/>
              </w:rPr>
            </w:pPr>
          </w:p>
        </w:tc>
        <w:tc>
          <w:tcPr>
            <w:tcW w:w="1701" w:type="dxa"/>
            <w:vMerge w:val="continue"/>
            <w:noWrap w:val="0"/>
            <w:tcMar>
              <w:left w:w="108" w:type="dxa"/>
              <w:right w:w="108" w:type="dxa"/>
            </w:tcMar>
            <w:vAlign w:val="center"/>
          </w:tcPr>
          <w:p w14:paraId="19A0DB56">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08B6279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14:paraId="2E725FD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16DEC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40FC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B294B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17FC61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4E1A69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BB03CB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3F2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6B93AED">
            <w:pPr>
              <w:rPr>
                <w:rFonts w:ascii="Times New Roman" w:hAnsi="Times New Roman" w:eastAsia="黑体"/>
                <w:szCs w:val="21"/>
              </w:rPr>
            </w:pPr>
          </w:p>
        </w:tc>
        <w:tc>
          <w:tcPr>
            <w:tcW w:w="1701" w:type="dxa"/>
            <w:vMerge w:val="continue"/>
            <w:noWrap w:val="0"/>
            <w:tcMar>
              <w:left w:w="108" w:type="dxa"/>
              <w:right w:w="108" w:type="dxa"/>
            </w:tcMar>
            <w:vAlign w:val="center"/>
          </w:tcPr>
          <w:p w14:paraId="7F6F618E">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4F30D63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14:paraId="7D6F29B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FE4D6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C70E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2DDB83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3B613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D903C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09E46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795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453C78CD">
            <w:pPr>
              <w:rPr>
                <w:rFonts w:ascii="Times New Roman" w:hAnsi="Times New Roman" w:eastAsia="黑体"/>
                <w:szCs w:val="21"/>
              </w:rPr>
            </w:pPr>
          </w:p>
        </w:tc>
        <w:tc>
          <w:tcPr>
            <w:tcW w:w="1701" w:type="dxa"/>
            <w:vMerge w:val="restart"/>
            <w:noWrap w:val="0"/>
            <w:tcMar>
              <w:left w:w="108" w:type="dxa"/>
              <w:right w:w="108" w:type="dxa"/>
            </w:tcMar>
            <w:vAlign w:val="center"/>
          </w:tcPr>
          <w:p w14:paraId="652D0D88">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14:paraId="6EC8AF8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14:paraId="6F0032A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FE2B41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FE23A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C9E0D6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8513A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29170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4F6D1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E95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7F708F5">
            <w:pPr>
              <w:rPr>
                <w:rFonts w:ascii="Times New Roman" w:hAnsi="Times New Roman" w:eastAsia="黑体"/>
                <w:szCs w:val="21"/>
              </w:rPr>
            </w:pPr>
          </w:p>
        </w:tc>
        <w:tc>
          <w:tcPr>
            <w:tcW w:w="1701" w:type="dxa"/>
            <w:vMerge w:val="continue"/>
            <w:noWrap w:val="0"/>
            <w:tcMar>
              <w:left w:w="108" w:type="dxa"/>
              <w:right w:w="108" w:type="dxa"/>
            </w:tcMar>
            <w:vAlign w:val="center"/>
          </w:tcPr>
          <w:p w14:paraId="7599050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2E373CD">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14:paraId="30330ED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9E0B9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A4A18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25146E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4DBAD8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17C9E8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D66D13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326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474F70B">
            <w:pPr>
              <w:rPr>
                <w:rFonts w:ascii="Times New Roman" w:hAnsi="Times New Roman" w:eastAsia="黑体"/>
                <w:szCs w:val="21"/>
              </w:rPr>
            </w:pPr>
          </w:p>
        </w:tc>
        <w:tc>
          <w:tcPr>
            <w:tcW w:w="1701" w:type="dxa"/>
            <w:vMerge w:val="continue"/>
            <w:noWrap w:val="0"/>
            <w:tcMar>
              <w:left w:w="108" w:type="dxa"/>
              <w:right w:w="108" w:type="dxa"/>
            </w:tcMar>
            <w:vAlign w:val="center"/>
          </w:tcPr>
          <w:p w14:paraId="750CDD3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D2BBB2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14:paraId="4E55E75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9CB21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14024A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F27771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553CF9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253CB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7B5F8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0E5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469A29DC">
            <w:pPr>
              <w:rPr>
                <w:rFonts w:ascii="Times New Roman" w:hAnsi="Times New Roman" w:eastAsia="黑体"/>
                <w:szCs w:val="21"/>
              </w:rPr>
            </w:pPr>
          </w:p>
        </w:tc>
        <w:tc>
          <w:tcPr>
            <w:tcW w:w="1701" w:type="dxa"/>
            <w:vMerge w:val="continue"/>
            <w:noWrap w:val="0"/>
            <w:tcMar>
              <w:left w:w="108" w:type="dxa"/>
              <w:right w:w="108" w:type="dxa"/>
            </w:tcMar>
            <w:vAlign w:val="center"/>
          </w:tcPr>
          <w:p w14:paraId="02A19025">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96169A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14:paraId="2E6A90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30F4FE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BB23D7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DB1F7A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4EC7F8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D61487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9F7407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EBD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13867FDD">
            <w:pPr>
              <w:rPr>
                <w:rFonts w:ascii="Times New Roman" w:hAnsi="Times New Roman" w:eastAsia="黑体"/>
                <w:szCs w:val="21"/>
              </w:rPr>
            </w:pPr>
          </w:p>
        </w:tc>
        <w:tc>
          <w:tcPr>
            <w:tcW w:w="1701" w:type="dxa"/>
            <w:vMerge w:val="continue"/>
            <w:noWrap w:val="0"/>
            <w:tcMar>
              <w:left w:w="108" w:type="dxa"/>
              <w:right w:w="108" w:type="dxa"/>
            </w:tcMar>
            <w:vAlign w:val="center"/>
          </w:tcPr>
          <w:p w14:paraId="6EC3D03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4B85D2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5.要求行政机关确认或重新出具已获取信息</w:t>
            </w:r>
          </w:p>
        </w:tc>
        <w:tc>
          <w:tcPr>
            <w:tcW w:w="829" w:type="dxa"/>
            <w:noWrap w:val="0"/>
            <w:tcMar>
              <w:left w:w="108" w:type="dxa"/>
              <w:right w:w="108" w:type="dxa"/>
            </w:tcMar>
            <w:vAlign w:val="center"/>
          </w:tcPr>
          <w:p w14:paraId="013D218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6C941F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D088B2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9513AF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C5FCF1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4D489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4AF36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E28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4184B23D">
            <w:pPr>
              <w:rPr>
                <w:rFonts w:ascii="Times New Roman" w:hAnsi="Times New Roman" w:eastAsia="黑体"/>
                <w:szCs w:val="21"/>
              </w:rPr>
            </w:pPr>
          </w:p>
        </w:tc>
        <w:tc>
          <w:tcPr>
            <w:tcW w:w="1701" w:type="dxa"/>
            <w:vMerge w:val="restart"/>
            <w:noWrap w:val="0"/>
            <w:tcMar>
              <w:left w:w="108" w:type="dxa"/>
              <w:right w:w="108" w:type="dxa"/>
            </w:tcMar>
            <w:vAlign w:val="center"/>
          </w:tcPr>
          <w:p w14:paraId="3FBA281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14:paraId="420B453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14:paraId="582D95A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D80FD6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30B71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8343B0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95583A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C62EC6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8B1EBE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567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C4E16CF">
            <w:pPr>
              <w:rPr>
                <w:rFonts w:ascii="Times New Roman" w:hAnsi="Times New Roman" w:eastAsia="黑体"/>
                <w:szCs w:val="21"/>
              </w:rPr>
            </w:pPr>
          </w:p>
        </w:tc>
        <w:tc>
          <w:tcPr>
            <w:tcW w:w="1701" w:type="dxa"/>
            <w:vMerge w:val="continue"/>
            <w:noWrap w:val="0"/>
            <w:tcMar>
              <w:left w:w="108" w:type="dxa"/>
              <w:right w:w="108" w:type="dxa"/>
            </w:tcMar>
            <w:vAlign w:val="center"/>
          </w:tcPr>
          <w:p w14:paraId="5B94D3BB">
            <w:pPr>
              <w:widowControl/>
              <w:spacing w:line="300" w:lineRule="exact"/>
              <w:rPr>
                <w:rFonts w:ascii="Times New Roman" w:hAnsi="Times New Roman" w:eastAsia="黑体"/>
                <w:kern w:val="0"/>
                <w:szCs w:val="21"/>
              </w:rPr>
            </w:pPr>
          </w:p>
        </w:tc>
        <w:tc>
          <w:tcPr>
            <w:tcW w:w="2976" w:type="dxa"/>
            <w:noWrap w:val="0"/>
            <w:vAlign w:val="center"/>
          </w:tcPr>
          <w:p w14:paraId="66C98A4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46B45E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A1E40E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14416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E57897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38CDE2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E67D85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516397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71C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15745A67">
            <w:pPr>
              <w:rPr>
                <w:rFonts w:ascii="Times New Roman" w:hAnsi="Times New Roman" w:eastAsia="黑体"/>
                <w:szCs w:val="21"/>
              </w:rPr>
            </w:pPr>
          </w:p>
        </w:tc>
        <w:tc>
          <w:tcPr>
            <w:tcW w:w="1701" w:type="dxa"/>
            <w:vMerge w:val="continue"/>
            <w:noWrap w:val="0"/>
            <w:tcMar>
              <w:left w:w="108" w:type="dxa"/>
              <w:right w:w="108" w:type="dxa"/>
            </w:tcMar>
            <w:vAlign w:val="center"/>
          </w:tcPr>
          <w:p w14:paraId="34FC2DAD">
            <w:pPr>
              <w:widowControl/>
              <w:spacing w:line="300" w:lineRule="exact"/>
              <w:rPr>
                <w:rFonts w:ascii="Times New Roman" w:hAnsi="Times New Roman" w:eastAsia="黑体"/>
                <w:kern w:val="0"/>
                <w:szCs w:val="21"/>
              </w:rPr>
            </w:pPr>
          </w:p>
        </w:tc>
        <w:tc>
          <w:tcPr>
            <w:tcW w:w="2976" w:type="dxa"/>
            <w:noWrap w:val="0"/>
            <w:vAlign w:val="center"/>
          </w:tcPr>
          <w:p w14:paraId="71A9E6E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14:paraId="0E3D9ED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99854B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4407B2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A9077B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E1002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F6B1B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013B08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59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2A7C2B08">
            <w:pPr>
              <w:rPr>
                <w:rFonts w:ascii="Times New Roman" w:hAnsi="Times New Roman" w:eastAsia="黑体"/>
                <w:szCs w:val="21"/>
              </w:rPr>
            </w:pPr>
          </w:p>
        </w:tc>
        <w:tc>
          <w:tcPr>
            <w:tcW w:w="4677" w:type="dxa"/>
            <w:gridSpan w:val="2"/>
            <w:noWrap w:val="0"/>
            <w:tcMar>
              <w:left w:w="108" w:type="dxa"/>
              <w:right w:w="108" w:type="dxa"/>
            </w:tcMar>
            <w:vAlign w:val="center"/>
          </w:tcPr>
          <w:p w14:paraId="5BBE6439">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14:paraId="0733C2F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43BB1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8FAF1A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D1FCA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E4ED14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184188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3BA226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4A6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2460B125">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14:paraId="02BED46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5BE9B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0FF36C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F6B991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7C0D8F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BFA928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4B42AC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14:paraId="3D85CDB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eastAsia="方正黑体简体"/>
          <w:b/>
          <w:color w:val="FF0000"/>
          <w:sz w:val="32"/>
          <w:szCs w:val="32"/>
        </w:rPr>
      </w:pPr>
      <w:r>
        <w:rPr>
          <w:rFonts w:eastAsia="方正黑体简体"/>
          <w:b/>
          <w:sz w:val="32"/>
          <w:szCs w:val="32"/>
        </w:rPr>
        <w:t>四、政府信息公开行政复议、行政诉讼情况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718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1167E4F5">
            <w:pPr>
              <w:widowControl/>
              <w:jc w:val="center"/>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23B80571">
            <w:pPr>
              <w:widowControl/>
              <w:jc w:val="center"/>
              <w:rPr>
                <w:rFonts w:ascii="黑体" w:hAnsi="黑体" w:eastAsia="黑体"/>
              </w:rPr>
            </w:pPr>
            <w:r>
              <w:rPr>
                <w:rFonts w:ascii="黑体" w:hAnsi="黑体" w:eastAsia="黑体"/>
                <w:kern w:val="0"/>
                <w:sz w:val="20"/>
                <w:szCs w:val="20"/>
              </w:rPr>
              <w:t>行政诉讼</w:t>
            </w:r>
          </w:p>
        </w:tc>
      </w:tr>
      <w:tr w14:paraId="55DB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489BC486">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6F40EC8F">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34FC240B">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13229C41">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1E9EB47A">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7F039BC3">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13015A1F">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0625F666">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1EAABCBC">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4F86FE81">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2D52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650D5091">
            <w:pPr>
              <w:rPr>
                <w:rFonts w:ascii="黑体" w:hAnsi="黑体" w:eastAsia="黑体"/>
                <w:sz w:val="24"/>
              </w:rPr>
            </w:pPr>
          </w:p>
        </w:tc>
        <w:tc>
          <w:tcPr>
            <w:tcW w:w="604" w:type="dxa"/>
            <w:vMerge w:val="continue"/>
            <w:noWrap w:val="0"/>
            <w:tcMar>
              <w:left w:w="108" w:type="dxa"/>
              <w:right w:w="108" w:type="dxa"/>
            </w:tcMar>
            <w:vAlign w:val="center"/>
          </w:tcPr>
          <w:p w14:paraId="21449D1B">
            <w:pPr>
              <w:rPr>
                <w:rFonts w:ascii="黑体" w:hAnsi="黑体" w:eastAsia="黑体"/>
                <w:sz w:val="24"/>
              </w:rPr>
            </w:pPr>
          </w:p>
        </w:tc>
        <w:tc>
          <w:tcPr>
            <w:tcW w:w="604" w:type="dxa"/>
            <w:vMerge w:val="continue"/>
            <w:noWrap w:val="0"/>
            <w:tcMar>
              <w:left w:w="108" w:type="dxa"/>
              <w:right w:w="108" w:type="dxa"/>
            </w:tcMar>
            <w:vAlign w:val="center"/>
          </w:tcPr>
          <w:p w14:paraId="7A98F15B">
            <w:pPr>
              <w:rPr>
                <w:rFonts w:ascii="黑体" w:hAnsi="黑体" w:eastAsia="黑体"/>
                <w:sz w:val="24"/>
              </w:rPr>
            </w:pPr>
          </w:p>
        </w:tc>
        <w:tc>
          <w:tcPr>
            <w:tcW w:w="604" w:type="dxa"/>
            <w:vMerge w:val="continue"/>
            <w:noWrap w:val="0"/>
            <w:tcMar>
              <w:left w:w="108" w:type="dxa"/>
              <w:right w:w="108" w:type="dxa"/>
            </w:tcMar>
            <w:vAlign w:val="center"/>
          </w:tcPr>
          <w:p w14:paraId="48A42773">
            <w:pPr>
              <w:rPr>
                <w:rFonts w:ascii="黑体" w:hAnsi="黑体" w:eastAsia="黑体"/>
                <w:sz w:val="24"/>
              </w:rPr>
            </w:pPr>
          </w:p>
        </w:tc>
        <w:tc>
          <w:tcPr>
            <w:tcW w:w="658" w:type="dxa"/>
            <w:vMerge w:val="continue"/>
            <w:noWrap w:val="0"/>
            <w:tcMar>
              <w:left w:w="108" w:type="dxa"/>
              <w:right w:w="108" w:type="dxa"/>
            </w:tcMar>
            <w:vAlign w:val="center"/>
          </w:tcPr>
          <w:p w14:paraId="60FAF29B">
            <w:pPr>
              <w:rPr>
                <w:rFonts w:ascii="黑体" w:hAnsi="黑体" w:eastAsia="黑体"/>
                <w:sz w:val="24"/>
              </w:rPr>
            </w:pPr>
          </w:p>
        </w:tc>
        <w:tc>
          <w:tcPr>
            <w:tcW w:w="550" w:type="dxa"/>
            <w:noWrap w:val="0"/>
            <w:tcMar>
              <w:left w:w="108" w:type="dxa"/>
              <w:right w:w="108" w:type="dxa"/>
            </w:tcMar>
            <w:vAlign w:val="center"/>
          </w:tcPr>
          <w:p w14:paraId="6280F8B3">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35F8C89C">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1B0DA0EA">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6538DFEA">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488B8EB0">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33FC4F61">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2B326A0D">
            <w:pPr>
              <w:widowControl/>
              <w:jc w:val="center"/>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320DA589">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674945B4">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537C66D6">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26475219">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63DCD362">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39894AA3">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741B3401">
            <w:pPr>
              <w:widowControl/>
              <w:jc w:val="center"/>
              <w:rPr>
                <w:rFonts w:ascii="黑体" w:hAnsi="黑体" w:eastAsia="黑体"/>
              </w:rPr>
            </w:pPr>
            <w:r>
              <w:rPr>
                <w:rFonts w:ascii="黑体" w:hAnsi="黑体" w:eastAsia="黑体"/>
                <w:kern w:val="0"/>
                <w:sz w:val="20"/>
                <w:szCs w:val="20"/>
              </w:rPr>
              <w:t>总计</w:t>
            </w:r>
          </w:p>
        </w:tc>
      </w:tr>
      <w:tr w14:paraId="2F56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604" w:type="dxa"/>
            <w:noWrap w:val="0"/>
            <w:tcMar>
              <w:left w:w="108" w:type="dxa"/>
              <w:right w:w="108" w:type="dxa"/>
            </w:tcMar>
            <w:vAlign w:val="center"/>
          </w:tcPr>
          <w:p w14:paraId="3F327A3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699BCD7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7F8B352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531F88F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1E2D46C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16D452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287B28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DE0EB0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1906652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2DB1B32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6B8CFE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412B5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47C04A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490813F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6DD187E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14:paraId="7643EAE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sz w:val="32"/>
          <w:szCs w:val="32"/>
        </w:rPr>
      </w:pPr>
      <w:r>
        <w:rPr>
          <w:rFonts w:eastAsia="方正黑体简体"/>
          <w:b/>
          <w:sz w:val="32"/>
          <w:szCs w:val="32"/>
        </w:rPr>
        <w:t>五、存在的主要问题及改进情况</w:t>
      </w:r>
    </w:p>
    <w:p w14:paraId="79DAED2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本年度存在的主要问题：一是公开信息便民性需要进一步提高；二是信息公开质量有待进一步加强；三是政府信息公开意识有待进一步提高，培训工作</w:t>
      </w:r>
      <w:r>
        <w:rPr>
          <w:rFonts w:hint="eastAsia" w:eastAsia="方正仿宋简体" w:cs="Times New Roman"/>
          <w:b/>
          <w:color w:val="000000"/>
          <w:sz w:val="32"/>
          <w:szCs w:val="32"/>
          <w:lang w:val="en-US" w:eastAsia="zh-CN"/>
        </w:rPr>
        <w:t>需</w:t>
      </w:r>
      <w:r>
        <w:rPr>
          <w:rFonts w:hint="eastAsia" w:ascii="Times New Roman" w:hAnsi="Times New Roman" w:eastAsia="方正仿宋简体" w:cs="Times New Roman"/>
          <w:b/>
          <w:color w:val="000000"/>
          <w:sz w:val="32"/>
          <w:szCs w:val="32"/>
          <w:lang w:val="en-US" w:eastAsia="zh-CN"/>
        </w:rPr>
        <w:t>加强。</w:t>
      </w:r>
    </w:p>
    <w:p w14:paraId="10052D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3" w:firstLineChars="200"/>
        <w:jc w:val="both"/>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kern w:val="0"/>
          <w:sz w:val="32"/>
          <w:szCs w:val="32"/>
          <w:lang w:val="en-US" w:eastAsia="zh-CN" w:bidi="ar-SA"/>
        </w:rPr>
        <w:t>下步工作计划：一是认真梳理政府信息公开事项，查漏补缺，确保应公开的信息及时准确公开；二是提升信息公开质量，加强内容审核，推动信息公开数量充足，更新及时，内容实用；三是主动参与政府信息公开培训，切实增强政府信息公开工作人员依法依规公开意识，提高发布信息、回应关切的能力和水平。</w:t>
      </w:r>
    </w:p>
    <w:p w14:paraId="7CBF263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pPr>
      <w:r>
        <w:rPr>
          <w:rFonts w:eastAsia="方正黑体简体"/>
          <w:b/>
          <w:sz w:val="32"/>
          <w:szCs w:val="32"/>
        </w:rPr>
        <w:t>六、其他需要报告的事项</w:t>
      </w:r>
    </w:p>
    <w:p w14:paraId="1561184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558EF731">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2025年，根据《政府信息公开信息处理费管理办法》，我单位未收取信息处理费。</w:t>
      </w:r>
    </w:p>
    <w:p w14:paraId="5DA8C8A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4069BEB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严格做好</w:t>
      </w:r>
      <w:r>
        <w:rPr>
          <w:rFonts w:hint="eastAsia" w:eastAsia="方正仿宋简体" w:cs="Times New Roman"/>
          <w:b/>
          <w:color w:val="000000"/>
          <w:sz w:val="32"/>
          <w:szCs w:val="32"/>
          <w:lang w:val="en-US" w:eastAsia="zh-CN"/>
        </w:rPr>
        <w:t>政府</w:t>
      </w:r>
      <w:r>
        <w:rPr>
          <w:rFonts w:hint="eastAsia" w:ascii="Times New Roman" w:hAnsi="Times New Roman" w:eastAsia="方正仿宋简体" w:cs="Times New Roman"/>
          <w:b/>
          <w:color w:val="000000"/>
          <w:sz w:val="32"/>
          <w:szCs w:val="32"/>
          <w:lang w:val="en-US" w:eastAsia="zh-CN"/>
        </w:rPr>
        <w:t>信息</w:t>
      </w:r>
      <w:r>
        <w:rPr>
          <w:rFonts w:hint="eastAsia" w:eastAsia="方正仿宋简体" w:cs="Times New Roman"/>
          <w:b/>
          <w:color w:val="000000"/>
          <w:sz w:val="32"/>
          <w:szCs w:val="32"/>
          <w:lang w:val="en-US" w:eastAsia="zh-CN"/>
        </w:rPr>
        <w:t>公开</w:t>
      </w:r>
      <w:r>
        <w:rPr>
          <w:rFonts w:hint="eastAsia" w:ascii="Times New Roman" w:hAnsi="Times New Roman" w:eastAsia="方正仿宋简体" w:cs="Times New Roman"/>
          <w:b/>
          <w:color w:val="000000"/>
          <w:sz w:val="32"/>
          <w:szCs w:val="32"/>
          <w:lang w:val="en-US" w:eastAsia="zh-CN"/>
        </w:rPr>
        <w:t>工作。结合本局实际，不断深化、细化政府信息公开内容，做好信息审查工作，做到严把关、多人审，确保表述规范、内容准确。</w:t>
      </w:r>
    </w:p>
    <w:p w14:paraId="67E3D62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05F610B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szCs w:val="32"/>
          <w:lang w:val="en-US" w:eastAsia="zh-CN"/>
        </w:rPr>
        <w:t>2025年，区交通运输局承办的区人大代表建议、政协委员提案共12件。其中，人大代表建议主办9件，政协提案主办3件。与人大代表建议见面率100%、办结率100%、满意率100%</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政协提案见面率、办结率和满意率三个100%，建议提案办理情况已按规定公开</w:t>
      </w:r>
      <w:r>
        <w:rPr>
          <w:rFonts w:hint="eastAsia" w:ascii="Times New Roman" w:hAnsi="Times New Roman" w:eastAsia="方正仿宋简体" w:cs="Times New Roman"/>
          <w:b/>
          <w:color w:val="000000"/>
          <w:sz w:val="32"/>
          <w:lang w:val="en-US" w:eastAsia="zh-CN"/>
        </w:rPr>
        <w:t>。</w:t>
      </w:r>
    </w:p>
    <w:p w14:paraId="1C159E2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14:paraId="0111F0A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通过举办新闻发布会、</w:t>
      </w:r>
      <w:r>
        <w:rPr>
          <w:rFonts w:hint="eastAsia" w:eastAsia="方正仿宋简体" w:cs="Times New Roman"/>
          <w:b/>
          <w:color w:val="000000"/>
          <w:sz w:val="32"/>
          <w:szCs w:val="32"/>
          <w:lang w:val="en-US" w:eastAsia="zh-CN"/>
        </w:rPr>
        <w:t>参加</w:t>
      </w:r>
      <w:r>
        <w:rPr>
          <w:rFonts w:hint="eastAsia" w:ascii="Times New Roman" w:hAnsi="Times New Roman" w:eastAsia="方正仿宋简体" w:cs="Times New Roman"/>
          <w:b/>
          <w:color w:val="000000"/>
          <w:sz w:val="32"/>
          <w:szCs w:val="32"/>
          <w:lang w:val="en-US" w:eastAsia="zh-CN"/>
        </w:rPr>
        <w:t>行风热线等活动，公开交通工程建设项目进展</w:t>
      </w:r>
      <w:r>
        <w:rPr>
          <w:rFonts w:hint="eastAsia" w:eastAsia="方正仿宋简体" w:cs="Times New Roman"/>
          <w:b/>
          <w:color w:val="000000"/>
          <w:sz w:val="32"/>
          <w:szCs w:val="32"/>
          <w:lang w:val="en-US" w:eastAsia="zh-CN"/>
        </w:rPr>
        <w:t>、公共交通出行</w:t>
      </w:r>
      <w:r>
        <w:rPr>
          <w:rFonts w:hint="eastAsia" w:ascii="Times New Roman" w:hAnsi="Times New Roman" w:eastAsia="方正仿宋简体" w:cs="Times New Roman"/>
          <w:b/>
          <w:color w:val="000000"/>
          <w:sz w:val="32"/>
          <w:szCs w:val="32"/>
          <w:lang w:val="en-US" w:eastAsia="zh-CN"/>
        </w:rPr>
        <w:t>等</w:t>
      </w:r>
      <w:r>
        <w:rPr>
          <w:rFonts w:hint="eastAsia" w:eastAsia="方正仿宋简体" w:cs="Times New Roman"/>
          <w:b/>
          <w:color w:val="000000"/>
          <w:sz w:val="32"/>
          <w:szCs w:val="32"/>
          <w:lang w:val="en-US" w:eastAsia="zh-CN"/>
        </w:rPr>
        <w:t>信息</w:t>
      </w:r>
      <w:r>
        <w:rPr>
          <w:rFonts w:hint="eastAsia" w:ascii="Times New Roman" w:hAnsi="Times New Roman" w:eastAsia="方正仿宋简体" w:cs="Times New Roman"/>
          <w:b/>
          <w:color w:val="000000"/>
          <w:sz w:val="32"/>
          <w:szCs w:val="32"/>
          <w:lang w:val="en-US" w:eastAsia="zh-CN"/>
        </w:rPr>
        <w:t>，加强与群众的互动和交流。</w:t>
      </w:r>
    </w:p>
    <w:p w14:paraId="04CA3E9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lang w:val="en-US" w:eastAsia="zh-CN"/>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r>
        <w:rPr>
          <w:rFonts w:hint="eastAsia" w:eastAsia="方正仿宋简体"/>
          <w:b/>
          <w:sz w:val="32"/>
          <w:szCs w:val="32"/>
          <w:lang w:val="en-US" w:eastAsia="zh-CN"/>
        </w:rPr>
        <w:t>无。</w:t>
      </w:r>
    </w:p>
    <w:p w14:paraId="1F06C67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sz w:val="32"/>
          <w:szCs w:val="32"/>
          <w:lang w:eastAsia="zh-CN"/>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p w14:paraId="1E91706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09C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CD309">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5CD309">
                    <w:pPr>
                      <w:pStyle w:val="3"/>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10FA6"/>
    <w:rsid w:val="049F5EA2"/>
    <w:rsid w:val="100D76D2"/>
    <w:rsid w:val="17435B46"/>
    <w:rsid w:val="2935790C"/>
    <w:rsid w:val="40DF3468"/>
    <w:rsid w:val="513903F2"/>
    <w:rsid w:val="593C0C4D"/>
    <w:rsid w:val="69246DB3"/>
    <w:rsid w:val="6D81404F"/>
    <w:rsid w:val="79110FA6"/>
    <w:rsid w:val="793A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2625</Words>
  <Characters>2727</Characters>
  <Lines>0</Lines>
  <Paragraphs>0</Paragraphs>
  <TotalTime>6</TotalTime>
  <ScaleCrop>false</ScaleCrop>
  <LinksUpToDate>false</LinksUpToDate>
  <CharactersWithSpaces>2727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2025-12-26T02:51:00Z</dcterms:created>
  <dc:creator>贾勇</dc:creator>
  <cp:lastModifiedBy>宓</cp:lastModifiedBy>
  <dcterms:modified xsi:type="dcterms:W3CDTF">2026-01-30T09:55:56Z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3C2215B4C65D4F8E86413C84270F2FBA_13</vt:lpwstr>
  </property>
  <property fmtid="{D5CDD505-2E9C-101B-9397-08002B2CF9AE}" pid="4" name="KSOTemplateDocerSaveRecord">
    <vt:lpwstr>eyJoZGlkIjoiYzY0MmRhNDEzNzNjMWFmNTFhMTBlZTI3OGE1NzJkNzIiLCJ1c2VySWQiOiIxMjcyMjg2ODg1In0=</vt:lpwstr>
  </property>
</Properties>
</file>