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b/>
          <w:bCs/>
          <w:color w:val="000000"/>
          <w:sz w:val="44"/>
          <w:szCs w:val="44"/>
        </w:rPr>
      </w:pPr>
      <w:r>
        <w:rPr>
          <w:rFonts w:hint="eastAsia" w:ascii="方正小标宋简体" w:eastAsia="方正小标宋简体"/>
          <w:b/>
          <w:bCs/>
          <w:color w:val="000000"/>
          <w:sz w:val="44"/>
          <w:szCs w:val="44"/>
        </w:rPr>
        <w:t>济宁市公安局兖州分局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b/>
          <w:bCs/>
          <w:color w:val="000000"/>
          <w:sz w:val="44"/>
          <w:szCs w:val="44"/>
        </w:rPr>
      </w:pPr>
      <w:r>
        <w:rPr>
          <w:rFonts w:hint="eastAsia" w:ascii="方正小标宋简体" w:eastAsia="方正小标宋简体"/>
          <w:b/>
          <w:bCs/>
          <w:color w:val="000000"/>
          <w:sz w:val="44"/>
          <w:szCs w:val="44"/>
        </w:rPr>
        <w:t>2024年政府信息公开工作年度报告</w:t>
      </w:r>
    </w:p>
    <w:p>
      <w:pPr>
        <w:spacing w:line="700" w:lineRule="exact"/>
        <w:jc w:val="center"/>
        <w:rPr>
          <w:rFonts w:hint="eastAsia" w:ascii="方正小标宋简体" w:eastAsia="方正小标宋简体"/>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本报告由济宁市公安局兖州分局按照《中华人民共和国政府信息公开条例》（以下简称《条例》）和《中华人民共和国政府信息公开工作年度报告格式》（国办公开办函〔2021〕30号）要求编制。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本报告所列数据的统计期限自2024年1月1日起至2024年12月31日止。本报告电子版可在“中国·兖州”政府门户网站（www.yanzhou.gov.cn）查阅或下载。如对本报告有疑问，请与济宁市公安局兖州分局政府信息公开领导小组办公室联系（联系地址：兖州区胜利东路1号，联系电话：0537—3446030、0537—3446000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2024年以来，济宁市公安局兖州分局认真贯彻区委、区政府关于政府信息公开工作各项决策部署，持续推进政务服务效能提升，从不断完善信息公开机制、创新公开方式、及时回应关切等方面努力提高公开质量，为推动公安工作高质量发展创造了优良的政务运行环境。重点</w:t>
      </w:r>
      <w:bookmarkStart w:id="1" w:name="_GoBack"/>
      <w:bookmarkEnd w:id="1"/>
      <w:r>
        <w:rPr>
          <w:rFonts w:hint="eastAsia" w:ascii="Times New Roman" w:hAnsi="Times New Roman" w:eastAsia="方正仿宋简体" w:cs="Times New Roman"/>
          <w:b/>
          <w:color w:val="000000"/>
          <w:sz w:val="32"/>
          <w:szCs w:val="32"/>
        </w:rPr>
        <w:t>抓好以下几方面工作：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lang w:eastAsia="zh-CN"/>
        </w:rPr>
      </w:pPr>
      <w:r>
        <w:rPr>
          <w:rFonts w:hint="eastAsia" w:ascii="方正楷体简体" w:hAnsi="方正楷体简体" w:eastAsia="方正楷体简体" w:cs="方正楷体简体"/>
          <w:b/>
          <w:color w:val="000000"/>
          <w:sz w:val="32"/>
          <w:szCs w:val="32"/>
        </w:rPr>
        <w:t>（一）主动公开</w:t>
      </w:r>
      <w:r>
        <w:rPr>
          <w:rFonts w:hint="eastAsia" w:ascii="方正楷体简体" w:hAnsi="方正楷体简体" w:eastAsia="方正楷体简体" w:cs="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济宁市公安局兖州分局坚持以制度建设为重点，加强组织领导、健全工作机制，丰富公开内容，依托兖州区政府</w:t>
      </w:r>
      <w:r>
        <w:rPr>
          <w:rFonts w:hint="eastAsia" w:eastAsia="方正仿宋简体" w:cs="Times New Roman"/>
          <w:b/>
          <w:color w:val="000000"/>
          <w:sz w:val="32"/>
          <w:szCs w:val="32"/>
          <w:lang w:eastAsia="zh-CN"/>
        </w:rPr>
        <w:t>门户网站</w:t>
      </w:r>
      <w:r>
        <w:rPr>
          <w:rFonts w:hint="eastAsia" w:ascii="Times New Roman" w:hAnsi="Times New Roman" w:eastAsia="方正仿宋简体" w:cs="Times New Roman"/>
          <w:b/>
          <w:color w:val="000000"/>
          <w:sz w:val="32"/>
          <w:szCs w:val="32"/>
        </w:rPr>
        <w:t>、“兖州公安”微信公众号等新闻媒体形式，及时主动公开机构职能、规划计划、业务工作、财政预算决算等各类政府信息。2024年，全年共主动公开政府信息870余条。其中通过兖州区政府信息公开平台发布政府信息90余条，微信公众号发布780余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lang w:eastAsia="zh-CN"/>
        </w:rPr>
      </w:pPr>
      <w:r>
        <w:rPr>
          <w:rFonts w:hint="eastAsia" w:ascii="方正楷体简体" w:hAnsi="方正楷体简体" w:eastAsia="方正楷体简体" w:cs="方正楷体简体"/>
          <w:b/>
          <w:color w:val="000000"/>
          <w:sz w:val="32"/>
          <w:szCs w:val="32"/>
        </w:rPr>
        <w:t>（二）依申请公开</w:t>
      </w:r>
      <w:r>
        <w:rPr>
          <w:rFonts w:hint="eastAsia" w:ascii="方正楷体简体" w:hAnsi="方正楷体简体" w:eastAsia="方正楷体简体" w:cs="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rPr>
        <w:t>济宁市公安局兖州分局高度重视政府信息依申请公开工作，严格按照《中华人民共和国政府信息公开条例》的规定，参照国务院办公厅政府信息公开申请办理答复有关规范，协调指导各业务部门进一步完善和细化政府信息依申请公开工作流程，优化受理、审查等环节，确保答复合法有据、准确及时。全年我局共受理政府信息公开申请19件。</w:t>
      </w:r>
      <w:r>
        <w:rPr>
          <w:rFonts w:hint="eastAsia" w:eastAsia="方正仿宋简体" w:cs="Times New Roman"/>
          <w:b/>
          <w:color w:val="000000"/>
          <w:sz w:val="32"/>
          <w:szCs w:val="32"/>
          <w:lang w:val="en-US" w:eastAsia="zh-CN"/>
        </w:rPr>
        <w:t>其中</w:t>
      </w:r>
      <w:r>
        <w:rPr>
          <w:rFonts w:hint="eastAsia" w:ascii="Times New Roman" w:hAnsi="Times New Roman" w:eastAsia="方正仿宋简体" w:cs="Times New Roman"/>
          <w:b/>
          <w:color w:val="000000"/>
          <w:sz w:val="32"/>
          <w:szCs w:val="32"/>
          <w:lang w:val="en-US" w:eastAsia="zh-CN"/>
        </w:rPr>
        <w:t>按时办结</w:t>
      </w:r>
      <w:r>
        <w:rPr>
          <w:rFonts w:hint="eastAsia" w:eastAsia="方正仿宋简体" w:cs="Times New Roman"/>
          <w:b/>
          <w:color w:val="000000"/>
          <w:sz w:val="32"/>
          <w:szCs w:val="32"/>
          <w:lang w:val="en-US" w:eastAsia="zh-CN"/>
        </w:rPr>
        <w:t>15件</w:t>
      </w:r>
      <w:r>
        <w:rPr>
          <w:rFonts w:hint="eastAsia" w:ascii="Times New Roman" w:hAnsi="Times New Roman" w:eastAsia="方正仿宋简体" w:cs="Times New Roman"/>
          <w:b/>
          <w:color w:val="000000"/>
          <w:sz w:val="32"/>
          <w:szCs w:val="32"/>
          <w:lang w:val="en-US" w:eastAsia="zh-CN"/>
        </w:rPr>
        <w:t>，</w:t>
      </w:r>
      <w:r>
        <w:rPr>
          <w:rFonts w:hint="eastAsia" w:eastAsia="方正仿宋简体" w:cs="Times New Roman"/>
          <w:b/>
          <w:color w:val="000000"/>
          <w:sz w:val="32"/>
          <w:szCs w:val="32"/>
          <w:lang w:val="en-US" w:eastAsia="zh-CN"/>
        </w:rPr>
        <w:t>4件结转下年继续办理。</w:t>
      </w:r>
      <w:r>
        <w:rPr>
          <w:rFonts w:hint="eastAsia" w:ascii="Times New Roman" w:hAnsi="Times New Roman" w:eastAsia="方正仿宋简体" w:cs="Times New Roman"/>
          <w:b/>
          <w:color w:val="000000"/>
          <w:sz w:val="32"/>
          <w:szCs w:val="32"/>
          <w:lang w:val="en-US" w:eastAsia="zh-CN"/>
        </w:rPr>
        <w:t>分局均未收取任何费用。</w:t>
      </w:r>
    </w:p>
    <w:p>
      <w:pPr>
        <w:ind w:firstLine="420" w:firstLineChars="200"/>
        <w:jc w:val="center"/>
        <w:rPr>
          <w:bCs/>
          <w:color w:val="000000"/>
        </w:rPr>
      </w:pPr>
      <w:r>
        <w:rPr>
          <w:rFonts w:hint="eastAsia"/>
          <w:bCs/>
          <w:color w:val="000000"/>
        </w:rPr>
        <w:drawing>
          <wp:inline distT="0" distB="0" distL="114300" distR="114300">
            <wp:extent cx="4062095" cy="3044825"/>
            <wp:effectExtent l="0" t="0" r="14605" b="3175"/>
            <wp:docPr id="3" name="图片 3" descr="依申请公开数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依申请公开数据图"/>
                    <pic:cNvPicPr>
                      <a:picLocks noChangeAspect="1"/>
                    </pic:cNvPicPr>
                  </pic:nvPicPr>
                  <pic:blipFill>
                    <a:blip r:embed="rId5" cstate="print"/>
                    <a:stretch>
                      <a:fillRect/>
                    </a:stretch>
                  </pic:blipFill>
                  <pic:spPr>
                    <a:xfrm>
                      <a:off x="0" y="0"/>
                      <a:ext cx="4062095" cy="3044825"/>
                    </a:xfrm>
                    <a:prstGeom prst="rect">
                      <a:avLst/>
                    </a:prstGeom>
                  </pic:spPr>
                </pic:pic>
              </a:graphicData>
            </a:graphic>
          </wp:inline>
        </w:drawing>
      </w:r>
    </w:p>
    <w:p>
      <w:pPr>
        <w:spacing w:line="560" w:lineRule="exact"/>
        <w:ind w:firstLine="640" w:firstLineChars="200"/>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lang w:eastAsia="zh-CN"/>
        </w:rPr>
      </w:pPr>
      <w:r>
        <w:rPr>
          <w:rFonts w:hint="eastAsia" w:ascii="方正楷体简体" w:hAnsi="方正楷体简体" w:eastAsia="方正楷体简体" w:cs="方正楷体简体"/>
          <w:b/>
          <w:color w:val="000000"/>
          <w:sz w:val="32"/>
          <w:szCs w:val="32"/>
        </w:rPr>
        <w:t>（三）政府信息管理</w:t>
      </w:r>
      <w:r>
        <w:rPr>
          <w:rFonts w:hint="eastAsia" w:ascii="方正楷体简体" w:hAnsi="方正楷体简体" w:eastAsia="方正楷体简体" w:cs="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公安分局将政务公开工作与业务工作同部署，制定了《济宁市公安局兖州分局关于进一步推进政务工作实施方案》，进一步细化主动公开内容，强化政府信息公开保密审查，将保密审查与信息发布等程序紧密结合，坚持“先审查后公开”和“一事一审”原则，确保涉密信息不公开，公开信息不涉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lang w:eastAsia="zh-CN"/>
        </w:rPr>
      </w:pPr>
      <w:r>
        <w:rPr>
          <w:rFonts w:hint="eastAsia" w:ascii="方正楷体简体" w:hAnsi="方正楷体简体" w:eastAsia="方正楷体简体" w:cs="方正楷体简体"/>
          <w:b/>
          <w:color w:val="000000"/>
          <w:sz w:val="32"/>
          <w:szCs w:val="32"/>
        </w:rPr>
        <w:t>（四）政府信息公开平台建设</w:t>
      </w:r>
      <w:r>
        <w:rPr>
          <w:rFonts w:hint="eastAsia" w:ascii="方正楷体简体" w:hAnsi="方正楷体简体" w:eastAsia="方正楷体简体" w:cs="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是认真做好区政府门户网站信息公开工作。根据工作要求和重点工作变化，优化法定主动公开内容，梳理调整政府信息公开指南，认真落实信息发布数据审核规程，及时更新网站信息。二是拓展信息公开渠道。积极适应融媒体发展新趋势新要求，将微博、微信公众号等平台作为政府信息公开的有效渠道加以推广应用，努力拓宽政府信息受众面，保障群众知情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lang w:eastAsia="zh-CN"/>
        </w:rPr>
      </w:pPr>
      <w:r>
        <w:rPr>
          <w:rFonts w:hint="eastAsia" w:ascii="方正楷体简体" w:hAnsi="方正楷体简体" w:eastAsia="方正楷体简体" w:cs="方正楷体简体"/>
          <w:b/>
          <w:color w:val="000000"/>
          <w:sz w:val="32"/>
          <w:szCs w:val="32"/>
        </w:rPr>
        <w:t>（五）监督保障</w:t>
      </w:r>
      <w:r>
        <w:rPr>
          <w:rFonts w:hint="eastAsia" w:ascii="方正楷体简体" w:hAnsi="方正楷体简体" w:eastAsia="方正楷体简体" w:cs="方正楷体简体"/>
          <w:b/>
          <w:color w:val="000000"/>
          <w:sz w:val="32"/>
          <w:szCs w:val="32"/>
          <w:lang w:eastAsia="zh-CN"/>
        </w:rPr>
        <w:t>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eastAsia="方正仿宋简体"/>
          <w:color w:val="000000"/>
          <w:sz w:val="32"/>
          <w:szCs w:val="32"/>
        </w:rPr>
      </w:pPr>
      <w:r>
        <w:rPr>
          <w:rFonts w:hint="eastAsia" w:ascii="Times New Roman" w:hAnsi="Times New Roman" w:eastAsia="方正仿宋简体" w:cs="Times New Roman"/>
          <w:b/>
          <w:color w:val="000000"/>
          <w:sz w:val="32"/>
          <w:szCs w:val="32"/>
        </w:rPr>
        <w:t>一是持续完善政务公开工作机制，扎实开展自查和常态考核工作，指定专人负责政府信息公开具体工作，认真督促相关警种部门及时发布政务信息、办理依申请公开答复。二是持续优化信息审核流程、严格遵守“谁公开谁审查、谁审查谁负责”、“先审查后公开”和“一事一审”的原则对拟发布内容从事实准确性、语言规范性、保密安全性等多维度把关，确保政府信息公开工作安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黑体简体" w:cs="Times New Roman"/>
          <w:b/>
          <w:color w:val="000000"/>
          <w:sz w:val="32"/>
          <w:szCs w:val="32"/>
        </w:rPr>
      </w:pPr>
      <w:r>
        <w:rPr>
          <w:rFonts w:hint="eastAsia" w:ascii="Times New Roman" w:hAnsi="Times New Roman" w:eastAsia="方正黑体简体" w:cs="Times New Roman"/>
          <w:b/>
          <w:color w:val="000000"/>
          <w:sz w:val="32"/>
          <w:szCs w:val="32"/>
          <w:lang w:eastAsia="zh-CN"/>
        </w:rPr>
        <w:t>二、</w:t>
      </w:r>
      <w:r>
        <w:rPr>
          <w:rFonts w:hint="eastAsia" w:ascii="Times New Roman" w:hAnsi="Times New Roman" w:eastAsia="方正黑体简体" w:cs="Times New Roman"/>
          <w:b/>
          <w:color w:val="000000"/>
          <w:sz w:val="32"/>
          <w:szCs w:val="32"/>
        </w:rPr>
        <w:t>主动公开政府信息情况</w:t>
      </w:r>
    </w:p>
    <w:tbl>
      <w:tblPr>
        <w:tblStyle w:val="7"/>
        <w:tblW w:w="4999" w:type="pct"/>
        <w:tblInd w:w="0" w:type="dxa"/>
        <w:tblLayout w:type="autofit"/>
        <w:tblCellMar>
          <w:top w:w="0" w:type="dxa"/>
          <w:left w:w="108" w:type="dxa"/>
          <w:bottom w:w="0" w:type="dxa"/>
          <w:right w:w="108" w:type="dxa"/>
        </w:tblCellMar>
      </w:tblPr>
      <w:tblGrid>
        <w:gridCol w:w="2238"/>
        <w:gridCol w:w="2240"/>
        <w:gridCol w:w="2240"/>
        <w:gridCol w:w="2250"/>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eastAsia="黑体" w:cs="宋体"/>
                <w:color w:val="000000"/>
                <w:kern w:val="0"/>
                <w:szCs w:val="21"/>
              </w:rPr>
            </w:pPr>
            <w:r>
              <w:rPr>
                <w:rFonts w:hint="eastAsia"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信息内容</w:t>
            </w:r>
          </w:p>
        </w:tc>
        <w:tc>
          <w:tcPr>
            <w:tcW w:w="1249" w:type="pct"/>
            <w:tcBorders>
              <w:top w:val="nil"/>
              <w:left w:val="nil"/>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本年制发件数</w:t>
            </w:r>
          </w:p>
        </w:tc>
        <w:tc>
          <w:tcPr>
            <w:tcW w:w="1249" w:type="pct"/>
            <w:tcBorders>
              <w:top w:val="nil"/>
              <w:left w:val="nil"/>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本年废止件数</w:t>
            </w:r>
          </w:p>
        </w:tc>
        <w:tc>
          <w:tcPr>
            <w:tcW w:w="1252" w:type="pct"/>
            <w:tcBorders>
              <w:top w:val="nil"/>
              <w:left w:val="nil"/>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48" w:type="pct"/>
            <w:tcBorders>
              <w:top w:val="single" w:color="auto" w:sz="8" w:space="0"/>
              <w:left w:val="single" w:color="auto" w:sz="8" w:space="0"/>
              <w:bottom w:val="single" w:color="auto" w:sz="8" w:space="0"/>
              <w:right w:val="single" w:color="auto" w:sz="4" w:space="0"/>
            </w:tcBorders>
            <w:vAlign w:val="center"/>
          </w:tcPr>
          <w:p>
            <w:pPr>
              <w:widowControl/>
              <w:jc w:val="left"/>
              <w:rPr>
                <w:rFonts w:eastAsia="仿宋_GB2312" w:cs="宋体"/>
                <w:color w:val="000000"/>
                <w:kern w:val="0"/>
                <w:szCs w:val="21"/>
              </w:rPr>
            </w:pPr>
            <w:r>
              <w:rPr>
                <w:rFonts w:hint="eastAsia" w:eastAsia="仿宋_GB2312" w:cs="宋体"/>
                <w:color w:val="000000"/>
                <w:kern w:val="0"/>
                <w:szCs w:val="21"/>
              </w:rPr>
              <w:t>规章</w:t>
            </w:r>
          </w:p>
        </w:tc>
        <w:tc>
          <w:tcPr>
            <w:tcW w:w="1249" w:type="pct"/>
            <w:tcBorders>
              <w:top w:val="single" w:color="auto" w:sz="8" w:space="0"/>
              <w:left w:val="single" w:color="auto" w:sz="4" w:space="0"/>
              <w:bottom w:val="single" w:color="auto" w:sz="8" w:space="0"/>
              <w:right w:val="single" w:color="auto" w:sz="4"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0</w:t>
            </w:r>
          </w:p>
        </w:tc>
        <w:tc>
          <w:tcPr>
            <w:tcW w:w="1249" w:type="pct"/>
            <w:tcBorders>
              <w:top w:val="single" w:color="auto" w:sz="8" w:space="0"/>
              <w:left w:val="single" w:color="auto" w:sz="4" w:space="0"/>
              <w:bottom w:val="single" w:color="auto" w:sz="8" w:space="0"/>
              <w:right w:val="single" w:color="auto" w:sz="4"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0</w:t>
            </w:r>
          </w:p>
        </w:tc>
        <w:tc>
          <w:tcPr>
            <w:tcW w:w="1252" w:type="pct"/>
            <w:tcBorders>
              <w:top w:val="single" w:color="auto" w:sz="8" w:space="0"/>
              <w:left w:val="single" w:color="auto" w:sz="4" w:space="0"/>
              <w:bottom w:val="single" w:color="auto" w:sz="8" w:space="0"/>
              <w:right w:val="single" w:color="auto" w:sz="8" w:space="0"/>
            </w:tcBorders>
            <w:vAlign w:val="center"/>
          </w:tcPr>
          <w:p>
            <w:pPr>
              <w:widowControl/>
              <w:jc w:val="center"/>
              <w:rPr>
                <w:rFonts w:eastAsia="仿宋_GB2312" w:cs="Calibri"/>
                <w:color w:val="000000"/>
                <w:kern w:val="0"/>
                <w:szCs w:val="21"/>
              </w:rPr>
            </w:pPr>
            <w:r>
              <w:rPr>
                <w:rFonts w:hint="eastAsia"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1248" w:type="pct"/>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cs="宋体"/>
                <w:color w:val="000000"/>
                <w:kern w:val="0"/>
                <w:szCs w:val="21"/>
              </w:rPr>
            </w:pPr>
            <w:r>
              <w:rPr>
                <w:rFonts w:hint="eastAsia" w:eastAsia="仿宋_GB2312" w:cs="宋体"/>
                <w:color w:val="000000"/>
                <w:kern w:val="0"/>
                <w:szCs w:val="21"/>
              </w:rPr>
              <w:t>行政规范性文件</w:t>
            </w:r>
          </w:p>
        </w:tc>
        <w:tc>
          <w:tcPr>
            <w:tcW w:w="1249" w:type="pct"/>
            <w:tcBorders>
              <w:top w:val="single" w:color="auto" w:sz="8" w:space="0"/>
              <w:left w:val="nil"/>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0</w:t>
            </w:r>
          </w:p>
        </w:tc>
        <w:tc>
          <w:tcPr>
            <w:tcW w:w="1249" w:type="pct"/>
            <w:tcBorders>
              <w:top w:val="single" w:color="auto" w:sz="8" w:space="0"/>
              <w:left w:val="nil"/>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0</w:t>
            </w:r>
          </w:p>
        </w:tc>
        <w:tc>
          <w:tcPr>
            <w:tcW w:w="1252" w:type="pct"/>
            <w:tcBorders>
              <w:top w:val="single" w:color="auto" w:sz="8" w:space="0"/>
              <w:left w:val="nil"/>
              <w:bottom w:val="single" w:color="auto" w:sz="8" w:space="0"/>
              <w:right w:val="single" w:color="auto" w:sz="8" w:space="0"/>
            </w:tcBorders>
            <w:vAlign w:val="center"/>
          </w:tcPr>
          <w:p>
            <w:pPr>
              <w:widowControl/>
              <w:jc w:val="center"/>
              <w:rPr>
                <w:rFonts w:eastAsia="仿宋_GB2312" w:cs="Calibri"/>
                <w:color w:val="000000"/>
                <w:kern w:val="0"/>
                <w:szCs w:val="21"/>
              </w:rPr>
            </w:pPr>
            <w:r>
              <w:rPr>
                <w:rFonts w:hint="eastAsia"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eastAsia="黑体" w:cs="宋体"/>
                <w:color w:val="000000"/>
                <w:kern w:val="0"/>
                <w:szCs w:val="21"/>
              </w:rPr>
            </w:pPr>
            <w:r>
              <w:rPr>
                <w:rFonts w:hint="eastAsia"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left"/>
              <w:rPr>
                <w:rFonts w:eastAsia="仿宋_GB2312" w:cs="宋体"/>
                <w:color w:val="000000"/>
                <w:kern w:val="0"/>
                <w:szCs w:val="21"/>
              </w:rPr>
            </w:pPr>
            <w:r>
              <w:rPr>
                <w:rFonts w:hint="eastAsia" w:eastAsia="仿宋_GB2312" w:cs="宋体"/>
                <w:color w:val="000000"/>
                <w:kern w:val="0"/>
                <w:szCs w:val="21"/>
              </w:rPr>
              <w:t>行政许可</w:t>
            </w:r>
          </w:p>
        </w:tc>
        <w:tc>
          <w:tcPr>
            <w:tcW w:w="3751" w:type="pct"/>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s="Calibri"/>
                <w:color w:val="000000"/>
                <w:kern w:val="0"/>
                <w:szCs w:val="21"/>
              </w:rPr>
            </w:pPr>
            <w:r>
              <w:rPr>
                <w:rFonts w:hint="eastAsia" w:eastAsia="仿宋_GB2312" w:cs="Calibri"/>
                <w:color w:val="000000"/>
                <w:kern w:val="0"/>
                <w:szCs w:val="21"/>
              </w:rPr>
              <w:t>151461</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eastAsia="黑体" w:cs="宋体"/>
                <w:color w:val="000000"/>
                <w:kern w:val="0"/>
                <w:szCs w:val="21"/>
              </w:rPr>
            </w:pPr>
            <w:r>
              <w:rPr>
                <w:rFonts w:hint="eastAsia"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left"/>
              <w:rPr>
                <w:rFonts w:eastAsia="仿宋_GB2312" w:cs="宋体"/>
                <w:color w:val="000000"/>
                <w:kern w:val="0"/>
                <w:szCs w:val="21"/>
              </w:rPr>
            </w:pPr>
            <w:r>
              <w:rPr>
                <w:rFonts w:hint="eastAsia" w:eastAsia="仿宋_GB2312" w:cs="宋体"/>
                <w:color w:val="000000"/>
                <w:kern w:val="0"/>
                <w:szCs w:val="21"/>
              </w:rPr>
              <w:t>行政处罚</w:t>
            </w:r>
          </w:p>
        </w:tc>
        <w:tc>
          <w:tcPr>
            <w:tcW w:w="3751" w:type="pct"/>
            <w:gridSpan w:val="3"/>
            <w:tcBorders>
              <w:top w:val="single" w:color="auto" w:sz="8" w:space="0"/>
              <w:left w:val="nil"/>
              <w:bottom w:val="single" w:color="auto" w:sz="8" w:space="0"/>
              <w:right w:val="single" w:color="000000" w:sz="8" w:space="0"/>
            </w:tcBorders>
            <w:vAlign w:val="center"/>
          </w:tcPr>
          <w:p>
            <w:pPr>
              <w:widowControl/>
              <w:tabs>
                <w:tab w:val="center" w:pos="3247"/>
              </w:tabs>
              <w:jc w:val="center"/>
              <w:rPr>
                <w:rFonts w:eastAsia="仿宋_GB2312" w:cs="宋体"/>
                <w:color w:val="000000"/>
                <w:kern w:val="0"/>
                <w:szCs w:val="21"/>
              </w:rPr>
            </w:pPr>
            <w:r>
              <w:rPr>
                <w:rFonts w:hint="eastAsia" w:eastAsia="仿宋_GB2312" w:cs="宋体"/>
                <w:color w:val="000000"/>
                <w:kern w:val="0"/>
                <w:szCs w:val="21"/>
              </w:rPr>
              <w:t>2536</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left"/>
              <w:rPr>
                <w:rFonts w:eastAsia="仿宋_GB2312" w:cs="宋体"/>
                <w:color w:val="000000"/>
                <w:kern w:val="0"/>
                <w:szCs w:val="21"/>
              </w:rPr>
            </w:pPr>
            <w:r>
              <w:rPr>
                <w:rFonts w:hint="eastAsia" w:eastAsia="仿宋_GB2312" w:cs="宋体"/>
                <w:color w:val="000000"/>
                <w:kern w:val="0"/>
                <w:szCs w:val="21"/>
              </w:rPr>
              <w:t>行政强制</w:t>
            </w:r>
          </w:p>
        </w:tc>
        <w:tc>
          <w:tcPr>
            <w:tcW w:w="3751" w:type="pct"/>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344</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eastAsia="黑体" w:cs="宋体"/>
                <w:color w:val="000000"/>
                <w:kern w:val="0"/>
                <w:szCs w:val="21"/>
              </w:rPr>
            </w:pPr>
            <w:r>
              <w:rPr>
                <w:rFonts w:hint="eastAsia"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信息内容</w:t>
            </w:r>
          </w:p>
        </w:tc>
        <w:tc>
          <w:tcPr>
            <w:tcW w:w="3751" w:type="pct"/>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s="宋体"/>
                <w:color w:val="000000"/>
                <w:kern w:val="0"/>
                <w:szCs w:val="21"/>
              </w:rPr>
            </w:pPr>
            <w:r>
              <w:rPr>
                <w:rFonts w:hint="eastAsia"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48" w:type="pct"/>
            <w:tcBorders>
              <w:top w:val="nil"/>
              <w:left w:val="single" w:color="auto" w:sz="8" w:space="0"/>
              <w:bottom w:val="single" w:color="auto" w:sz="8" w:space="0"/>
              <w:right w:val="single" w:color="auto" w:sz="8" w:space="0"/>
            </w:tcBorders>
            <w:vAlign w:val="center"/>
          </w:tcPr>
          <w:p>
            <w:pPr>
              <w:widowControl/>
              <w:jc w:val="left"/>
              <w:rPr>
                <w:rFonts w:eastAsia="仿宋_GB2312" w:cs="宋体"/>
                <w:color w:val="000000"/>
                <w:kern w:val="0"/>
                <w:szCs w:val="21"/>
              </w:rPr>
            </w:pPr>
            <w:r>
              <w:rPr>
                <w:rFonts w:hint="eastAsia" w:eastAsia="仿宋_GB2312" w:cs="宋体"/>
                <w:color w:val="000000"/>
                <w:kern w:val="0"/>
                <w:szCs w:val="21"/>
              </w:rPr>
              <w:t>行政事业性收费</w:t>
            </w:r>
          </w:p>
        </w:tc>
        <w:tc>
          <w:tcPr>
            <w:tcW w:w="3751" w:type="pct"/>
            <w:gridSpan w:val="3"/>
            <w:tcBorders>
              <w:top w:val="single" w:color="auto" w:sz="8" w:space="0"/>
              <w:left w:val="nil"/>
              <w:bottom w:val="single" w:color="auto" w:sz="8" w:space="0"/>
              <w:right w:val="single" w:color="000000" w:sz="8" w:space="0"/>
            </w:tcBorders>
            <w:vAlign w:val="center"/>
          </w:tcPr>
          <w:p>
            <w:pPr>
              <w:widowControl/>
              <w:jc w:val="center"/>
              <w:rPr>
                <w:rFonts w:eastAsia="仿宋_GB2312" w:cs="Calibri"/>
                <w:color w:val="000000"/>
                <w:kern w:val="0"/>
                <w:szCs w:val="21"/>
              </w:rPr>
            </w:pPr>
            <w:r>
              <w:rPr>
                <w:rFonts w:hint="eastAsia" w:eastAsia="仿宋_GB2312" w:cs="Calibri"/>
                <w:color w:val="000000"/>
                <w:kern w:val="0"/>
                <w:szCs w:val="21"/>
              </w:rPr>
              <w:t>4.165</w:t>
            </w:r>
          </w:p>
        </w:tc>
      </w:tr>
    </w:tbl>
    <w:p>
      <w:pPr>
        <w:spacing w:line="560" w:lineRule="exact"/>
        <w:rPr>
          <w:rFonts w:eastAsia="方正黑体简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黑体简体" w:cs="Times New Roman"/>
          <w:b/>
          <w:color w:val="000000"/>
          <w:sz w:val="32"/>
          <w:szCs w:val="32"/>
          <w:lang w:eastAsia="zh-CN"/>
        </w:rPr>
      </w:pPr>
      <w:r>
        <w:rPr>
          <w:rFonts w:hint="eastAsia" w:ascii="Times New Roman" w:hAnsi="Times New Roman" w:eastAsia="方正黑体简体" w:cs="Times New Roman"/>
          <w:b/>
          <w:color w:val="000000"/>
          <w:sz w:val="32"/>
          <w:szCs w:val="32"/>
          <w:lang w:eastAsia="zh-CN"/>
        </w:rPr>
        <w:t>三、收到和处理政府信息公开申请情况</w:t>
      </w:r>
    </w:p>
    <w:tbl>
      <w:tblPr>
        <w:tblStyle w:val="7"/>
        <w:tblpPr w:leftFromText="180" w:rightFromText="180" w:vertAnchor="text" w:horzAnchor="page" w:tblpX="1092" w:tblpY="296"/>
        <w:tblOverlap w:val="never"/>
        <w:tblW w:w="991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5093" w:type="dxa"/>
            <w:gridSpan w:val="3"/>
            <w:vMerge w:val="restart"/>
            <w:tcMar>
              <w:left w:w="108" w:type="dxa"/>
              <w:right w:w="108" w:type="dxa"/>
            </w:tcMar>
            <w:vAlign w:val="center"/>
          </w:tcPr>
          <w:p>
            <w:pPr>
              <w:widowControl/>
              <w:jc w:val="center"/>
              <w:rPr>
                <w:rFonts w:eastAsia="楷体_GB2312"/>
                <w:color w:val="000000"/>
                <w:kern w:val="0"/>
                <w:szCs w:val="21"/>
              </w:rPr>
            </w:pPr>
            <w:r>
              <w:rPr>
                <w:rFonts w:hint="eastAsia" w:eastAsia="楷体_GB2312"/>
                <w:color w:val="000000"/>
                <w:kern w:val="0"/>
                <w:szCs w:val="21"/>
              </w:rPr>
              <w:t>（本列数据的勾稽关系为：第一项加第二项之和，</w:t>
            </w:r>
          </w:p>
          <w:p>
            <w:pPr>
              <w:widowControl/>
              <w:jc w:val="center"/>
              <w:rPr>
                <w:rFonts w:eastAsia="仿宋_GB2312"/>
                <w:color w:val="000000"/>
                <w:szCs w:val="21"/>
              </w:rPr>
            </w:pPr>
            <w:r>
              <w:rPr>
                <w:rFonts w:hint="eastAsia" w:eastAsia="楷体_GB2312"/>
                <w:color w:val="000000"/>
                <w:kern w:val="0"/>
                <w:szCs w:val="21"/>
              </w:rPr>
              <w:t>等于第三项加第四项之和）</w:t>
            </w:r>
          </w:p>
        </w:tc>
        <w:tc>
          <w:tcPr>
            <w:tcW w:w="4820" w:type="dxa"/>
            <w:gridSpan w:val="7"/>
            <w:tcMar>
              <w:left w:w="108" w:type="dxa"/>
              <w:right w:w="108" w:type="dxa"/>
            </w:tcMar>
            <w:vAlign w:val="center"/>
          </w:tcPr>
          <w:p>
            <w:pPr>
              <w:widowControl/>
              <w:spacing w:line="320" w:lineRule="exact"/>
              <w:jc w:val="center"/>
              <w:rPr>
                <w:rFonts w:eastAsia="黑体"/>
                <w:color w:val="000000"/>
                <w:szCs w:val="21"/>
              </w:rPr>
            </w:pPr>
            <w:r>
              <w:rPr>
                <w:rFonts w:hint="eastAsia" w:eastAsia="黑体"/>
                <w:color w:val="000000"/>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5093" w:type="dxa"/>
            <w:gridSpan w:val="3"/>
            <w:vMerge w:val="continue"/>
            <w:tcMar>
              <w:left w:w="108" w:type="dxa"/>
              <w:right w:w="108" w:type="dxa"/>
            </w:tcMar>
            <w:vAlign w:val="center"/>
          </w:tcPr>
          <w:p>
            <w:pPr>
              <w:jc w:val="center"/>
              <w:rPr>
                <w:rFonts w:eastAsia="仿宋_GB2312"/>
                <w:color w:val="000000"/>
                <w:szCs w:val="21"/>
              </w:rPr>
            </w:pPr>
          </w:p>
        </w:tc>
        <w:tc>
          <w:tcPr>
            <w:tcW w:w="829" w:type="dxa"/>
            <w:vMerge w:val="restart"/>
            <w:tcMar>
              <w:left w:w="108" w:type="dxa"/>
              <w:right w:w="108" w:type="dxa"/>
            </w:tcMar>
            <w:vAlign w:val="center"/>
          </w:tcPr>
          <w:p>
            <w:pPr>
              <w:widowControl/>
              <w:jc w:val="center"/>
              <w:rPr>
                <w:rFonts w:eastAsia="黑体"/>
                <w:color w:val="000000"/>
                <w:szCs w:val="21"/>
              </w:rPr>
            </w:pPr>
            <w:r>
              <w:rPr>
                <w:rFonts w:hint="eastAsia" w:eastAsia="黑体"/>
                <w:color w:val="000000"/>
                <w:kern w:val="0"/>
                <w:szCs w:val="21"/>
              </w:rPr>
              <w:t>自然人</w:t>
            </w:r>
          </w:p>
        </w:tc>
        <w:tc>
          <w:tcPr>
            <w:tcW w:w="3140" w:type="dxa"/>
            <w:gridSpan w:val="5"/>
            <w:tcMar>
              <w:left w:w="108" w:type="dxa"/>
              <w:right w:w="108" w:type="dxa"/>
            </w:tcMar>
            <w:vAlign w:val="center"/>
          </w:tcPr>
          <w:p>
            <w:pPr>
              <w:widowControl/>
              <w:spacing w:line="320" w:lineRule="exact"/>
              <w:jc w:val="center"/>
              <w:rPr>
                <w:rFonts w:eastAsia="黑体"/>
                <w:color w:val="000000"/>
                <w:szCs w:val="21"/>
              </w:rPr>
            </w:pPr>
            <w:r>
              <w:rPr>
                <w:rFonts w:hint="eastAsia" w:eastAsia="黑体"/>
                <w:color w:val="000000"/>
                <w:kern w:val="0"/>
                <w:szCs w:val="21"/>
              </w:rPr>
              <w:t>法人或其他组织</w:t>
            </w:r>
          </w:p>
        </w:tc>
        <w:tc>
          <w:tcPr>
            <w:tcW w:w="851" w:type="dxa"/>
            <w:vMerge w:val="restart"/>
            <w:tcMar>
              <w:left w:w="108" w:type="dxa"/>
              <w:right w:w="108" w:type="dxa"/>
            </w:tcMar>
            <w:vAlign w:val="center"/>
          </w:tcPr>
          <w:p>
            <w:pPr>
              <w:widowControl/>
              <w:jc w:val="center"/>
              <w:rPr>
                <w:rFonts w:eastAsia="黑体"/>
                <w:color w:val="000000"/>
                <w:szCs w:val="21"/>
              </w:rPr>
            </w:pPr>
            <w:r>
              <w:rPr>
                <w:rFonts w:hint="eastAsia" w:eastAsia="黑体"/>
                <w:color w:val="000000"/>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5093" w:type="dxa"/>
            <w:gridSpan w:val="3"/>
            <w:vMerge w:val="continue"/>
            <w:tcMar>
              <w:left w:w="108" w:type="dxa"/>
              <w:right w:w="108" w:type="dxa"/>
            </w:tcMar>
            <w:vAlign w:val="center"/>
          </w:tcPr>
          <w:p>
            <w:pPr>
              <w:jc w:val="center"/>
              <w:rPr>
                <w:rFonts w:eastAsia="仿宋_GB2312"/>
                <w:color w:val="000000"/>
                <w:szCs w:val="21"/>
              </w:rPr>
            </w:pPr>
          </w:p>
        </w:tc>
        <w:tc>
          <w:tcPr>
            <w:tcW w:w="829" w:type="dxa"/>
            <w:vMerge w:val="continue"/>
            <w:tcMar>
              <w:left w:w="108" w:type="dxa"/>
              <w:right w:w="108" w:type="dxa"/>
            </w:tcMar>
            <w:vAlign w:val="center"/>
          </w:tcPr>
          <w:p>
            <w:pPr>
              <w:jc w:val="center"/>
              <w:rPr>
                <w:rFonts w:eastAsia="黑体"/>
                <w:color w:val="000000"/>
                <w:szCs w:val="21"/>
              </w:rPr>
            </w:pPr>
          </w:p>
        </w:tc>
        <w:tc>
          <w:tcPr>
            <w:tcW w:w="567" w:type="dxa"/>
            <w:tcMar>
              <w:left w:w="108" w:type="dxa"/>
              <w:right w:w="108" w:type="dxa"/>
            </w:tcMar>
            <w:vAlign w:val="center"/>
          </w:tcPr>
          <w:p>
            <w:pPr>
              <w:widowControl/>
              <w:spacing w:line="320" w:lineRule="exact"/>
              <w:ind w:left="-106" w:leftChars="-51" w:right="-107" w:rightChars="-51" w:hanging="1"/>
              <w:jc w:val="center"/>
              <w:rPr>
                <w:rFonts w:eastAsia="黑体"/>
                <w:color w:val="000000"/>
                <w:szCs w:val="21"/>
              </w:rPr>
            </w:pPr>
            <w:r>
              <w:rPr>
                <w:rFonts w:hint="eastAsia" w:eastAsia="黑体"/>
                <w:color w:val="000000"/>
                <w:kern w:val="0"/>
                <w:szCs w:val="21"/>
              </w:rPr>
              <w:t>商业企业</w:t>
            </w:r>
          </w:p>
        </w:tc>
        <w:tc>
          <w:tcPr>
            <w:tcW w:w="567" w:type="dxa"/>
            <w:tcMar>
              <w:left w:w="108" w:type="dxa"/>
              <w:right w:w="108" w:type="dxa"/>
            </w:tcMar>
            <w:vAlign w:val="center"/>
          </w:tcPr>
          <w:p>
            <w:pPr>
              <w:widowControl/>
              <w:spacing w:line="320" w:lineRule="exact"/>
              <w:ind w:left="-107" w:leftChars="-51" w:right="-107" w:rightChars="-51"/>
              <w:jc w:val="center"/>
              <w:rPr>
                <w:rFonts w:eastAsia="黑体"/>
                <w:color w:val="000000"/>
                <w:szCs w:val="21"/>
              </w:rPr>
            </w:pPr>
            <w:r>
              <w:rPr>
                <w:rFonts w:hint="eastAsia" w:eastAsia="黑体"/>
                <w:color w:val="000000"/>
                <w:kern w:val="0"/>
                <w:szCs w:val="21"/>
              </w:rPr>
              <w:t>科研机构</w:t>
            </w:r>
          </w:p>
        </w:tc>
        <w:tc>
          <w:tcPr>
            <w:tcW w:w="731" w:type="dxa"/>
            <w:tcMar>
              <w:left w:w="108" w:type="dxa"/>
              <w:right w:w="108" w:type="dxa"/>
            </w:tcMar>
            <w:vAlign w:val="center"/>
          </w:tcPr>
          <w:p>
            <w:pPr>
              <w:widowControl/>
              <w:spacing w:line="320" w:lineRule="exact"/>
              <w:ind w:left="-107" w:leftChars="-51" w:right="-107" w:rightChars="-51"/>
              <w:jc w:val="center"/>
              <w:rPr>
                <w:rFonts w:eastAsia="黑体"/>
                <w:color w:val="000000"/>
                <w:szCs w:val="21"/>
              </w:rPr>
            </w:pPr>
            <w:r>
              <w:rPr>
                <w:rFonts w:hint="eastAsia" w:eastAsia="黑体"/>
                <w:color w:val="000000"/>
                <w:kern w:val="0"/>
                <w:szCs w:val="21"/>
              </w:rPr>
              <w:t>社会公益组织</w:t>
            </w:r>
          </w:p>
        </w:tc>
        <w:tc>
          <w:tcPr>
            <w:tcW w:w="708" w:type="dxa"/>
            <w:tcMar>
              <w:left w:w="108" w:type="dxa"/>
              <w:right w:w="108" w:type="dxa"/>
            </w:tcMar>
            <w:vAlign w:val="center"/>
          </w:tcPr>
          <w:p>
            <w:pPr>
              <w:widowControl/>
              <w:spacing w:line="320" w:lineRule="exact"/>
              <w:ind w:left="-106" w:leftChars="-51" w:right="-107" w:rightChars="-51" w:hanging="1"/>
              <w:jc w:val="center"/>
              <w:rPr>
                <w:rFonts w:eastAsia="黑体"/>
                <w:color w:val="000000"/>
                <w:szCs w:val="21"/>
              </w:rPr>
            </w:pPr>
            <w:r>
              <w:rPr>
                <w:rFonts w:hint="eastAsia" w:eastAsia="黑体"/>
                <w:color w:val="000000"/>
                <w:kern w:val="0"/>
                <w:szCs w:val="21"/>
              </w:rPr>
              <w:t>法律服务机构</w:t>
            </w:r>
          </w:p>
        </w:tc>
        <w:tc>
          <w:tcPr>
            <w:tcW w:w="567" w:type="dxa"/>
            <w:tcMar>
              <w:left w:w="108" w:type="dxa"/>
              <w:right w:w="108" w:type="dxa"/>
            </w:tcMar>
            <w:vAlign w:val="center"/>
          </w:tcPr>
          <w:p>
            <w:pPr>
              <w:widowControl/>
              <w:spacing w:line="360" w:lineRule="exact"/>
              <w:ind w:left="-63" w:leftChars="-30" w:right="-134" w:rightChars="-64"/>
              <w:jc w:val="center"/>
              <w:rPr>
                <w:rFonts w:eastAsia="黑体"/>
                <w:color w:val="000000"/>
                <w:szCs w:val="21"/>
              </w:rPr>
            </w:pPr>
            <w:r>
              <w:rPr>
                <w:rFonts w:hint="eastAsia" w:eastAsia="黑体"/>
                <w:color w:val="000000"/>
                <w:kern w:val="0"/>
                <w:szCs w:val="21"/>
              </w:rPr>
              <w:t>其他</w:t>
            </w:r>
          </w:p>
        </w:tc>
        <w:tc>
          <w:tcPr>
            <w:tcW w:w="851" w:type="dxa"/>
            <w:vMerge w:val="continue"/>
            <w:tcMar>
              <w:left w:w="108" w:type="dxa"/>
              <w:right w:w="108" w:type="dxa"/>
            </w:tcMar>
            <w:vAlign w:val="center"/>
          </w:tcPr>
          <w:p>
            <w:pPr>
              <w:jc w:val="center"/>
              <w:rPr>
                <w:rFonts w:eastAsia="仿宋_GB2312"/>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tcMar>
              <w:left w:w="108" w:type="dxa"/>
              <w:right w:w="108" w:type="dxa"/>
            </w:tcMar>
            <w:vAlign w:val="center"/>
          </w:tcPr>
          <w:p>
            <w:pPr>
              <w:widowControl/>
              <w:rPr>
                <w:rFonts w:eastAsia="黑体"/>
                <w:color w:val="000000"/>
                <w:szCs w:val="21"/>
              </w:rPr>
            </w:pPr>
            <w:r>
              <w:rPr>
                <w:rFonts w:hint="eastAsia" w:eastAsia="黑体"/>
                <w:color w:val="000000"/>
                <w:kern w:val="0"/>
                <w:szCs w:val="21"/>
              </w:rPr>
              <w:t>一、本年新收政府信息公开申请数量</w:t>
            </w:r>
          </w:p>
        </w:tc>
        <w:tc>
          <w:tcPr>
            <w:tcW w:w="829"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19</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093" w:type="dxa"/>
            <w:gridSpan w:val="3"/>
            <w:tcMar>
              <w:left w:w="108" w:type="dxa"/>
              <w:right w:w="108" w:type="dxa"/>
            </w:tcMar>
            <w:vAlign w:val="center"/>
          </w:tcPr>
          <w:p>
            <w:pPr>
              <w:widowControl/>
              <w:rPr>
                <w:rFonts w:eastAsia="黑体"/>
                <w:color w:val="000000"/>
                <w:szCs w:val="21"/>
              </w:rPr>
            </w:pPr>
            <w:r>
              <w:rPr>
                <w:rFonts w:hint="eastAsia" w:eastAsia="黑体"/>
                <w:color w:val="000000"/>
                <w:kern w:val="0"/>
                <w:szCs w:val="21"/>
              </w:rPr>
              <w:t>二、上年结转政府信息公开申请数量</w:t>
            </w:r>
          </w:p>
        </w:tc>
        <w:tc>
          <w:tcPr>
            <w:tcW w:w="829"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restart"/>
            <w:tcMar>
              <w:left w:w="108" w:type="dxa"/>
              <w:right w:w="108" w:type="dxa"/>
            </w:tcMar>
            <w:vAlign w:val="center"/>
          </w:tcPr>
          <w:p>
            <w:pPr>
              <w:widowControl/>
              <w:spacing w:after="180"/>
              <w:rPr>
                <w:rFonts w:eastAsia="黑体"/>
                <w:color w:val="000000"/>
                <w:szCs w:val="21"/>
              </w:rPr>
            </w:pPr>
            <w:r>
              <w:rPr>
                <w:rFonts w:hint="eastAsia" w:eastAsia="黑体"/>
                <w:color w:val="000000"/>
                <w:kern w:val="0"/>
                <w:szCs w:val="21"/>
              </w:rPr>
              <w:t>三、本年度办理结果</w:t>
            </w:r>
          </w:p>
        </w:tc>
        <w:tc>
          <w:tcPr>
            <w:tcW w:w="4677" w:type="dxa"/>
            <w:gridSpan w:val="2"/>
            <w:tcMar>
              <w:left w:w="108" w:type="dxa"/>
              <w:right w:w="108" w:type="dxa"/>
            </w:tcMar>
            <w:vAlign w:val="center"/>
          </w:tcPr>
          <w:p>
            <w:pPr>
              <w:widowControl/>
              <w:rPr>
                <w:rFonts w:eastAsia="黑体"/>
                <w:color w:val="000000"/>
                <w:szCs w:val="21"/>
              </w:rPr>
            </w:pPr>
            <w:r>
              <w:rPr>
                <w:rFonts w:hint="eastAsia" w:eastAsia="黑体"/>
                <w:color w:val="000000"/>
                <w:kern w:val="0"/>
                <w:szCs w:val="21"/>
              </w:rPr>
              <w:t>（一）予以公开</w:t>
            </w:r>
          </w:p>
        </w:tc>
        <w:tc>
          <w:tcPr>
            <w:tcW w:w="829"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4</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tcMar>
              <w:left w:w="108" w:type="dxa"/>
              <w:right w:w="108" w:type="dxa"/>
            </w:tcMar>
            <w:vAlign w:val="center"/>
          </w:tcPr>
          <w:p>
            <w:pPr>
              <w:rPr>
                <w:rFonts w:eastAsia="黑体"/>
                <w:color w:val="000000"/>
                <w:szCs w:val="21"/>
              </w:rPr>
            </w:pPr>
          </w:p>
        </w:tc>
        <w:tc>
          <w:tcPr>
            <w:tcW w:w="4677" w:type="dxa"/>
            <w:gridSpan w:val="2"/>
            <w:tcMar>
              <w:left w:w="108" w:type="dxa"/>
              <w:right w:w="108" w:type="dxa"/>
            </w:tcMar>
            <w:vAlign w:val="center"/>
          </w:tcPr>
          <w:p>
            <w:pPr>
              <w:widowControl/>
              <w:rPr>
                <w:rFonts w:eastAsia="黑体"/>
                <w:color w:val="000000"/>
                <w:szCs w:val="21"/>
              </w:rPr>
            </w:pPr>
            <w:r>
              <w:rPr>
                <w:rFonts w:hint="eastAsia" w:eastAsia="黑体"/>
                <w:color w:val="000000"/>
                <w:kern w:val="0"/>
                <w:szCs w:val="21"/>
              </w:rPr>
              <w:t>（二）部分公开（区分处理的，只计这一情形，不计其他情形）</w:t>
            </w:r>
          </w:p>
        </w:tc>
        <w:tc>
          <w:tcPr>
            <w:tcW w:w="829"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restart"/>
            <w:tcMar>
              <w:left w:w="108" w:type="dxa"/>
              <w:right w:w="108" w:type="dxa"/>
            </w:tcMar>
            <w:vAlign w:val="center"/>
          </w:tcPr>
          <w:p>
            <w:pPr>
              <w:widowControl/>
              <w:spacing w:line="300" w:lineRule="exact"/>
              <w:ind w:left="-107" w:leftChars="-51"/>
              <w:rPr>
                <w:rFonts w:eastAsia="黑体"/>
                <w:color w:val="000000"/>
                <w:szCs w:val="21"/>
              </w:rPr>
            </w:pPr>
            <w:r>
              <w:rPr>
                <w:rFonts w:hint="eastAsia" w:eastAsia="黑体"/>
                <w:color w:val="000000"/>
                <w:kern w:val="0"/>
                <w:szCs w:val="21"/>
              </w:rPr>
              <w:t>（三）不予公开</w:t>
            </w: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1.属于国家秘密</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2.其他法律行政法规禁止公开</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3.危及“三安全一稳定”</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4.保护第三方合法权益</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1</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5.属于三类内部事务信息</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6.属于四类过程性信息</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7.属于行政执法案卷</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8.属于行政查询事项</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restart"/>
            <w:tcMar>
              <w:left w:w="108" w:type="dxa"/>
              <w:right w:w="108" w:type="dxa"/>
            </w:tcMar>
            <w:vAlign w:val="center"/>
          </w:tcPr>
          <w:p>
            <w:pPr>
              <w:widowControl/>
              <w:spacing w:line="300" w:lineRule="exact"/>
              <w:ind w:left="-107" w:leftChars="-51"/>
              <w:rPr>
                <w:rFonts w:eastAsia="黑体"/>
                <w:color w:val="000000"/>
                <w:szCs w:val="21"/>
              </w:rPr>
            </w:pPr>
            <w:r>
              <w:rPr>
                <w:rFonts w:hint="eastAsia" w:eastAsia="黑体"/>
                <w:color w:val="000000"/>
                <w:kern w:val="0"/>
                <w:szCs w:val="21"/>
              </w:rPr>
              <w:t>（四）无法提供</w:t>
            </w: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1.本机关不掌握相关政府信息</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9</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ind w:left="-107" w:leftChars="-51"/>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2.没有现成信息需要另行制作</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ind w:left="-107" w:leftChars="-51"/>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3.补正后申请内容仍不明确</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restart"/>
            <w:tcMar>
              <w:left w:w="108" w:type="dxa"/>
              <w:right w:w="108" w:type="dxa"/>
            </w:tcMar>
            <w:vAlign w:val="center"/>
          </w:tcPr>
          <w:p>
            <w:pPr>
              <w:widowControl/>
              <w:spacing w:line="300" w:lineRule="exact"/>
              <w:ind w:left="-107" w:leftChars="-51"/>
              <w:rPr>
                <w:rFonts w:eastAsia="黑体"/>
                <w:color w:val="000000"/>
                <w:szCs w:val="21"/>
              </w:rPr>
            </w:pPr>
            <w:r>
              <w:rPr>
                <w:rFonts w:hint="eastAsia" w:eastAsia="黑体"/>
                <w:color w:val="000000"/>
                <w:kern w:val="0"/>
                <w:szCs w:val="21"/>
              </w:rPr>
              <w:t>（五）不予处理</w:t>
            </w: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1.信访举报投诉类申请</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kern w:val="0"/>
                <w:szCs w:val="21"/>
              </w:rPr>
            </w:pPr>
            <w:r>
              <w:rPr>
                <w:rFonts w:hint="eastAsia" w:eastAsia="仿宋_GB2312"/>
                <w:color w:val="000000"/>
                <w:kern w:val="0"/>
                <w:szCs w:val="21"/>
              </w:rPr>
              <w:t>2.重复申请</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1</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szCs w:val="21"/>
              </w:rPr>
            </w:pPr>
            <w:r>
              <w:rPr>
                <w:rFonts w:hint="eastAsia" w:eastAsia="仿宋_GB2312"/>
                <w:color w:val="000000"/>
                <w:kern w:val="0"/>
                <w:szCs w:val="21"/>
              </w:rPr>
              <w:t>3.要求提供公开出版物</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7" w:hRule="exac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szCs w:val="21"/>
              </w:rPr>
            </w:pPr>
            <w:r>
              <w:rPr>
                <w:rFonts w:hint="eastAsia" w:eastAsia="仿宋_GB2312"/>
                <w:color w:val="000000"/>
                <w:kern w:val="0"/>
                <w:szCs w:val="21"/>
              </w:rPr>
              <w:t>4.无正当理由大量反复申请</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0" w:hRule="atLeast"/>
        </w:trPr>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spacing w:line="300" w:lineRule="exact"/>
              <w:rPr>
                <w:rFonts w:eastAsia="黑体"/>
                <w:color w:val="000000"/>
                <w:szCs w:val="21"/>
              </w:rPr>
            </w:pPr>
          </w:p>
        </w:tc>
        <w:tc>
          <w:tcPr>
            <w:tcW w:w="2976" w:type="dxa"/>
            <w:tcMar>
              <w:left w:w="108" w:type="dxa"/>
              <w:right w:w="108" w:type="dxa"/>
            </w:tcMar>
            <w:vAlign w:val="center"/>
          </w:tcPr>
          <w:p>
            <w:pPr>
              <w:widowControl/>
              <w:spacing w:line="300" w:lineRule="exact"/>
              <w:rPr>
                <w:rFonts w:eastAsia="仿宋_GB2312"/>
                <w:color w:val="000000"/>
                <w:szCs w:val="21"/>
              </w:rPr>
            </w:pPr>
            <w:r>
              <w:rPr>
                <w:rFonts w:hint="eastAsia" w:eastAsia="仿宋_GB2312"/>
                <w:color w:val="000000"/>
                <w:kern w:val="0"/>
                <w:szCs w:val="21"/>
              </w:rPr>
              <w:t>5.要求行政机关确认或重新出具已获取信息</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tcMar>
              <w:left w:w="108" w:type="dxa"/>
              <w:right w:w="108" w:type="dxa"/>
            </w:tcMar>
            <w:vAlign w:val="center"/>
          </w:tcPr>
          <w:p>
            <w:pPr>
              <w:rPr>
                <w:rFonts w:eastAsia="黑体"/>
                <w:color w:val="000000"/>
                <w:szCs w:val="21"/>
              </w:rPr>
            </w:pPr>
          </w:p>
        </w:tc>
        <w:tc>
          <w:tcPr>
            <w:tcW w:w="1701" w:type="dxa"/>
            <w:vMerge w:val="restart"/>
            <w:tcMar>
              <w:left w:w="108" w:type="dxa"/>
              <w:right w:w="108" w:type="dxa"/>
            </w:tcMar>
            <w:vAlign w:val="center"/>
          </w:tcPr>
          <w:p>
            <w:pPr>
              <w:widowControl/>
              <w:spacing w:line="300" w:lineRule="exact"/>
              <w:rPr>
                <w:rFonts w:eastAsia="黑体"/>
                <w:color w:val="000000"/>
                <w:kern w:val="0"/>
                <w:szCs w:val="21"/>
              </w:rPr>
            </w:pPr>
            <w:r>
              <w:rPr>
                <w:rFonts w:hint="eastAsia" w:eastAsia="黑体"/>
                <w:color w:val="000000"/>
                <w:kern w:val="0"/>
                <w:szCs w:val="21"/>
              </w:rPr>
              <w:t>（六）其他处理</w:t>
            </w:r>
          </w:p>
        </w:tc>
        <w:tc>
          <w:tcPr>
            <w:tcW w:w="2976" w:type="dxa"/>
            <w:vAlign w:val="center"/>
          </w:tcPr>
          <w:p>
            <w:pPr>
              <w:widowControl/>
              <w:spacing w:line="300" w:lineRule="exact"/>
              <w:rPr>
                <w:rFonts w:eastAsia="仿宋_GB2312"/>
                <w:color w:val="000000"/>
              </w:rPr>
            </w:pPr>
            <w:r>
              <w:rPr>
                <w:rFonts w:hint="eastAsia" w:eastAsia="仿宋_GB2312"/>
                <w:color w:val="000000"/>
              </w:rPr>
              <w:t>1.申请人无正当理由逾期不补正、行政机关不再处理其政府信息公开申请</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widowControl/>
              <w:spacing w:line="300" w:lineRule="exact"/>
              <w:rPr>
                <w:rFonts w:eastAsia="黑体"/>
                <w:color w:val="000000"/>
                <w:kern w:val="0"/>
                <w:szCs w:val="21"/>
              </w:rPr>
            </w:pPr>
          </w:p>
        </w:tc>
        <w:tc>
          <w:tcPr>
            <w:tcW w:w="2976" w:type="dxa"/>
            <w:vAlign w:val="center"/>
          </w:tcPr>
          <w:p>
            <w:pPr>
              <w:widowControl/>
              <w:spacing w:line="300" w:lineRule="exact"/>
              <w:rPr>
                <w:rFonts w:eastAsia="仿宋_GB2312"/>
                <w:color w:val="000000"/>
                <w:kern w:val="0"/>
                <w:szCs w:val="21"/>
              </w:rPr>
            </w:pPr>
            <w:r>
              <w:rPr>
                <w:rFonts w:hint="eastAsia" w:eastAsia="仿宋_GB2312"/>
                <w:color w:val="000000"/>
              </w:rPr>
              <w:t>2.申请人逾期未按收费通知要求缴纳费用、行政机关不再处理其政府信息公开申请</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tcMar>
              <w:left w:w="108" w:type="dxa"/>
              <w:right w:w="108" w:type="dxa"/>
            </w:tcMar>
            <w:vAlign w:val="center"/>
          </w:tcPr>
          <w:p>
            <w:pPr>
              <w:rPr>
                <w:rFonts w:eastAsia="黑体"/>
                <w:color w:val="000000"/>
                <w:szCs w:val="21"/>
              </w:rPr>
            </w:pPr>
          </w:p>
        </w:tc>
        <w:tc>
          <w:tcPr>
            <w:tcW w:w="1701" w:type="dxa"/>
            <w:vMerge w:val="continue"/>
            <w:tcMar>
              <w:left w:w="108" w:type="dxa"/>
              <w:right w:w="108" w:type="dxa"/>
            </w:tcMar>
            <w:vAlign w:val="center"/>
          </w:tcPr>
          <w:p>
            <w:pPr>
              <w:widowControl/>
              <w:spacing w:line="300" w:lineRule="exact"/>
              <w:rPr>
                <w:rFonts w:eastAsia="黑体"/>
                <w:color w:val="000000"/>
                <w:kern w:val="0"/>
                <w:szCs w:val="21"/>
              </w:rPr>
            </w:pPr>
          </w:p>
        </w:tc>
        <w:tc>
          <w:tcPr>
            <w:tcW w:w="2976" w:type="dxa"/>
            <w:vAlign w:val="center"/>
          </w:tcPr>
          <w:p>
            <w:pPr>
              <w:widowControl/>
              <w:spacing w:line="300" w:lineRule="exact"/>
              <w:rPr>
                <w:rFonts w:eastAsia="仿宋_GB2312"/>
                <w:color w:val="000000"/>
                <w:kern w:val="0"/>
                <w:szCs w:val="21"/>
              </w:rPr>
            </w:pPr>
            <w:r>
              <w:rPr>
                <w:rFonts w:hint="eastAsia" w:eastAsia="仿宋_GB2312"/>
                <w:color w:val="000000"/>
              </w:rPr>
              <w:t>3.其他</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16" w:type="dxa"/>
            <w:vMerge w:val="continue"/>
            <w:tcMar>
              <w:left w:w="108" w:type="dxa"/>
              <w:right w:w="108" w:type="dxa"/>
            </w:tcMar>
            <w:vAlign w:val="center"/>
          </w:tcPr>
          <w:p>
            <w:pPr>
              <w:rPr>
                <w:rFonts w:eastAsia="黑体"/>
                <w:color w:val="000000"/>
                <w:szCs w:val="21"/>
              </w:rPr>
            </w:pPr>
          </w:p>
        </w:tc>
        <w:tc>
          <w:tcPr>
            <w:tcW w:w="4677" w:type="dxa"/>
            <w:gridSpan w:val="2"/>
            <w:tcMar>
              <w:left w:w="108" w:type="dxa"/>
              <w:right w:w="108" w:type="dxa"/>
            </w:tcMar>
            <w:vAlign w:val="center"/>
          </w:tcPr>
          <w:p>
            <w:pPr>
              <w:widowControl/>
              <w:spacing w:line="300" w:lineRule="exact"/>
              <w:rPr>
                <w:rFonts w:eastAsia="黑体"/>
                <w:color w:val="000000"/>
                <w:kern w:val="0"/>
                <w:szCs w:val="21"/>
              </w:rPr>
            </w:pPr>
            <w:r>
              <w:rPr>
                <w:rFonts w:hint="eastAsia" w:eastAsia="黑体"/>
                <w:color w:val="000000"/>
                <w:kern w:val="0"/>
                <w:szCs w:val="21"/>
              </w:rPr>
              <w:t>（七）总计</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15</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5093" w:type="dxa"/>
            <w:gridSpan w:val="3"/>
            <w:tcMar>
              <w:left w:w="108" w:type="dxa"/>
              <w:right w:w="108" w:type="dxa"/>
            </w:tcMar>
            <w:vAlign w:val="center"/>
          </w:tcPr>
          <w:p>
            <w:pPr>
              <w:widowControl/>
              <w:spacing w:line="300" w:lineRule="exact"/>
              <w:rPr>
                <w:rFonts w:eastAsia="黑体"/>
                <w:color w:val="000000"/>
                <w:kern w:val="0"/>
                <w:szCs w:val="21"/>
              </w:rPr>
            </w:pPr>
            <w:r>
              <w:rPr>
                <w:rFonts w:hint="eastAsia" w:eastAsia="黑体"/>
                <w:color w:val="000000"/>
                <w:kern w:val="0"/>
                <w:szCs w:val="21"/>
              </w:rPr>
              <w:t>四、结转下年度继续办理</w:t>
            </w:r>
          </w:p>
        </w:tc>
        <w:tc>
          <w:tcPr>
            <w:tcW w:w="829"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4</w:t>
            </w:r>
          </w:p>
        </w:tc>
        <w:tc>
          <w:tcPr>
            <w:tcW w:w="567" w:type="dxa"/>
            <w:tcMar>
              <w:left w:w="108" w:type="dxa"/>
              <w:right w:w="108" w:type="dxa"/>
            </w:tcMar>
            <w:vAlign w:val="center"/>
          </w:tcPr>
          <w:p>
            <w:pPr>
              <w:widowControl/>
              <w:spacing w:line="200" w:lineRule="exact"/>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31"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708"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567" w:type="dxa"/>
            <w:tcMar>
              <w:left w:w="108" w:type="dxa"/>
              <w:right w:w="108" w:type="dxa"/>
            </w:tcMar>
            <w:vAlign w:val="center"/>
          </w:tcPr>
          <w:p>
            <w:pPr>
              <w:widowControl/>
              <w:jc w:val="center"/>
              <w:rPr>
                <w:rFonts w:eastAsia="仿宋_GB2312"/>
                <w:color w:val="000000"/>
                <w:szCs w:val="21"/>
              </w:rPr>
            </w:pPr>
            <w:r>
              <w:rPr>
                <w:rFonts w:hint="eastAsia" w:eastAsia="仿宋_GB2312"/>
                <w:color w:val="000000"/>
                <w:szCs w:val="21"/>
              </w:rPr>
              <w:t>0</w:t>
            </w:r>
          </w:p>
        </w:tc>
        <w:tc>
          <w:tcPr>
            <w:tcW w:w="851" w:type="dxa"/>
            <w:tcMar>
              <w:left w:w="108" w:type="dxa"/>
              <w:right w:w="108" w:type="dxa"/>
            </w:tcMar>
            <w:vAlign w:val="center"/>
          </w:tcPr>
          <w:p>
            <w:pPr>
              <w:widowControl/>
              <w:jc w:val="center"/>
              <w:rPr>
                <w:rFonts w:hint="eastAsia" w:eastAsia="仿宋_GB2312"/>
                <w:color w:val="000000"/>
                <w:szCs w:val="21"/>
                <w:lang w:eastAsia="zh-CN"/>
              </w:rPr>
            </w:pPr>
            <w:r>
              <w:rPr>
                <w:rFonts w:hint="eastAsia" w:eastAsia="仿宋_GB2312"/>
                <w:color w:val="000000"/>
                <w:szCs w:val="21"/>
                <w:lang w:val="en-US" w:eastAsia="zh-CN"/>
              </w:rPr>
              <w:t>4</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黑体简体" w:cs="Times New Roman"/>
          <w:b/>
          <w:color w:val="000000"/>
          <w:sz w:val="32"/>
          <w:szCs w:val="32"/>
          <w:lang w:eastAsia="zh-CN"/>
        </w:rPr>
      </w:pPr>
      <w:r>
        <w:rPr>
          <w:rFonts w:hint="eastAsia" w:ascii="Times New Roman" w:hAnsi="Times New Roman" w:eastAsia="方正黑体简体" w:cs="Times New Roman"/>
          <w:b/>
          <w:color w:val="000000"/>
          <w:sz w:val="32"/>
          <w:szCs w:val="32"/>
          <w:lang w:eastAsia="zh-CN"/>
        </w:rPr>
        <w:t>四、政府信息公开行政复议、行政诉讼情况</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color w:val="000000"/>
                <w:kern w:val="0"/>
                <w:sz w:val="20"/>
                <w:szCs w:val="20"/>
              </w:rPr>
            </w:pPr>
            <w:r>
              <w:rPr>
                <w:rFonts w:ascii="黑体" w:hAnsi="黑体" w:eastAsia="黑体"/>
                <w:color w:val="000000"/>
                <w:kern w:val="0"/>
                <w:sz w:val="20"/>
                <w:szCs w:val="20"/>
              </w:rPr>
              <w:t>结果</w:t>
            </w:r>
          </w:p>
          <w:p>
            <w:pPr>
              <w:widowControl/>
              <w:ind w:left="-149" w:leftChars="-71" w:right="-170" w:rightChars="-81"/>
              <w:jc w:val="center"/>
              <w:rPr>
                <w:rFonts w:ascii="黑体" w:hAnsi="黑体" w:eastAsia="黑体"/>
                <w:color w:val="000000"/>
              </w:rPr>
            </w:pPr>
            <w:r>
              <w:rPr>
                <w:rFonts w:ascii="黑体" w:hAnsi="黑体" w:eastAsia="黑体"/>
                <w:color w:val="000000"/>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color w:val="000000"/>
              </w:rPr>
            </w:pPr>
            <w:r>
              <w:rPr>
                <w:rFonts w:ascii="黑体" w:hAnsi="黑体" w:eastAsia="黑体"/>
                <w:color w:val="00000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color w:val="000000"/>
              </w:rPr>
            </w:pPr>
            <w:r>
              <w:rPr>
                <w:rFonts w:ascii="黑体" w:hAnsi="黑体" w:eastAsia="黑体"/>
                <w:color w:val="00000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color w:val="000000"/>
                <w:kern w:val="0"/>
                <w:sz w:val="20"/>
                <w:szCs w:val="20"/>
              </w:rPr>
            </w:pPr>
            <w:r>
              <w:rPr>
                <w:rFonts w:ascii="黑体" w:hAnsi="黑体" w:eastAsia="黑体"/>
                <w:color w:val="000000"/>
                <w:kern w:val="0"/>
                <w:sz w:val="20"/>
                <w:szCs w:val="20"/>
              </w:rPr>
              <w:t>尚未</w:t>
            </w:r>
          </w:p>
          <w:p>
            <w:pPr>
              <w:widowControl/>
              <w:ind w:left="-118" w:leftChars="-56" w:right="-118" w:rightChars="-56"/>
              <w:jc w:val="center"/>
              <w:rPr>
                <w:rFonts w:ascii="黑体" w:hAnsi="黑体" w:eastAsia="黑体"/>
                <w:color w:val="000000"/>
              </w:rPr>
            </w:pPr>
            <w:r>
              <w:rPr>
                <w:rFonts w:ascii="黑体" w:hAnsi="黑体" w:eastAsia="黑体"/>
                <w:color w:val="000000"/>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color w:val="000000"/>
                <w:kern w:val="0"/>
                <w:sz w:val="20"/>
                <w:szCs w:val="20"/>
              </w:rPr>
            </w:pPr>
            <w:r>
              <w:rPr>
                <w:rFonts w:ascii="黑体" w:hAnsi="黑体" w:eastAsia="黑体"/>
                <w:color w:val="000000"/>
                <w:kern w:val="0"/>
                <w:sz w:val="20"/>
                <w:szCs w:val="20"/>
              </w:rPr>
              <w:t>总</w:t>
            </w:r>
          </w:p>
          <w:p>
            <w:pPr>
              <w:widowControl/>
              <w:spacing w:line="320" w:lineRule="exact"/>
              <w:jc w:val="center"/>
              <w:rPr>
                <w:rFonts w:ascii="黑体" w:hAnsi="黑体" w:eastAsia="黑体"/>
                <w:color w:val="000000"/>
              </w:rPr>
            </w:pPr>
            <w:r>
              <w:rPr>
                <w:rFonts w:ascii="黑体" w:hAnsi="黑体" w:eastAsia="黑体"/>
                <w:color w:val="000000"/>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rPr>
            </w:pPr>
            <w:bookmarkStart w:id="0" w:name="_Hlk67039688"/>
            <w:r>
              <w:rPr>
                <w:rFonts w:ascii="黑体" w:hAnsi="黑体" w:eastAsia="黑体"/>
                <w:color w:val="000000"/>
                <w:kern w:val="0"/>
                <w:sz w:val="20"/>
                <w:szCs w:val="20"/>
              </w:rPr>
              <w:t>复议后起诉</w:t>
            </w:r>
            <w:bookmarkEnd w:id="0"/>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color w:val="000000"/>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color w:val="000000"/>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color w:val="000000"/>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color w:val="000000"/>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color w:val="000000"/>
              </w:rPr>
            </w:pPr>
            <w:r>
              <w:rPr>
                <w:rFonts w:ascii="黑体" w:hAnsi="黑体" w:eastAsia="黑体"/>
                <w:color w:val="000000"/>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color w:val="000000"/>
                <w:kern w:val="0"/>
                <w:sz w:val="20"/>
                <w:szCs w:val="20"/>
              </w:rPr>
            </w:pPr>
            <w:r>
              <w:rPr>
                <w:rFonts w:ascii="黑体" w:hAnsi="黑体" w:eastAsia="黑体"/>
                <w:color w:val="000000"/>
                <w:kern w:val="0"/>
                <w:sz w:val="20"/>
                <w:szCs w:val="20"/>
              </w:rPr>
              <w:t>其他</w:t>
            </w:r>
          </w:p>
          <w:p>
            <w:pPr>
              <w:widowControl/>
              <w:ind w:left="-126" w:leftChars="-60" w:right="-136" w:rightChars="-65"/>
              <w:jc w:val="center"/>
              <w:rPr>
                <w:rFonts w:ascii="黑体" w:hAnsi="黑体" w:eastAsia="黑体"/>
                <w:color w:val="000000"/>
              </w:rPr>
            </w:pPr>
            <w:r>
              <w:rPr>
                <w:rFonts w:ascii="黑体" w:hAnsi="黑体" w:eastAsia="黑体"/>
                <w:color w:val="000000"/>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color w:val="000000"/>
                <w:kern w:val="0"/>
                <w:sz w:val="20"/>
                <w:szCs w:val="20"/>
              </w:rPr>
            </w:pPr>
            <w:r>
              <w:rPr>
                <w:rFonts w:ascii="黑体" w:hAnsi="黑体" w:eastAsia="黑体"/>
                <w:color w:val="000000"/>
                <w:kern w:val="0"/>
                <w:sz w:val="20"/>
                <w:szCs w:val="20"/>
              </w:rPr>
              <w:t>尚未</w:t>
            </w:r>
          </w:p>
          <w:p>
            <w:pPr>
              <w:widowControl/>
              <w:ind w:left="-164" w:leftChars="-78" w:right="-153" w:rightChars="-73"/>
              <w:jc w:val="center"/>
              <w:rPr>
                <w:rFonts w:ascii="黑体" w:hAnsi="黑体" w:eastAsia="黑体"/>
                <w:color w:val="000000"/>
              </w:rPr>
            </w:pPr>
            <w:r>
              <w:rPr>
                <w:rFonts w:ascii="黑体" w:hAnsi="黑体" w:eastAsia="黑体"/>
                <w:color w:val="000000"/>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color w:val="000000"/>
              </w:rPr>
            </w:pPr>
            <w:r>
              <w:rPr>
                <w:rFonts w:ascii="黑体" w:hAnsi="黑体" w:eastAsia="黑体"/>
                <w:color w:val="000000"/>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color w:val="000000"/>
                <w:kern w:val="0"/>
                <w:sz w:val="20"/>
                <w:szCs w:val="20"/>
              </w:rPr>
            </w:pPr>
            <w:r>
              <w:rPr>
                <w:rFonts w:ascii="黑体" w:hAnsi="黑体" w:eastAsia="黑体"/>
                <w:color w:val="000000"/>
                <w:kern w:val="0"/>
                <w:sz w:val="20"/>
                <w:szCs w:val="20"/>
              </w:rPr>
              <w:t>结果</w:t>
            </w:r>
          </w:p>
          <w:p>
            <w:pPr>
              <w:widowControl/>
              <w:ind w:left="-136" w:leftChars="-65" w:right="-124" w:rightChars="-59"/>
              <w:jc w:val="center"/>
              <w:rPr>
                <w:rFonts w:ascii="黑体" w:hAnsi="黑体" w:eastAsia="黑体"/>
                <w:color w:val="000000"/>
              </w:rPr>
            </w:pPr>
            <w:r>
              <w:rPr>
                <w:rFonts w:ascii="黑体" w:hAnsi="黑体" w:eastAsia="黑体"/>
                <w:color w:val="000000"/>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color w:val="000000"/>
                <w:kern w:val="0"/>
                <w:sz w:val="20"/>
                <w:szCs w:val="20"/>
              </w:rPr>
            </w:pPr>
            <w:r>
              <w:rPr>
                <w:rFonts w:ascii="黑体" w:hAnsi="黑体" w:eastAsia="黑体"/>
                <w:color w:val="000000"/>
                <w:kern w:val="0"/>
                <w:sz w:val="20"/>
                <w:szCs w:val="20"/>
              </w:rPr>
              <w:t>其他</w:t>
            </w:r>
          </w:p>
          <w:p>
            <w:pPr>
              <w:widowControl/>
              <w:ind w:left="-173" w:leftChars="-83" w:right="-134" w:rightChars="-64" w:hanging="1"/>
              <w:jc w:val="center"/>
              <w:rPr>
                <w:rFonts w:ascii="黑体" w:hAnsi="黑体" w:eastAsia="黑体"/>
                <w:color w:val="000000"/>
              </w:rPr>
            </w:pPr>
            <w:r>
              <w:rPr>
                <w:rFonts w:ascii="黑体" w:hAnsi="黑体" w:eastAsia="黑体"/>
                <w:color w:val="000000"/>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color w:val="000000"/>
              </w:rPr>
            </w:pPr>
            <w:r>
              <w:rPr>
                <w:rFonts w:ascii="黑体" w:hAnsi="黑体" w:eastAsia="黑体"/>
                <w:color w:val="000000"/>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color w:val="000000"/>
              </w:rPr>
            </w:pPr>
            <w:r>
              <w:rPr>
                <w:rFonts w:ascii="黑体" w:hAnsi="黑体" w:eastAsia="黑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2" w:hRule="atLeast"/>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color w:val="000000"/>
              </w:rPr>
              <w:t>0</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黑体简体" w:cs="Times New Roman"/>
          <w:b/>
          <w:color w:val="000000"/>
          <w:sz w:val="32"/>
          <w:szCs w:val="32"/>
          <w:lang w:eastAsia="zh-CN"/>
        </w:rPr>
      </w:pPr>
      <w:r>
        <w:rPr>
          <w:rFonts w:hint="eastAsia" w:ascii="Times New Roman" w:hAnsi="Times New Roman" w:eastAsia="方正黑体简体" w:cs="Times New Roman"/>
          <w:b/>
          <w:color w:val="000000"/>
          <w:sz w:val="32"/>
          <w:szCs w:val="32"/>
          <w:lang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存在问题：</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一是全局各单位对政府信息公开工作的深度和推广还需进一步拓展。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二是</w:t>
      </w:r>
      <w:r>
        <w:rPr>
          <w:rFonts w:hint="eastAsia" w:ascii="Times New Roman" w:hAnsi="Times New Roman" w:eastAsia="方正仿宋简体" w:cs="Times New Roman"/>
          <w:b/>
          <w:color w:val="000000"/>
          <w:sz w:val="32"/>
          <w:szCs w:val="32"/>
          <w:lang w:val="en-US" w:eastAsia="zh-CN"/>
        </w:rPr>
        <w:t>新媒体平台运用不够充分，在信息发布和互动交流方面存在不足</w:t>
      </w:r>
      <w:r>
        <w:rPr>
          <w:rFonts w:hint="eastAsia"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2025年，将从以下几个方面重点改进：</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rPr>
        <w:t>一是</w:t>
      </w:r>
      <w:r>
        <w:rPr>
          <w:rFonts w:hint="eastAsia" w:ascii="Times New Roman" w:hAnsi="Times New Roman" w:eastAsia="方正仿宋简体" w:cs="Times New Roman"/>
          <w:b/>
          <w:color w:val="000000"/>
          <w:sz w:val="32"/>
          <w:szCs w:val="32"/>
          <w:lang w:val="en-US" w:eastAsia="zh-CN"/>
        </w:rPr>
        <w:t>加强组织领导，进一步提高信息公开的质量和质效，增强信息的实用性和及时性，为群众提供更好的服务。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二是拓展信息公开的渠道和形式。充分利用微信公众号、微博等新媒体平台，及时发布政府信息，并通过图文、视频等多种形式呈现，提高信息的可读性和吸引力，同时扩大信息传播的范围。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黑体简体" w:cs="Times New Roman"/>
          <w:b/>
          <w:color w:val="000000"/>
          <w:sz w:val="32"/>
          <w:szCs w:val="32"/>
          <w:lang w:eastAsia="zh-CN"/>
        </w:rPr>
      </w:pPr>
      <w:r>
        <w:rPr>
          <w:rFonts w:hint="eastAsia" w:ascii="Times New Roman" w:hAnsi="Times New Roman" w:eastAsia="方正黑体简体" w:cs="Times New Roman"/>
          <w:b/>
          <w:color w:val="000000"/>
          <w:sz w:val="32"/>
          <w:szCs w:val="32"/>
          <w:lang w:eastAsia="zh-CN"/>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方正楷体简体" w:hAnsi="方正楷体简体" w:eastAsia="方正楷体简体" w:cs="方正楷体简体"/>
          <w:b/>
          <w:color w:val="000000"/>
          <w:sz w:val="32"/>
          <w:szCs w:val="32"/>
        </w:rPr>
      </w:pPr>
      <w:r>
        <w:rPr>
          <w:rFonts w:hint="eastAsia" w:ascii="方正楷体简体" w:hAnsi="方正楷体简体" w:eastAsia="方正楷体简体" w:cs="方正楷体简体"/>
          <w:b/>
          <w:color w:val="000000"/>
          <w:sz w:val="32"/>
          <w:szCs w:val="32"/>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rPr>
        <w:t>依据《政府信息公开信息处理费管理办法》，公安分局未收取信息公开处理费。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简体" w:cs="Times New Roman"/>
          <w:b/>
          <w:color w:val="000000"/>
          <w:sz w:val="32"/>
          <w:szCs w:val="32"/>
          <w:lang w:val="en-US" w:eastAsia="zh-CN"/>
        </w:rPr>
      </w:pPr>
      <w:r>
        <w:rPr>
          <w:rFonts w:hint="eastAsia" w:ascii="方正楷体简体" w:hAnsi="方正楷体简体" w:eastAsia="方正楷体简体" w:cs="方正楷体简体"/>
          <w:b/>
          <w:color w:val="000000"/>
          <w:sz w:val="32"/>
          <w:szCs w:val="32"/>
        </w:rPr>
        <w:t>（二）本行政机关落实上级年度政务公开工作要点情况：</w:t>
      </w:r>
      <w:r>
        <w:rPr>
          <w:rFonts w:hint="eastAsia" w:ascii="Times New Roman" w:hAnsi="Times New Roman" w:eastAsia="方正仿宋简体" w:cs="Times New Roman"/>
          <w:b/>
          <w:color w:val="000000"/>
          <w:sz w:val="32"/>
          <w:szCs w:val="32"/>
        </w:rPr>
        <w:t>严格按照</w:t>
      </w:r>
      <w:r>
        <w:rPr>
          <w:rFonts w:hint="eastAsia" w:ascii="Times New Roman" w:hAnsi="Times New Roman" w:eastAsia="方正仿宋简体" w:cs="Times New Roman"/>
          <w:b/>
          <w:color w:val="000000"/>
          <w:sz w:val="32"/>
          <w:szCs w:val="32"/>
          <w:lang w:val="en-US" w:eastAsia="zh-CN"/>
        </w:rPr>
        <w:t>上级</w:t>
      </w:r>
      <w:r>
        <w:rPr>
          <w:rFonts w:hint="eastAsia" w:ascii="Times New Roman" w:hAnsi="Times New Roman" w:eastAsia="方正仿宋简体" w:cs="Times New Roman"/>
          <w:b/>
          <w:color w:val="000000"/>
          <w:sz w:val="32"/>
          <w:szCs w:val="32"/>
        </w:rPr>
        <w:t>政务公开重点工作任务分工要求</w:t>
      </w:r>
      <w:r>
        <w:rPr>
          <w:rFonts w:hint="eastAsia" w:ascii="Times New Roman" w:hAnsi="Times New Roman" w:eastAsia="方正仿宋简体" w:cs="Times New Roman"/>
          <w:b/>
          <w:color w:val="000000"/>
          <w:sz w:val="32"/>
          <w:szCs w:val="32"/>
          <w:lang w:val="en-US" w:eastAsia="zh-CN"/>
        </w:rPr>
        <w:t>开展信息公开工作，各项工作任务均已完成。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rPr>
      </w:pPr>
      <w:r>
        <w:rPr>
          <w:rFonts w:hint="eastAsia" w:ascii="方正楷体简体" w:hAnsi="方正楷体简体" w:eastAsia="方正楷体简体" w:cs="方正楷体简体"/>
          <w:b/>
          <w:color w:val="000000"/>
          <w:sz w:val="32"/>
          <w:szCs w:val="32"/>
          <w:lang w:val="en-US" w:eastAsia="zh-CN"/>
        </w:rPr>
        <w:t>（三）</w:t>
      </w:r>
      <w:r>
        <w:rPr>
          <w:rFonts w:hint="eastAsia" w:ascii="方正楷体简体" w:hAnsi="方正楷体简体" w:eastAsia="方正楷体简体" w:cs="方正楷体简体"/>
          <w:b/>
          <w:color w:val="000000"/>
          <w:sz w:val="32"/>
          <w:szCs w:val="32"/>
        </w:rPr>
        <w:t>人大代表建议和政协提案办理结果公开情况：</w:t>
      </w:r>
      <w:r>
        <w:rPr>
          <w:rFonts w:hint="eastAsia" w:ascii="Times New Roman" w:hAnsi="Times New Roman" w:eastAsia="方正仿宋简体" w:cs="Times New Roman"/>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rPr>
      </w:pPr>
      <w:r>
        <w:rPr>
          <w:rFonts w:hint="eastAsia" w:ascii="方正楷体简体" w:hAnsi="方正楷体简体" w:eastAsia="方正楷体简体" w:cs="方正楷体简体"/>
          <w:b/>
          <w:color w:val="000000"/>
          <w:sz w:val="32"/>
          <w:szCs w:val="32"/>
        </w:rPr>
        <w:t>（四）本行政机关年度政务公开工作创新情况：</w:t>
      </w:r>
      <w:r>
        <w:rPr>
          <w:rFonts w:hint="eastAsia" w:ascii="Times New Roman" w:hAnsi="Times New Roman" w:eastAsia="方正仿宋简体" w:cs="Times New Roman"/>
          <w:b/>
          <w:color w:val="000000"/>
          <w:sz w:val="32"/>
          <w:szCs w:val="32"/>
        </w:rPr>
        <w:t>多渠道搭建政务公开交流平台，畅通政务公开路径，拓宽政务公开广度，结合</w:t>
      </w:r>
      <w:r>
        <w:rPr>
          <w:rFonts w:hint="eastAsia" w:eastAsia="方正仿宋简体" w:cs="Times New Roman"/>
          <w:b/>
          <w:color w:val="000000"/>
          <w:sz w:val="32"/>
          <w:szCs w:val="32"/>
          <w:lang w:val="en-US" w:eastAsia="zh-CN"/>
        </w:rPr>
        <w:t>分局</w:t>
      </w:r>
      <w:r>
        <w:rPr>
          <w:rFonts w:hint="eastAsia" w:ascii="Times New Roman" w:hAnsi="Times New Roman" w:eastAsia="方正仿宋简体" w:cs="Times New Roman"/>
          <w:b/>
          <w:color w:val="000000"/>
          <w:sz w:val="32"/>
          <w:szCs w:val="32"/>
        </w:rPr>
        <w:t>微信公众号，深化公开工作，做到第一时间、更多维度推送政务公开信息</w:t>
      </w:r>
      <w:r>
        <w:rPr>
          <w:rFonts w:hint="eastAsia" w:eastAsia="方正仿宋简体" w:cs="Times New Roman"/>
          <w:b/>
          <w:color w:val="000000"/>
          <w:sz w:val="32"/>
          <w:szCs w:val="32"/>
          <w:lang w:eastAsia="zh-CN"/>
        </w:rPr>
        <w:t>，</w:t>
      </w:r>
      <w:r>
        <w:rPr>
          <w:rFonts w:hint="eastAsia" w:ascii="Times New Roman" w:hAnsi="Times New Roman" w:eastAsia="方正仿宋简体" w:cs="Times New Roman"/>
          <w:b/>
          <w:color w:val="000000"/>
          <w:sz w:val="32"/>
          <w:szCs w:val="32"/>
        </w:rPr>
        <w:t>助力完善政务公开体系化建设</w:t>
      </w:r>
      <w:r>
        <w:rPr>
          <w:rFonts w:hint="eastAsia" w:eastAsia="方正仿宋简体" w:cs="Times New Roman"/>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rPr>
      </w:pPr>
      <w:r>
        <w:rPr>
          <w:rFonts w:hint="eastAsia" w:ascii="方正楷体简体" w:hAnsi="方正楷体简体" w:eastAsia="方正楷体简体" w:cs="方正楷体简体"/>
          <w:b/>
          <w:color w:val="000000"/>
          <w:sz w:val="32"/>
          <w:szCs w:val="32"/>
        </w:rPr>
        <w:t>（五）本行政机关政府信息公开工作年度报告数据统计需要说明的事项：</w:t>
      </w:r>
      <w:r>
        <w:rPr>
          <w:rFonts w:hint="eastAsia" w:ascii="Times New Roman" w:hAnsi="Times New Roman" w:eastAsia="方正仿宋简体" w:cs="Times New Roman"/>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eastAsia" w:ascii="Times New Roman" w:hAnsi="Times New Roman" w:eastAsia="方正仿宋简体" w:cs="Times New Roman"/>
          <w:b/>
          <w:color w:val="000000"/>
          <w:sz w:val="32"/>
          <w:szCs w:val="32"/>
        </w:rPr>
      </w:pPr>
      <w:r>
        <w:rPr>
          <w:rFonts w:hint="eastAsia" w:ascii="方正楷体简体" w:hAnsi="方正楷体简体" w:eastAsia="方正楷体简体" w:cs="方正楷体简体"/>
          <w:b/>
          <w:color w:val="000000"/>
          <w:sz w:val="32"/>
          <w:szCs w:val="32"/>
        </w:rPr>
        <w:t>（六）本行政机关认为需要报告的其他事项：</w:t>
      </w:r>
      <w:r>
        <w:rPr>
          <w:rFonts w:hint="eastAsia" w:ascii="Times New Roman" w:hAnsi="Times New Roman" w:eastAsia="方正仿宋简体" w:cs="Times New Roman"/>
          <w:b/>
          <w:color w:val="00000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pPr>
      <w:r>
        <w:rPr>
          <w:rFonts w:hint="eastAsia" w:ascii="方正楷体简体" w:hAnsi="方正楷体简体" w:eastAsia="方正楷体简体" w:cs="方正楷体简体"/>
          <w:b/>
          <w:color w:val="000000"/>
          <w:sz w:val="32"/>
          <w:szCs w:val="32"/>
        </w:rPr>
        <w:t>（七）其他有关文件专门要求通过政府信息公开工作年度报告予以报告的事项：</w:t>
      </w:r>
      <w:r>
        <w:rPr>
          <w:rFonts w:hint="eastAsia" w:ascii="Times New Roman" w:hAnsi="Times New Roman" w:eastAsia="方正仿宋简体" w:cs="Times New Roman"/>
          <w:b/>
          <w:color w:val="000000"/>
          <w:sz w:val="32"/>
          <w:szCs w:val="32"/>
        </w:rPr>
        <w:t>无</w:t>
      </w:r>
    </w:p>
    <w:sectPr>
      <w:footerReference r:id="rId3" w:type="default"/>
      <w:pgSz w:w="11906" w:h="16838"/>
      <w:pgMar w:top="1383" w:right="1576" w:bottom="1383" w:left="1576" w:header="851" w:footer="992" w:gutter="0"/>
      <w:pgBorders>
        <w:top w:val="none" w:sz="0" w:space="0"/>
        <w:left w:val="none" w:sz="0" w:space="0"/>
        <w:bottom w:val="none" w:sz="0" w:space="0"/>
        <w:right w:val="none" w:sz="0" w:space="0"/>
      </w:pgBorders>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方正仿宋简体"/>
                              <w:sz w:val="28"/>
                              <w:szCs w:val="28"/>
                            </w:rPr>
                          </w:pPr>
                          <w:r>
                            <w:rPr>
                              <w:rFonts w:eastAsia="方正仿宋简体"/>
                              <w:sz w:val="28"/>
                              <w:szCs w:val="28"/>
                            </w:rPr>
                            <w:t xml:space="preserve">— </w:t>
                          </w:r>
                          <w:r>
                            <w:rPr>
                              <w:rFonts w:eastAsia="方正仿宋简体"/>
                              <w:sz w:val="28"/>
                              <w:szCs w:val="28"/>
                            </w:rPr>
                            <w:fldChar w:fldCharType="begin"/>
                          </w:r>
                          <w:r>
                            <w:rPr>
                              <w:rFonts w:eastAsia="方正仿宋简体"/>
                              <w:sz w:val="28"/>
                              <w:szCs w:val="28"/>
                            </w:rPr>
                            <w:instrText xml:space="preserve"> PAGE  \* MERGEFORMAT </w:instrText>
                          </w:r>
                          <w:r>
                            <w:rPr>
                              <w:rFonts w:eastAsia="方正仿宋简体"/>
                              <w:sz w:val="28"/>
                              <w:szCs w:val="28"/>
                            </w:rPr>
                            <w:fldChar w:fldCharType="separate"/>
                          </w:r>
                          <w:r>
                            <w:rPr>
                              <w:rFonts w:eastAsia="方正仿宋简体"/>
                              <w:sz w:val="28"/>
                              <w:szCs w:val="28"/>
                            </w:rPr>
                            <w:t>4</w:t>
                          </w:r>
                          <w:r>
                            <w:rPr>
                              <w:rFonts w:eastAsia="方正仿宋简体"/>
                              <w:sz w:val="28"/>
                              <w:szCs w:val="28"/>
                            </w:rPr>
                            <w:fldChar w:fldCharType="end"/>
                          </w:r>
                          <w:r>
                            <w:rPr>
                              <w:rFonts w:eastAsia="方正仿宋简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pPr>
                      <w:pStyle w:val="4"/>
                      <w:rPr>
                        <w:rFonts w:eastAsia="方正仿宋简体"/>
                        <w:sz w:val="28"/>
                        <w:szCs w:val="28"/>
                      </w:rPr>
                    </w:pPr>
                    <w:r>
                      <w:rPr>
                        <w:rFonts w:eastAsia="方正仿宋简体"/>
                        <w:sz w:val="28"/>
                        <w:szCs w:val="28"/>
                      </w:rPr>
                      <w:t xml:space="preserve">— </w:t>
                    </w:r>
                    <w:r>
                      <w:rPr>
                        <w:rFonts w:eastAsia="方正仿宋简体"/>
                        <w:sz w:val="28"/>
                        <w:szCs w:val="28"/>
                      </w:rPr>
                      <w:fldChar w:fldCharType="begin"/>
                    </w:r>
                    <w:r>
                      <w:rPr>
                        <w:rFonts w:eastAsia="方正仿宋简体"/>
                        <w:sz w:val="28"/>
                        <w:szCs w:val="28"/>
                      </w:rPr>
                      <w:instrText xml:space="preserve"> PAGE  \* MERGEFORMAT </w:instrText>
                    </w:r>
                    <w:r>
                      <w:rPr>
                        <w:rFonts w:eastAsia="方正仿宋简体"/>
                        <w:sz w:val="28"/>
                        <w:szCs w:val="28"/>
                      </w:rPr>
                      <w:fldChar w:fldCharType="separate"/>
                    </w:r>
                    <w:r>
                      <w:rPr>
                        <w:rFonts w:eastAsia="方正仿宋简体"/>
                        <w:sz w:val="28"/>
                        <w:szCs w:val="28"/>
                      </w:rPr>
                      <w:t>4</w:t>
                    </w:r>
                    <w:r>
                      <w:rPr>
                        <w:rFonts w:eastAsia="方正仿宋简体"/>
                        <w:sz w:val="28"/>
                        <w:szCs w:val="28"/>
                      </w:rPr>
                      <w:fldChar w:fldCharType="end"/>
                    </w:r>
                    <w:r>
                      <w:rPr>
                        <w:rFonts w:eastAsia="方正仿宋简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Y4MWU4YzgwMWE4MWM2YjFiOTQyY2UxNGUwZGIifQ=="/>
    <w:docVar w:name="KSO_WPS_MARK_KEY" w:val="Ā"/>
  </w:docVars>
  <w:rsids>
    <w:rsidRoot w:val="382C2173"/>
    <w:rsid w:val="009354D1"/>
    <w:rsid w:val="00F51D79"/>
    <w:rsid w:val="20E83919"/>
    <w:rsid w:val="23862E76"/>
    <w:rsid w:val="28CC7319"/>
    <w:rsid w:val="295B3526"/>
    <w:rsid w:val="2F47134E"/>
    <w:rsid w:val="382C2173"/>
    <w:rsid w:val="39F70108"/>
    <w:rsid w:val="474D2C69"/>
    <w:rsid w:val="4F9F5DDC"/>
    <w:rsid w:val="539B1FFB"/>
    <w:rsid w:val="59AE650F"/>
    <w:rsid w:val="59CB1955"/>
    <w:rsid w:val="6BD150ED"/>
    <w:rsid w:val="716410DD"/>
    <w:rsid w:val="71E79833"/>
    <w:rsid w:val="769455EA"/>
    <w:rsid w:val="FFBF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cs="Calibri"/>
    </w:r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customStyle="1" w:styleId="9">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2796</Words>
  <Characters>2899</Characters>
  <Lines>4</Lines>
  <Paragraphs>6</Paragraphs>
  <TotalTime>0</TotalTime>
  <ScaleCrop>false</ScaleCrop>
  <LinksUpToDate>false</LinksUpToDate>
  <CharactersWithSpaces>2899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2025-01-08T06:19:00Z</dcterms:created>
  <dc:creator>Administrator</dc:creator>
  <cp:lastModifiedBy>Administrator</cp:lastModifiedBy>
  <cp:lastPrinted>2025-01-09T02:31:00Z</cp:lastPrinted>
  <dcterms:modified xsi:type="dcterms:W3CDTF">2025-01-23T01:53:16Z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9BE2185EA4224DD4AE3878B6D0E8B42F_13</vt:lpwstr>
  </property>
</Properties>
</file>