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6F1F7">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济宁市兖州区发展和改革局</w:t>
      </w: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w:t>
      </w:r>
    </w:p>
    <w:p w14:paraId="55FE9736">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政府信息公开工作年度报告</w:t>
      </w:r>
    </w:p>
    <w:p w14:paraId="02C26F49">
      <w:pPr>
        <w:spacing w:line="590" w:lineRule="exact"/>
        <w:ind w:right="-100" w:rightChars="-50" w:firstLine="643" w:firstLineChars="200"/>
        <w:rPr>
          <w:rFonts w:eastAsia="方正仿宋简体"/>
          <w:b/>
          <w:color w:val="000000"/>
          <w:sz w:val="32"/>
          <w:szCs w:val="32"/>
        </w:rPr>
      </w:pPr>
    </w:p>
    <w:p w14:paraId="6C4040DC">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济宁市兖州区发展和改革局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3895F7AF">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1A9C4DC">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3</w:t>
      </w:r>
      <w:r>
        <w:rPr>
          <w:rFonts w:eastAsia="方正仿宋简体"/>
          <w:b/>
          <w:color w:val="000000"/>
          <w:sz w:val="32"/>
          <w:szCs w:val="32"/>
        </w:rPr>
        <w:t>年1月1日起至202</w:t>
      </w:r>
      <w:r>
        <w:rPr>
          <w:rFonts w:hint="eastAsia" w:eastAsia="方正仿宋简体"/>
          <w:b/>
          <w:color w:val="000000"/>
          <w:sz w:val="32"/>
          <w:szCs w:val="32"/>
          <w:lang w:val="en-US" w:eastAsia="zh-CN"/>
        </w:rPr>
        <w:t>3</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eastAsia="方正仿宋简体"/>
          <w:b/>
          <w:color w:val="auto"/>
          <w:sz w:val="32"/>
          <w:szCs w:val="32"/>
        </w:rPr>
        <w:t>（</w:t>
      </w:r>
      <w:r>
        <w:rPr>
          <w:rFonts w:hint="eastAsia" w:eastAsia="方正仿宋简体"/>
          <w:b/>
          <w:color w:val="auto"/>
          <w:sz w:val="32"/>
          <w:szCs w:val="32"/>
          <w:lang w:val="en-US" w:eastAsia="zh-CN"/>
        </w:rPr>
        <w:t>www.yanzhou.gov.cn</w:t>
      </w:r>
      <w:r>
        <w:rPr>
          <w:rFonts w:eastAsia="方正仿宋简体"/>
          <w:b/>
          <w:color w:val="auto"/>
          <w:sz w:val="32"/>
          <w:szCs w:val="32"/>
        </w:rPr>
        <w:t>）</w:t>
      </w:r>
      <w:r>
        <w:rPr>
          <w:rFonts w:eastAsia="方正仿宋简体"/>
          <w:b/>
          <w:color w:val="000000"/>
          <w:sz w:val="32"/>
          <w:szCs w:val="32"/>
        </w:rPr>
        <w:t>查阅或下载。如对本报告有疑问，请与</w:t>
      </w:r>
      <w:r>
        <w:rPr>
          <w:rFonts w:hint="eastAsia" w:eastAsia="方正仿宋简体"/>
          <w:b/>
          <w:color w:val="000000"/>
          <w:sz w:val="32"/>
          <w:szCs w:val="32"/>
          <w:lang w:val="en-US" w:eastAsia="zh-CN"/>
        </w:rPr>
        <w:t>济宁市兖州区发展和改革局</w:t>
      </w:r>
      <w:r>
        <w:rPr>
          <w:rFonts w:eastAsia="方正仿宋简体"/>
          <w:b/>
          <w:color w:val="000000"/>
          <w:sz w:val="32"/>
          <w:szCs w:val="32"/>
        </w:rPr>
        <w:t>联系（地址：</w:t>
      </w:r>
      <w:r>
        <w:rPr>
          <w:rFonts w:hint="eastAsia" w:eastAsia="方正仿宋简体"/>
          <w:b/>
          <w:color w:val="000000"/>
          <w:sz w:val="32"/>
          <w:szCs w:val="32"/>
        </w:rPr>
        <w:t>济宁市兖州区九州中路99号</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3412652</w:t>
      </w:r>
      <w:r>
        <w:rPr>
          <w:rFonts w:eastAsia="方正仿宋简体"/>
          <w:b/>
          <w:color w:val="000000"/>
          <w:sz w:val="32"/>
          <w:szCs w:val="32"/>
        </w:rPr>
        <w:t>）。</w:t>
      </w:r>
    </w:p>
    <w:p w14:paraId="2A0A08C2">
      <w:pPr>
        <w:spacing w:line="610" w:lineRule="exact"/>
        <w:ind w:right="-100" w:rightChars="-50" w:firstLine="641" w:firstLineChars="200"/>
        <w:rPr>
          <w:rFonts w:eastAsia="方正黑体简体"/>
          <w:b/>
          <w:color w:val="000000"/>
          <w:sz w:val="32"/>
          <w:szCs w:val="32"/>
        </w:rPr>
      </w:pPr>
      <w:r>
        <w:rPr>
          <w:rFonts w:eastAsia="方正黑体简体"/>
          <w:b/>
          <w:color w:val="000000"/>
          <w:sz w:val="32"/>
          <w:szCs w:val="32"/>
        </w:rPr>
        <w:t>一、总体情况</w:t>
      </w:r>
    </w:p>
    <w:p w14:paraId="273143DD">
      <w:pPr>
        <w:spacing w:line="610" w:lineRule="exact"/>
        <w:ind w:right="-100" w:rightChars="-50" w:firstLine="643" w:firstLineChars="200"/>
        <w:rPr>
          <w:rFonts w:hint="default" w:eastAsia="方正仿宋简体"/>
          <w:b/>
          <w:color w:val="auto"/>
          <w:sz w:val="32"/>
          <w:szCs w:val="32"/>
          <w:lang w:val="en-US" w:eastAsia="zh-CN"/>
        </w:rPr>
      </w:pPr>
      <w:r>
        <w:rPr>
          <w:rFonts w:hint="default" w:eastAsia="方正仿宋简体"/>
          <w:b/>
          <w:color w:val="auto"/>
          <w:sz w:val="32"/>
          <w:szCs w:val="32"/>
          <w:lang w:val="en-US" w:eastAsia="zh-CN"/>
        </w:rPr>
        <w:t>202</w:t>
      </w:r>
      <w:r>
        <w:rPr>
          <w:rFonts w:hint="eastAsia" w:eastAsia="方正仿宋简体"/>
          <w:b/>
          <w:color w:val="auto"/>
          <w:sz w:val="32"/>
          <w:szCs w:val="32"/>
          <w:lang w:val="en-US" w:eastAsia="zh-CN"/>
        </w:rPr>
        <w:t>3</w:t>
      </w:r>
      <w:r>
        <w:rPr>
          <w:rFonts w:hint="default" w:eastAsia="方正仿宋简体"/>
          <w:b/>
          <w:color w:val="auto"/>
          <w:sz w:val="32"/>
          <w:szCs w:val="32"/>
          <w:lang w:val="en-US" w:eastAsia="zh-CN"/>
        </w:rPr>
        <w:t>年，</w:t>
      </w:r>
      <w:r>
        <w:rPr>
          <w:rFonts w:hint="eastAsia" w:eastAsia="方正仿宋简体"/>
          <w:b/>
          <w:color w:val="auto"/>
          <w:sz w:val="32"/>
          <w:szCs w:val="32"/>
          <w:lang w:val="en-US" w:eastAsia="zh-CN"/>
        </w:rPr>
        <w:t>济宁市兖州区发展和改革局</w:t>
      </w:r>
      <w:r>
        <w:rPr>
          <w:rFonts w:hint="default" w:eastAsia="方正仿宋简体"/>
          <w:b/>
          <w:color w:val="auto"/>
          <w:sz w:val="32"/>
          <w:szCs w:val="32"/>
          <w:lang w:val="en-US" w:eastAsia="zh-CN"/>
        </w:rPr>
        <w:t>认真贯彻落实党中央、国务院和省、市</w:t>
      </w:r>
      <w:r>
        <w:rPr>
          <w:rFonts w:hint="eastAsia" w:eastAsia="方正仿宋简体"/>
          <w:b/>
          <w:color w:val="auto"/>
          <w:sz w:val="32"/>
          <w:szCs w:val="32"/>
          <w:lang w:val="en-US" w:eastAsia="zh-CN"/>
        </w:rPr>
        <w:t>、区</w:t>
      </w:r>
      <w:r>
        <w:rPr>
          <w:rFonts w:hint="default" w:eastAsia="方正仿宋简体"/>
          <w:b/>
          <w:color w:val="auto"/>
          <w:sz w:val="32"/>
          <w:szCs w:val="32"/>
          <w:lang w:val="en-US" w:eastAsia="zh-CN"/>
        </w:rPr>
        <w:t>关于政府信息公开工作的部署要求，进一步调整优化公开目录，深入拓展公开渠道，及时回应社会关切，不断提升政府信息公开工作力度和实效，政府信息公开水平实现新的突破。</w:t>
      </w:r>
    </w:p>
    <w:p w14:paraId="692B342E">
      <w:pPr>
        <w:spacing w:line="610" w:lineRule="exact"/>
        <w:ind w:right="-100" w:rightChars="-50" w:firstLine="643" w:firstLineChars="200"/>
        <w:rPr>
          <w:rFonts w:hint="eastAsia" w:eastAsia="方正楷体简体"/>
          <w:b/>
          <w:color w:val="auto"/>
          <w:sz w:val="32"/>
          <w:szCs w:val="32"/>
          <w:lang w:eastAsia="zh-CN"/>
        </w:rPr>
      </w:pPr>
      <w:r>
        <w:rPr>
          <w:rFonts w:eastAsia="方正楷体简体"/>
          <w:b/>
          <w:color w:val="000000"/>
          <w:sz w:val="32"/>
          <w:szCs w:val="32"/>
        </w:rPr>
        <w:t>（一）</w:t>
      </w:r>
      <w:r>
        <w:rPr>
          <w:rFonts w:hint="eastAsia" w:eastAsia="方正楷体简体"/>
          <w:b/>
          <w:color w:val="auto"/>
          <w:sz w:val="32"/>
          <w:szCs w:val="32"/>
          <w:lang w:val="en-US" w:eastAsia="zh-CN"/>
        </w:rPr>
        <w:t>坚持</w:t>
      </w:r>
      <w:r>
        <w:rPr>
          <w:rFonts w:hint="eastAsia" w:eastAsia="方正楷体简体"/>
          <w:b/>
          <w:color w:val="auto"/>
          <w:sz w:val="32"/>
          <w:szCs w:val="32"/>
        </w:rPr>
        <w:t>主动公开</w:t>
      </w:r>
    </w:p>
    <w:p w14:paraId="6A7DBB6A">
      <w:pPr>
        <w:spacing w:line="610" w:lineRule="exact"/>
        <w:ind w:right="-100" w:rightChars="-50" w:firstLine="643" w:firstLineChars="200"/>
        <w:rPr>
          <w:rFonts w:hint="eastAsia" w:eastAsia="方正仿宋简体"/>
          <w:b/>
          <w:color w:val="000000"/>
          <w:sz w:val="32"/>
          <w:szCs w:val="32"/>
          <w:lang w:eastAsia="zh-CN"/>
        </w:rPr>
      </w:pPr>
      <w:r>
        <w:rPr>
          <w:rFonts w:hint="eastAsia" w:eastAsia="方正仿宋简体"/>
          <w:b/>
          <w:color w:val="000000"/>
          <w:sz w:val="32"/>
          <w:szCs w:val="32"/>
        </w:rPr>
        <w:t>202</w:t>
      </w:r>
      <w:r>
        <w:rPr>
          <w:rFonts w:hint="eastAsia" w:eastAsia="方正仿宋简体"/>
          <w:b/>
          <w:color w:val="000000"/>
          <w:sz w:val="32"/>
          <w:szCs w:val="32"/>
          <w:lang w:val="en-US" w:eastAsia="zh-CN"/>
        </w:rPr>
        <w:t>3</w:t>
      </w:r>
      <w:r>
        <w:rPr>
          <w:rFonts w:hint="eastAsia" w:eastAsia="方正仿宋简体"/>
          <w:b/>
          <w:color w:val="000000"/>
          <w:sz w:val="32"/>
          <w:szCs w:val="32"/>
        </w:rPr>
        <w:t>年，通过政府门户网站主动公开政府信息</w:t>
      </w:r>
      <w:r>
        <w:rPr>
          <w:rFonts w:hint="eastAsia" w:eastAsia="方正仿宋简体"/>
          <w:b/>
          <w:color w:val="000000"/>
          <w:sz w:val="32"/>
          <w:szCs w:val="32"/>
          <w:lang w:val="en-US" w:eastAsia="zh-CN"/>
        </w:rPr>
        <w:t>117</w:t>
      </w:r>
      <w:r>
        <w:rPr>
          <w:rFonts w:hint="eastAsia" w:eastAsia="方正仿宋简体"/>
          <w:b/>
          <w:color w:val="000000"/>
          <w:sz w:val="32"/>
          <w:szCs w:val="32"/>
        </w:rPr>
        <w:t>条，其中政策文件1</w:t>
      </w:r>
      <w:r>
        <w:rPr>
          <w:rFonts w:hint="eastAsia" w:eastAsia="方正仿宋简体"/>
          <w:b/>
          <w:color w:val="000000"/>
          <w:sz w:val="32"/>
          <w:szCs w:val="32"/>
          <w:lang w:val="en-US" w:eastAsia="zh-CN"/>
        </w:rPr>
        <w:t>2</w:t>
      </w:r>
      <w:r>
        <w:rPr>
          <w:rFonts w:hint="eastAsia" w:eastAsia="方正仿宋简体"/>
          <w:b/>
          <w:color w:val="000000"/>
          <w:sz w:val="32"/>
          <w:szCs w:val="32"/>
        </w:rPr>
        <w:t>条、</w:t>
      </w:r>
      <w:r>
        <w:rPr>
          <w:rFonts w:hint="eastAsia" w:eastAsia="方正仿宋简体"/>
          <w:b/>
          <w:color w:val="000000"/>
          <w:sz w:val="32"/>
          <w:szCs w:val="32"/>
          <w:lang w:val="en-US" w:eastAsia="zh-CN"/>
        </w:rPr>
        <w:t>机构职能1条、</w:t>
      </w:r>
      <w:r>
        <w:rPr>
          <w:rFonts w:hint="eastAsia" w:eastAsia="方正仿宋简体"/>
          <w:b/>
          <w:color w:val="000000"/>
          <w:sz w:val="32"/>
          <w:szCs w:val="32"/>
        </w:rPr>
        <w:t>规划计划2条、</w:t>
      </w:r>
      <w:r>
        <w:rPr>
          <w:rFonts w:hint="eastAsia" w:eastAsia="方正仿宋简体"/>
          <w:b/>
          <w:color w:val="000000"/>
          <w:sz w:val="32"/>
          <w:szCs w:val="32"/>
          <w:lang w:val="en-US" w:eastAsia="zh-CN"/>
        </w:rPr>
        <w:t>财政预算决算2条、</w:t>
      </w:r>
      <w:r>
        <w:rPr>
          <w:rFonts w:hint="eastAsia" w:eastAsia="方正仿宋简体"/>
          <w:b/>
          <w:color w:val="000000"/>
          <w:sz w:val="32"/>
          <w:szCs w:val="32"/>
        </w:rPr>
        <w:t>价格</w:t>
      </w:r>
      <w:r>
        <w:rPr>
          <w:rFonts w:hint="eastAsia" w:eastAsia="方正仿宋简体"/>
          <w:b/>
          <w:color w:val="000000"/>
          <w:sz w:val="32"/>
          <w:szCs w:val="32"/>
          <w:lang w:val="en-US" w:eastAsia="zh-CN"/>
        </w:rPr>
        <w:t>与</w:t>
      </w:r>
      <w:r>
        <w:rPr>
          <w:rFonts w:hint="eastAsia" w:eastAsia="方正仿宋简体"/>
          <w:b/>
          <w:color w:val="000000"/>
          <w:sz w:val="32"/>
          <w:szCs w:val="32"/>
        </w:rPr>
        <w:t>收费2条、</w:t>
      </w:r>
      <w:r>
        <w:rPr>
          <w:rFonts w:hint="eastAsia" w:eastAsia="方正仿宋简体"/>
          <w:b/>
          <w:color w:val="000000"/>
          <w:sz w:val="32"/>
          <w:szCs w:val="32"/>
          <w:lang w:val="en-US" w:eastAsia="zh-CN"/>
        </w:rPr>
        <w:t>重大建设项目1条、</w:t>
      </w:r>
      <w:r>
        <w:rPr>
          <w:rFonts w:hint="eastAsia" w:eastAsia="方正仿宋简体"/>
          <w:b/>
          <w:color w:val="000000"/>
          <w:sz w:val="32"/>
          <w:szCs w:val="32"/>
        </w:rPr>
        <w:t>重点领域1</w:t>
      </w:r>
      <w:r>
        <w:rPr>
          <w:rFonts w:hint="eastAsia" w:eastAsia="方正仿宋简体"/>
          <w:b/>
          <w:color w:val="000000"/>
          <w:sz w:val="32"/>
          <w:szCs w:val="32"/>
          <w:lang w:val="en-US" w:eastAsia="zh-CN"/>
        </w:rPr>
        <w:t>3</w:t>
      </w:r>
      <w:r>
        <w:rPr>
          <w:rFonts w:hint="eastAsia" w:eastAsia="方正仿宋简体"/>
          <w:b/>
          <w:color w:val="000000"/>
          <w:sz w:val="32"/>
          <w:szCs w:val="32"/>
        </w:rPr>
        <w:t>条</w:t>
      </w:r>
      <w:r>
        <w:rPr>
          <w:rFonts w:hint="eastAsia" w:eastAsia="方正仿宋简体"/>
          <w:b/>
          <w:color w:val="auto"/>
          <w:sz w:val="32"/>
          <w:szCs w:val="32"/>
        </w:rPr>
        <w:t>，</w:t>
      </w:r>
      <w:r>
        <w:rPr>
          <w:rFonts w:hint="eastAsia" w:eastAsia="方正仿宋简体"/>
          <w:b/>
          <w:color w:val="000000"/>
          <w:sz w:val="32"/>
          <w:szCs w:val="32"/>
        </w:rPr>
        <w:t>公示公告</w:t>
      </w:r>
      <w:r>
        <w:rPr>
          <w:rFonts w:hint="eastAsia" w:eastAsia="方正仿宋简体"/>
          <w:b/>
          <w:color w:val="000000"/>
          <w:sz w:val="32"/>
          <w:szCs w:val="32"/>
          <w:lang w:val="en-US" w:eastAsia="zh-CN"/>
        </w:rPr>
        <w:t>22</w:t>
      </w:r>
      <w:r>
        <w:rPr>
          <w:rFonts w:hint="eastAsia" w:eastAsia="方正仿宋简体"/>
          <w:b/>
          <w:color w:val="000000"/>
          <w:sz w:val="32"/>
          <w:szCs w:val="32"/>
        </w:rPr>
        <w:t>条、建议提案办理</w:t>
      </w:r>
      <w:r>
        <w:rPr>
          <w:rFonts w:hint="eastAsia" w:eastAsia="方正仿宋简体"/>
          <w:b/>
          <w:color w:val="000000"/>
          <w:sz w:val="32"/>
          <w:szCs w:val="32"/>
          <w:lang w:val="en-US" w:eastAsia="zh-CN"/>
        </w:rPr>
        <w:t>结果</w:t>
      </w:r>
      <w:r>
        <w:rPr>
          <w:rFonts w:hint="eastAsia" w:eastAsia="方正仿宋简体"/>
          <w:b/>
          <w:color w:val="000000"/>
          <w:sz w:val="32"/>
          <w:szCs w:val="32"/>
        </w:rPr>
        <w:t>4条、执行和落实情况公开11条</w:t>
      </w:r>
      <w:r>
        <w:rPr>
          <w:rFonts w:hint="eastAsia" w:eastAsia="方正仿宋简体"/>
          <w:b/>
          <w:color w:val="auto"/>
          <w:sz w:val="32"/>
          <w:szCs w:val="32"/>
        </w:rPr>
        <w:t>，</w:t>
      </w:r>
      <w:r>
        <w:rPr>
          <w:rFonts w:hint="eastAsia" w:eastAsia="方正仿宋简体"/>
          <w:b/>
          <w:color w:val="000000"/>
          <w:sz w:val="32"/>
          <w:szCs w:val="32"/>
        </w:rPr>
        <w:t>行政执法公示</w:t>
      </w:r>
      <w:r>
        <w:rPr>
          <w:rFonts w:hint="eastAsia" w:eastAsia="方正仿宋简体"/>
          <w:b/>
          <w:color w:val="000000"/>
          <w:sz w:val="32"/>
          <w:szCs w:val="32"/>
          <w:lang w:val="en-US" w:eastAsia="zh-CN"/>
        </w:rPr>
        <w:t>32</w:t>
      </w:r>
      <w:r>
        <w:rPr>
          <w:rFonts w:hint="eastAsia" w:eastAsia="方正仿宋简体"/>
          <w:b/>
          <w:color w:val="000000"/>
          <w:sz w:val="32"/>
          <w:szCs w:val="32"/>
        </w:rPr>
        <w:t>条、</w:t>
      </w:r>
      <w:r>
        <w:rPr>
          <w:rFonts w:hint="eastAsia" w:eastAsia="方正仿宋简体"/>
          <w:b/>
          <w:color w:val="000000"/>
          <w:sz w:val="32"/>
          <w:szCs w:val="32"/>
          <w:lang w:val="en-US" w:eastAsia="zh-CN"/>
        </w:rPr>
        <w:t>主动公开基本目录2条、</w:t>
      </w:r>
      <w:r>
        <w:rPr>
          <w:rFonts w:hint="eastAsia" w:eastAsia="方正仿宋简体"/>
          <w:b/>
          <w:color w:val="000000"/>
          <w:sz w:val="32"/>
          <w:szCs w:val="32"/>
        </w:rPr>
        <w:t>组织管理1</w:t>
      </w:r>
      <w:r>
        <w:rPr>
          <w:rFonts w:hint="eastAsia" w:eastAsia="方正仿宋简体"/>
          <w:b/>
          <w:color w:val="000000"/>
          <w:sz w:val="32"/>
          <w:szCs w:val="32"/>
          <w:lang w:val="en-US" w:eastAsia="zh-CN"/>
        </w:rPr>
        <w:t>3</w:t>
      </w:r>
      <w:r>
        <w:rPr>
          <w:rFonts w:hint="eastAsia" w:eastAsia="方正仿宋简体"/>
          <w:b/>
          <w:color w:val="000000"/>
          <w:sz w:val="32"/>
          <w:szCs w:val="32"/>
        </w:rPr>
        <w:t>条。</w:t>
      </w:r>
    </w:p>
    <w:p w14:paraId="75342DC6">
      <w:pPr>
        <w:spacing w:line="610" w:lineRule="exact"/>
        <w:ind w:right="-100" w:rightChars="-50" w:firstLine="643" w:firstLineChars="200"/>
        <w:rPr>
          <w:rFonts w:eastAsia="方正楷体简体"/>
          <w:b/>
          <w:color w:val="auto"/>
          <w:sz w:val="32"/>
          <w:szCs w:val="32"/>
        </w:rPr>
      </w:pPr>
      <w:r>
        <w:rPr>
          <w:rFonts w:hint="eastAsia" w:eastAsia="方正仿宋简体"/>
          <w:b/>
          <w:color w:val="000000"/>
          <w:sz w:val="32"/>
          <w:szCs w:val="32"/>
          <w:lang w:eastAsia="zh-CN"/>
        </w:rPr>
        <w:drawing>
          <wp:anchor distT="0" distB="0" distL="114300" distR="114300" simplePos="0" relativeHeight="251659264" behindDoc="0" locked="0" layoutInCell="1" allowOverlap="1">
            <wp:simplePos x="0" y="0"/>
            <wp:positionH relativeFrom="column">
              <wp:posOffset>260985</wp:posOffset>
            </wp:positionH>
            <wp:positionV relativeFrom="paragraph">
              <wp:posOffset>80010</wp:posOffset>
            </wp:positionV>
            <wp:extent cx="5150485" cy="2022475"/>
            <wp:effectExtent l="4445" t="4445" r="11430" b="1524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eastAsia="方正楷体简体"/>
          <w:b/>
          <w:color w:val="000000"/>
          <w:sz w:val="32"/>
          <w:szCs w:val="32"/>
        </w:rPr>
        <w:t>（二）</w:t>
      </w:r>
      <w:r>
        <w:rPr>
          <w:rFonts w:hint="eastAsia" w:eastAsia="方正楷体简体"/>
          <w:b/>
          <w:color w:val="auto"/>
          <w:sz w:val="32"/>
          <w:szCs w:val="32"/>
          <w:lang w:val="en-US" w:eastAsia="zh-CN"/>
        </w:rPr>
        <w:t>规范办理</w:t>
      </w:r>
      <w:r>
        <w:rPr>
          <w:rFonts w:hint="eastAsia" w:eastAsia="方正楷体简体"/>
          <w:b/>
          <w:color w:val="auto"/>
          <w:sz w:val="32"/>
          <w:szCs w:val="32"/>
        </w:rPr>
        <w:t>依申请公开</w:t>
      </w:r>
    </w:p>
    <w:p w14:paraId="57EE782B">
      <w:pPr>
        <w:spacing w:line="610" w:lineRule="exact"/>
        <w:ind w:right="-100" w:rightChars="-50" w:firstLine="643" w:firstLineChars="200"/>
        <w:rPr>
          <w:rFonts w:hint="eastAsia" w:eastAsia="方正仿宋简体"/>
          <w:b/>
          <w:color w:val="FF0000"/>
          <w:sz w:val="32"/>
          <w:szCs w:val="32"/>
          <w:lang w:eastAsia="zh-CN"/>
        </w:rPr>
      </w:pPr>
      <w:r>
        <w:rPr>
          <w:rFonts w:hint="eastAsia" w:eastAsia="方正仿宋简体"/>
          <w:b/>
          <w:color w:val="auto"/>
          <w:sz w:val="32"/>
          <w:szCs w:val="32"/>
        </w:rPr>
        <w:t>202</w:t>
      </w:r>
      <w:r>
        <w:rPr>
          <w:rFonts w:hint="eastAsia" w:eastAsia="方正仿宋简体"/>
          <w:b/>
          <w:color w:val="auto"/>
          <w:sz w:val="32"/>
          <w:szCs w:val="32"/>
          <w:lang w:val="en-US" w:eastAsia="zh-CN"/>
        </w:rPr>
        <w:t>3</w:t>
      </w:r>
      <w:r>
        <w:rPr>
          <w:rFonts w:hint="eastAsia" w:eastAsia="方正仿宋简体"/>
          <w:b/>
          <w:color w:val="000000"/>
          <w:sz w:val="32"/>
          <w:szCs w:val="32"/>
        </w:rPr>
        <w:t>年我单位收到政府信息公开申请</w:t>
      </w:r>
      <w:r>
        <w:rPr>
          <w:rFonts w:hint="eastAsia" w:eastAsia="方正仿宋简体"/>
          <w:b/>
          <w:color w:val="000000"/>
          <w:sz w:val="32"/>
          <w:szCs w:val="32"/>
          <w:lang w:val="en-US" w:eastAsia="zh-CN"/>
        </w:rPr>
        <w:t>8</w:t>
      </w:r>
      <w:r>
        <w:rPr>
          <w:rFonts w:hint="eastAsia" w:eastAsia="方正仿宋简体"/>
          <w:b/>
          <w:color w:val="000000"/>
          <w:sz w:val="32"/>
          <w:szCs w:val="32"/>
        </w:rPr>
        <w:t>件，</w:t>
      </w:r>
      <w:r>
        <w:rPr>
          <w:rFonts w:hint="eastAsia" w:eastAsia="方正仿宋简体"/>
          <w:b/>
          <w:color w:val="000000"/>
          <w:sz w:val="32"/>
          <w:szCs w:val="32"/>
          <w:lang w:val="en-US" w:eastAsia="zh-CN"/>
        </w:rPr>
        <w:t>比2022年增加1件，均</w:t>
      </w:r>
      <w:r>
        <w:rPr>
          <w:rFonts w:hint="eastAsia" w:eastAsia="方正仿宋简体"/>
          <w:b/>
          <w:color w:val="000000"/>
          <w:sz w:val="32"/>
          <w:szCs w:val="32"/>
        </w:rPr>
        <w:t>严格</w:t>
      </w:r>
      <w:r>
        <w:rPr>
          <w:rFonts w:hint="eastAsia" w:eastAsia="方正仿宋简体"/>
          <w:b/>
          <w:color w:val="000000"/>
          <w:sz w:val="32"/>
          <w:szCs w:val="32"/>
          <w:lang w:eastAsia="zh-CN"/>
        </w:rPr>
        <w:t>按照</w:t>
      </w:r>
      <w:r>
        <w:rPr>
          <w:rFonts w:hint="eastAsia" w:eastAsia="方正仿宋简体"/>
          <w:b/>
          <w:color w:val="000000"/>
          <w:sz w:val="32"/>
          <w:szCs w:val="32"/>
        </w:rPr>
        <w:t>办理程序，</w:t>
      </w:r>
      <w:r>
        <w:rPr>
          <w:rFonts w:hint="eastAsia" w:eastAsia="方正仿宋简体"/>
          <w:b/>
          <w:color w:val="000000"/>
          <w:sz w:val="32"/>
          <w:szCs w:val="32"/>
          <w:lang w:val="en-US" w:eastAsia="zh-CN"/>
        </w:rPr>
        <w:t>按时按要求答复</w:t>
      </w:r>
      <w:r>
        <w:rPr>
          <w:rFonts w:hint="eastAsia" w:eastAsia="方正仿宋简体"/>
          <w:b/>
          <w:color w:val="000000"/>
          <w:sz w:val="32"/>
          <w:szCs w:val="32"/>
        </w:rPr>
        <w:t>，未引起行政复议和行政诉讼。</w:t>
      </w:r>
      <w:r>
        <w:rPr>
          <w:rFonts w:hint="eastAsia" w:eastAsia="方正仿宋简体"/>
          <w:b/>
          <w:color w:val="000000"/>
          <w:sz w:val="32"/>
          <w:szCs w:val="32"/>
          <w:lang w:val="en-US" w:eastAsia="zh-CN"/>
        </w:rPr>
        <w:t>2023年</w:t>
      </w:r>
      <w:r>
        <w:rPr>
          <w:rFonts w:hint="eastAsia" w:eastAsia="方正仿宋简体"/>
          <w:b/>
          <w:color w:val="000000"/>
          <w:sz w:val="32"/>
          <w:szCs w:val="32"/>
        </w:rPr>
        <w:t>未产生信息公开处理费。</w:t>
      </w:r>
    </w:p>
    <w:p w14:paraId="2ADA19DB">
      <w:pPr>
        <w:spacing w:line="610" w:lineRule="exact"/>
        <w:ind w:right="-100" w:rightChars="-50" w:firstLine="643" w:firstLineChars="200"/>
        <w:rPr>
          <w:rFonts w:eastAsia="方正楷体简体"/>
          <w:b/>
          <w:color w:val="FF0000"/>
          <w:sz w:val="32"/>
          <w:szCs w:val="32"/>
        </w:rPr>
      </w:pPr>
      <w:r>
        <w:rPr>
          <w:rFonts w:eastAsia="方正楷体简体"/>
          <w:b/>
          <w:color w:val="000000"/>
          <w:sz w:val="32"/>
          <w:szCs w:val="32"/>
        </w:rPr>
        <w:t>（三）</w:t>
      </w:r>
      <w:r>
        <w:rPr>
          <w:rFonts w:hint="eastAsia" w:eastAsia="方正楷体简体"/>
          <w:b/>
          <w:color w:val="auto"/>
          <w:sz w:val="32"/>
          <w:szCs w:val="32"/>
          <w:lang w:val="en-US" w:eastAsia="zh-CN"/>
        </w:rPr>
        <w:t>不断加强</w:t>
      </w:r>
      <w:r>
        <w:rPr>
          <w:rFonts w:eastAsia="方正楷体简体"/>
          <w:b/>
          <w:color w:val="auto"/>
          <w:sz w:val="32"/>
          <w:szCs w:val="32"/>
        </w:rPr>
        <w:t>政府信息管理</w:t>
      </w:r>
    </w:p>
    <w:p w14:paraId="171FE833">
      <w:pPr>
        <w:spacing w:line="610" w:lineRule="exact"/>
        <w:ind w:right="-100" w:rightChars="-50" w:firstLine="611" w:firstLineChars="200"/>
        <w:rPr>
          <w:rFonts w:hint="eastAsia" w:eastAsia="方正仿宋简体"/>
          <w:b/>
          <w:color w:val="000000"/>
          <w:sz w:val="32"/>
          <w:szCs w:val="32"/>
          <w:lang w:eastAsia="zh-CN"/>
        </w:rPr>
      </w:pPr>
      <w:r>
        <w:rPr>
          <w:rFonts w:hint="eastAsia" w:eastAsia="方正仿宋简体"/>
          <w:b/>
          <w:color w:val="000000"/>
          <w:spacing w:val="-8"/>
          <w:sz w:val="32"/>
          <w:szCs w:val="32"/>
          <w:lang w:eastAsia="zh-CN"/>
        </w:rPr>
        <w:t>进一步健全信息管理动态调整机制</w:t>
      </w:r>
      <w:r>
        <w:rPr>
          <w:rFonts w:hint="eastAsia" w:eastAsia="方正仿宋简体"/>
          <w:b/>
          <w:color w:val="000000"/>
          <w:spacing w:val="-8"/>
          <w:sz w:val="32"/>
          <w:szCs w:val="32"/>
        </w:rPr>
        <w:t>，及时调整信息公开工作领导小组。细化分工、压实责任，配备1名人员负责政府信息</w:t>
      </w:r>
      <w:r>
        <w:rPr>
          <w:rFonts w:hint="eastAsia" w:eastAsia="方正仿宋简体"/>
          <w:b/>
          <w:color w:val="auto"/>
          <w:spacing w:val="-8"/>
          <w:sz w:val="32"/>
          <w:szCs w:val="32"/>
          <w:lang w:eastAsia="zh-CN"/>
        </w:rPr>
        <w:t>公开</w:t>
      </w:r>
      <w:r>
        <w:rPr>
          <w:rFonts w:hint="eastAsia" w:eastAsia="方正仿宋简体"/>
          <w:b/>
          <w:color w:val="auto"/>
          <w:spacing w:val="-8"/>
          <w:sz w:val="32"/>
          <w:szCs w:val="32"/>
        </w:rPr>
        <w:t>管理工作。</w:t>
      </w:r>
      <w:r>
        <w:rPr>
          <w:rFonts w:hint="eastAsia" w:eastAsia="方正仿宋简体"/>
          <w:b/>
          <w:color w:val="000000"/>
          <w:spacing w:val="-8"/>
          <w:sz w:val="32"/>
          <w:szCs w:val="32"/>
        </w:rPr>
        <w:t>组织学习《条例》，各科室根据各自职责，经分管领导把关后，将主动公开的文件及时上传。</w:t>
      </w:r>
      <w:r>
        <w:rPr>
          <w:rFonts w:hint="eastAsia" w:eastAsia="方正仿宋简体"/>
          <w:b/>
          <w:color w:val="auto"/>
          <w:sz w:val="32"/>
          <w:szCs w:val="32"/>
        </w:rPr>
        <w:t>坚持“以公开为常态、不公开为例外”原则</w:t>
      </w:r>
      <w:r>
        <w:rPr>
          <w:rFonts w:hint="eastAsia" w:eastAsia="方正仿宋简体"/>
          <w:b/>
          <w:color w:val="auto"/>
          <w:sz w:val="32"/>
          <w:szCs w:val="32"/>
          <w:lang w:eastAsia="zh-CN"/>
        </w:rPr>
        <w:t>，</w:t>
      </w:r>
      <w:r>
        <w:rPr>
          <w:rFonts w:hint="eastAsia" w:eastAsia="方正仿宋简体"/>
          <w:b/>
          <w:color w:val="auto"/>
          <w:sz w:val="32"/>
          <w:szCs w:val="32"/>
          <w:lang w:val="en-US" w:eastAsia="zh-CN"/>
        </w:rPr>
        <w:t>做到应公开尽公开</w:t>
      </w:r>
      <w:r>
        <w:rPr>
          <w:rFonts w:hint="eastAsia" w:eastAsia="方正仿宋简体"/>
          <w:b/>
          <w:color w:val="auto"/>
          <w:spacing w:val="-8"/>
          <w:sz w:val="32"/>
          <w:szCs w:val="32"/>
        </w:rPr>
        <w:t>。</w:t>
      </w:r>
    </w:p>
    <w:p w14:paraId="1A0DE1F8">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w:t>
      </w:r>
      <w:r>
        <w:rPr>
          <w:rFonts w:hint="eastAsia" w:eastAsia="方正楷体简体"/>
          <w:b/>
          <w:color w:val="auto"/>
          <w:sz w:val="32"/>
          <w:szCs w:val="32"/>
          <w:lang w:val="en-US" w:eastAsia="zh-CN"/>
        </w:rPr>
        <w:t>强化</w:t>
      </w:r>
      <w:r>
        <w:rPr>
          <w:rFonts w:eastAsia="方正楷体简体"/>
          <w:b/>
          <w:color w:val="auto"/>
          <w:sz w:val="32"/>
          <w:szCs w:val="32"/>
        </w:rPr>
        <w:t>政府信息公开平台建设</w:t>
      </w:r>
    </w:p>
    <w:p w14:paraId="040C75B1">
      <w:pPr>
        <w:spacing w:line="610" w:lineRule="exact"/>
        <w:ind w:right="-100" w:rightChars="-50" w:firstLine="643" w:firstLineChars="200"/>
        <w:rPr>
          <w:rFonts w:hint="eastAsia" w:eastAsia="方正仿宋简体"/>
          <w:b/>
          <w:color w:val="auto"/>
          <w:sz w:val="32"/>
          <w:szCs w:val="32"/>
          <w:lang w:eastAsia="zh-CN"/>
        </w:rPr>
      </w:pPr>
      <w:r>
        <w:rPr>
          <w:rFonts w:hint="eastAsia" w:eastAsia="方正仿宋简体"/>
          <w:b/>
          <w:color w:val="auto"/>
          <w:sz w:val="32"/>
          <w:szCs w:val="32"/>
        </w:rPr>
        <w:t>严格执行“谁开设、谁主办、谁负责”的原则，不断加强政府网站内容保障，发布权威准确</w:t>
      </w:r>
      <w:r>
        <w:rPr>
          <w:rFonts w:hint="eastAsia" w:eastAsia="方正仿宋简体"/>
          <w:b/>
          <w:color w:val="auto"/>
          <w:sz w:val="32"/>
          <w:szCs w:val="32"/>
          <w:lang w:val="en-US" w:eastAsia="zh-CN"/>
        </w:rPr>
        <w:t>且</w:t>
      </w:r>
      <w:r>
        <w:rPr>
          <w:rFonts w:hint="eastAsia" w:eastAsia="方正仿宋简体"/>
          <w:b/>
          <w:color w:val="auto"/>
          <w:sz w:val="32"/>
          <w:szCs w:val="32"/>
        </w:rPr>
        <w:t>通俗易懂的政策解读产品，</w:t>
      </w:r>
      <w:r>
        <w:rPr>
          <w:rFonts w:hint="eastAsia" w:eastAsia="方正仿宋简体"/>
          <w:b/>
          <w:color w:val="auto"/>
          <w:sz w:val="32"/>
          <w:szCs w:val="32"/>
          <w:lang w:val="en-US" w:eastAsia="zh-CN"/>
        </w:rPr>
        <w:t>并</w:t>
      </w:r>
      <w:r>
        <w:rPr>
          <w:rFonts w:hint="eastAsia" w:eastAsia="方正仿宋简体"/>
          <w:b/>
          <w:color w:val="auto"/>
          <w:sz w:val="32"/>
          <w:szCs w:val="32"/>
        </w:rPr>
        <w:t>通过政府门户网站加强与社会公众互动交流。同时，强化网络安全责任，做好政府网站安全防护责任。</w:t>
      </w:r>
    </w:p>
    <w:p w14:paraId="17026226">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（五）</w:t>
      </w:r>
      <w:r>
        <w:rPr>
          <w:rFonts w:hint="eastAsia" w:eastAsia="方正楷体简体"/>
          <w:b/>
          <w:color w:val="auto"/>
          <w:sz w:val="32"/>
          <w:szCs w:val="32"/>
          <w:lang w:val="en-US" w:eastAsia="zh-CN"/>
        </w:rPr>
        <w:t>做好政务公开</w:t>
      </w:r>
      <w:r>
        <w:rPr>
          <w:rFonts w:eastAsia="方正楷体简体"/>
          <w:b/>
          <w:color w:val="auto"/>
          <w:sz w:val="32"/>
          <w:szCs w:val="32"/>
        </w:rPr>
        <w:t>监督保障</w:t>
      </w:r>
    </w:p>
    <w:p w14:paraId="16C62B3F">
      <w:pPr>
        <w:spacing w:line="610" w:lineRule="exact"/>
        <w:ind w:right="-100" w:rightChars="-50" w:firstLine="643" w:firstLineChars="200"/>
        <w:rPr>
          <w:rFonts w:hint="eastAsia" w:eastAsia="方正仿宋简体"/>
          <w:b/>
          <w:color w:val="FF0000"/>
          <w:sz w:val="32"/>
          <w:szCs w:val="32"/>
          <w:lang w:eastAsia="zh-CN"/>
        </w:rPr>
      </w:pPr>
      <w:r>
        <w:rPr>
          <w:rFonts w:hint="eastAsia" w:eastAsia="方正仿宋简体"/>
          <w:b/>
          <w:color w:val="000000"/>
          <w:sz w:val="32"/>
          <w:szCs w:val="32"/>
          <w:lang w:val="en-US" w:eastAsia="zh-CN"/>
        </w:rPr>
        <w:t>成立政务公开领导小组，</w:t>
      </w:r>
      <w:r>
        <w:rPr>
          <w:rFonts w:hint="eastAsia" w:eastAsia="方正仿宋简体"/>
          <w:b/>
          <w:color w:val="000000"/>
          <w:sz w:val="32"/>
          <w:szCs w:val="32"/>
        </w:rPr>
        <w:t>制定政务公开培训计划</w:t>
      </w:r>
      <w:r>
        <w:rPr>
          <w:rFonts w:hint="eastAsia" w:eastAsia="方正仿宋简体"/>
          <w:b/>
          <w:color w:val="000000"/>
          <w:sz w:val="32"/>
          <w:szCs w:val="32"/>
          <w:lang w:eastAsia="zh-CN"/>
        </w:rPr>
        <w:t>，</w:t>
      </w:r>
      <w:r>
        <w:rPr>
          <w:rFonts w:hint="eastAsia" w:eastAsia="方正仿宋简体"/>
          <w:b/>
          <w:color w:val="000000"/>
          <w:sz w:val="32"/>
          <w:szCs w:val="32"/>
        </w:rPr>
        <w:t>积极参加</w:t>
      </w:r>
      <w:r>
        <w:rPr>
          <w:rFonts w:hint="eastAsia" w:eastAsia="方正仿宋简体"/>
          <w:b/>
          <w:color w:val="000000"/>
          <w:sz w:val="32"/>
          <w:szCs w:val="32"/>
          <w:lang w:val="en-US" w:eastAsia="zh-CN"/>
        </w:rPr>
        <w:t>区政府</w:t>
      </w:r>
      <w:r>
        <w:rPr>
          <w:rFonts w:hint="eastAsia" w:eastAsia="方正仿宋简体"/>
          <w:b/>
          <w:color w:val="000000"/>
          <w:sz w:val="32"/>
          <w:szCs w:val="32"/>
        </w:rPr>
        <w:t>组织的政务公开工作会议和业务培训</w:t>
      </w:r>
      <w:r>
        <w:rPr>
          <w:rFonts w:hint="eastAsia" w:eastAsia="方正仿宋简体"/>
          <w:b/>
          <w:color w:val="000000"/>
          <w:sz w:val="32"/>
          <w:szCs w:val="32"/>
          <w:lang w:eastAsia="zh-CN"/>
        </w:rPr>
        <w:t>、轮训</w:t>
      </w:r>
      <w:r>
        <w:rPr>
          <w:rFonts w:hint="eastAsia" w:eastAsia="方正仿宋简体"/>
          <w:b/>
          <w:color w:val="000000"/>
          <w:sz w:val="32"/>
          <w:szCs w:val="32"/>
        </w:rPr>
        <w:t>，并对各科室具体负责政务公开工作的工作人员进行培训，确保政务公开工作质量。</w:t>
      </w:r>
      <w:r>
        <w:rPr>
          <w:rFonts w:hint="eastAsia" w:eastAsia="方正仿宋简体"/>
          <w:b/>
          <w:color w:val="000000"/>
          <w:sz w:val="32"/>
          <w:szCs w:val="32"/>
          <w:lang w:val="en-US" w:eastAsia="zh-CN"/>
        </w:rPr>
        <w:t>建立监督检查制度，</w:t>
      </w:r>
      <w:r>
        <w:rPr>
          <w:rFonts w:hint="eastAsia" w:eastAsia="方正仿宋简体"/>
          <w:b/>
          <w:color w:val="000000"/>
          <w:sz w:val="32"/>
          <w:szCs w:val="32"/>
        </w:rPr>
        <w:t>定期不定期进行自查，对发现的问题立行立改。</w:t>
      </w:r>
    </w:p>
    <w:p w14:paraId="0DDD9D53">
      <w:pPr>
        <w:spacing w:line="590" w:lineRule="exact"/>
        <w:ind w:right="-100" w:rightChars="-50" w:firstLine="641"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7"/>
        <w:tblW w:w="5000" w:type="pct"/>
        <w:tblInd w:w="0" w:type="dxa"/>
        <w:tblLayout w:type="autofit"/>
        <w:tblCellMar>
          <w:top w:w="0" w:type="dxa"/>
          <w:left w:w="108" w:type="dxa"/>
          <w:bottom w:w="0" w:type="dxa"/>
          <w:right w:w="108" w:type="dxa"/>
        </w:tblCellMar>
      </w:tblPr>
      <w:tblGrid>
        <w:gridCol w:w="2237"/>
        <w:gridCol w:w="2237"/>
        <w:gridCol w:w="2237"/>
        <w:gridCol w:w="2237"/>
      </w:tblGrid>
      <w:tr w14:paraId="7CD20ED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41E558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0DDC82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E773F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331115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31C1A78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653764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9E4828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87E054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3262B58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1309CA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29A135A">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864726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AE4F66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413A3A5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DBD038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250" w:type="pct"/>
            <w:tcBorders>
              <w:top w:val="nil"/>
              <w:left w:val="nil"/>
              <w:bottom w:val="single" w:color="auto" w:sz="8" w:space="0"/>
              <w:right w:val="single" w:color="auto" w:sz="8" w:space="0"/>
            </w:tcBorders>
            <w:noWrap w:val="0"/>
            <w:vAlign w:val="center"/>
          </w:tcPr>
          <w:p w14:paraId="2B123E95">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8F497A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60DC88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A5A4FF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1A0C7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581BC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DC99C5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73FC65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1D39705F">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6A72B074">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5B4A8A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3724DA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68FCD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35B9546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1429A7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494C60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3EBDE931">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14:paraId="411E97E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84D64B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5884D73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5864F3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8E13F7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1507A87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B63BF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24261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B666D1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302F66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5EE8F62">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9650499">
      <w:pPr>
        <w:spacing w:before="62" w:beforeLines="10" w:after="62" w:afterLines="10" w:line="600" w:lineRule="exact"/>
        <w:ind w:firstLine="641" w:firstLineChars="200"/>
        <w:rPr>
          <w:rFonts w:eastAsia="方正黑体简体"/>
          <w:b/>
          <w:sz w:val="32"/>
          <w:szCs w:val="32"/>
        </w:rPr>
      </w:pPr>
      <w:r>
        <w:rPr>
          <w:rFonts w:eastAsia="方正黑体简体"/>
          <w:b/>
          <w:sz w:val="32"/>
          <w:szCs w:val="32"/>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F1BF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6078D3AD">
            <w:pPr>
              <w:widowControl/>
              <w:jc w:val="center"/>
              <w:rPr>
                <w:rFonts w:ascii="楷体_GB2312" w:hAnsi="黑体" w:eastAsia="楷体_GB2312"/>
                <w:kern w:val="0"/>
                <w:sz w:val="21"/>
                <w:szCs w:val="21"/>
              </w:rPr>
            </w:pPr>
            <w:r>
              <w:rPr>
                <w:rFonts w:hint="eastAsia" w:ascii="楷体_GB2312" w:hAnsi="黑体" w:eastAsia="楷体_GB2312"/>
                <w:kern w:val="0"/>
                <w:sz w:val="21"/>
                <w:szCs w:val="21"/>
              </w:rPr>
              <w:t>（本列数据的勾稽关系为：第一项加第二项之和，</w:t>
            </w:r>
          </w:p>
          <w:p w14:paraId="1D9EEB09">
            <w:pPr>
              <w:widowControl/>
              <w:jc w:val="center"/>
              <w:rPr>
                <w:rFonts w:ascii="仿宋_GB2312" w:hAnsi="Times New Roman" w:eastAsia="仿宋_GB2312"/>
                <w:sz w:val="21"/>
                <w:szCs w:val="21"/>
              </w:rPr>
            </w:pPr>
            <w:r>
              <w:rPr>
                <w:rFonts w:hint="eastAsia" w:ascii="楷体_GB2312" w:hAnsi="黑体" w:eastAsia="楷体_GB2312"/>
                <w:kern w:val="0"/>
                <w:sz w:val="21"/>
                <w:szCs w:val="21"/>
              </w:rPr>
              <w:t>等于第三项加第四项之和）</w:t>
            </w:r>
          </w:p>
        </w:tc>
        <w:tc>
          <w:tcPr>
            <w:tcW w:w="4820" w:type="dxa"/>
            <w:gridSpan w:val="7"/>
            <w:noWrap w:val="0"/>
            <w:tcMar>
              <w:left w:w="108" w:type="dxa"/>
              <w:right w:w="108" w:type="dxa"/>
            </w:tcMar>
            <w:vAlign w:val="center"/>
          </w:tcPr>
          <w:p w14:paraId="0504E941">
            <w:pPr>
              <w:widowControl/>
              <w:spacing w:line="320" w:lineRule="exact"/>
              <w:jc w:val="center"/>
              <w:rPr>
                <w:rFonts w:ascii="黑体" w:hAnsi="黑体" w:eastAsia="黑体"/>
                <w:sz w:val="21"/>
                <w:szCs w:val="21"/>
              </w:rPr>
            </w:pPr>
            <w:r>
              <w:rPr>
                <w:rFonts w:hint="eastAsia" w:ascii="黑体" w:hAnsi="黑体" w:eastAsia="黑体"/>
                <w:kern w:val="0"/>
                <w:sz w:val="21"/>
                <w:szCs w:val="21"/>
              </w:rPr>
              <w:t>申请人情况</w:t>
            </w:r>
          </w:p>
        </w:tc>
      </w:tr>
      <w:tr w14:paraId="7B2FC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0A7BFD06">
            <w:pPr>
              <w:jc w:val="center"/>
              <w:rPr>
                <w:rFonts w:ascii="仿宋_GB2312" w:hAnsi="Times New Roman" w:eastAsia="仿宋_GB2312"/>
                <w:sz w:val="21"/>
                <w:szCs w:val="21"/>
              </w:rPr>
            </w:pPr>
          </w:p>
        </w:tc>
        <w:tc>
          <w:tcPr>
            <w:tcW w:w="829" w:type="dxa"/>
            <w:vMerge w:val="restart"/>
            <w:noWrap w:val="0"/>
            <w:tcMar>
              <w:left w:w="108" w:type="dxa"/>
              <w:right w:w="108" w:type="dxa"/>
            </w:tcMar>
            <w:vAlign w:val="center"/>
          </w:tcPr>
          <w:p w14:paraId="12BDE5E7">
            <w:pPr>
              <w:widowControl/>
              <w:jc w:val="center"/>
              <w:rPr>
                <w:rFonts w:ascii="黑体" w:hAnsi="黑体" w:eastAsia="黑体"/>
                <w:sz w:val="21"/>
                <w:szCs w:val="21"/>
              </w:rPr>
            </w:pPr>
            <w:r>
              <w:rPr>
                <w:rFonts w:hint="eastAsia" w:ascii="黑体" w:hAnsi="黑体" w:eastAsia="黑体"/>
                <w:kern w:val="0"/>
                <w:sz w:val="21"/>
                <w:szCs w:val="21"/>
              </w:rPr>
              <w:t>自然人</w:t>
            </w:r>
          </w:p>
        </w:tc>
        <w:tc>
          <w:tcPr>
            <w:tcW w:w="3140" w:type="dxa"/>
            <w:gridSpan w:val="5"/>
            <w:noWrap w:val="0"/>
            <w:tcMar>
              <w:left w:w="108" w:type="dxa"/>
              <w:right w:w="108" w:type="dxa"/>
            </w:tcMar>
            <w:vAlign w:val="center"/>
          </w:tcPr>
          <w:p w14:paraId="5F7A17D9">
            <w:pPr>
              <w:widowControl/>
              <w:spacing w:line="320" w:lineRule="exact"/>
              <w:jc w:val="center"/>
              <w:rPr>
                <w:rFonts w:ascii="黑体" w:hAnsi="黑体" w:eastAsia="黑体"/>
                <w:sz w:val="21"/>
                <w:szCs w:val="21"/>
              </w:rPr>
            </w:pPr>
            <w:r>
              <w:rPr>
                <w:rFonts w:hint="eastAsia" w:ascii="黑体" w:hAnsi="黑体" w:eastAsia="黑体"/>
                <w:kern w:val="0"/>
                <w:sz w:val="21"/>
                <w:szCs w:val="21"/>
              </w:rPr>
              <w:t>法人或其他组织</w:t>
            </w:r>
          </w:p>
        </w:tc>
        <w:tc>
          <w:tcPr>
            <w:tcW w:w="851" w:type="dxa"/>
            <w:vMerge w:val="restart"/>
            <w:noWrap w:val="0"/>
            <w:tcMar>
              <w:left w:w="108" w:type="dxa"/>
              <w:right w:w="108" w:type="dxa"/>
            </w:tcMar>
            <w:vAlign w:val="center"/>
          </w:tcPr>
          <w:p w14:paraId="5F9F8BDA">
            <w:pPr>
              <w:widowControl/>
              <w:jc w:val="center"/>
              <w:rPr>
                <w:rFonts w:ascii="黑体" w:hAnsi="黑体" w:eastAsia="黑体"/>
                <w:sz w:val="21"/>
                <w:szCs w:val="21"/>
              </w:rPr>
            </w:pPr>
            <w:r>
              <w:rPr>
                <w:rFonts w:hint="eastAsia" w:ascii="黑体" w:hAnsi="黑体" w:eastAsia="黑体"/>
                <w:kern w:val="0"/>
                <w:sz w:val="21"/>
                <w:szCs w:val="21"/>
              </w:rPr>
              <w:t>总计</w:t>
            </w:r>
          </w:p>
        </w:tc>
      </w:tr>
      <w:tr w14:paraId="0F4A4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1CBBE7B">
            <w:pPr>
              <w:jc w:val="center"/>
              <w:rPr>
                <w:rFonts w:ascii="仿宋_GB2312" w:hAnsi="Times New Roman" w:eastAsia="仿宋_GB2312"/>
                <w:sz w:val="21"/>
                <w:szCs w:val="21"/>
              </w:rPr>
            </w:pPr>
          </w:p>
        </w:tc>
        <w:tc>
          <w:tcPr>
            <w:tcW w:w="829" w:type="dxa"/>
            <w:vMerge w:val="continue"/>
            <w:noWrap w:val="0"/>
            <w:tcMar>
              <w:left w:w="108" w:type="dxa"/>
              <w:right w:w="108" w:type="dxa"/>
            </w:tcMar>
            <w:vAlign w:val="center"/>
          </w:tcPr>
          <w:p w14:paraId="1D013518">
            <w:pPr>
              <w:jc w:val="center"/>
              <w:rPr>
                <w:rFonts w:ascii="黑体" w:hAnsi="黑体" w:eastAsia="黑体"/>
                <w:sz w:val="21"/>
                <w:szCs w:val="21"/>
              </w:rPr>
            </w:pPr>
          </w:p>
        </w:tc>
        <w:tc>
          <w:tcPr>
            <w:tcW w:w="567" w:type="dxa"/>
            <w:noWrap w:val="0"/>
            <w:tcMar>
              <w:left w:w="108" w:type="dxa"/>
              <w:right w:w="108" w:type="dxa"/>
            </w:tcMar>
            <w:vAlign w:val="center"/>
          </w:tcPr>
          <w:p w14:paraId="3D395348">
            <w:pPr>
              <w:widowControl/>
              <w:spacing w:line="320" w:lineRule="exact"/>
              <w:ind w:left="-101" w:leftChars="-51" w:right="-102" w:rightChars="-51" w:hanging="1"/>
              <w:jc w:val="center"/>
              <w:rPr>
                <w:rFonts w:ascii="黑体" w:hAnsi="黑体" w:eastAsia="黑体"/>
                <w:sz w:val="21"/>
                <w:szCs w:val="21"/>
              </w:rPr>
            </w:pPr>
            <w:r>
              <w:rPr>
                <w:rFonts w:hint="eastAsia" w:ascii="黑体" w:hAnsi="黑体" w:eastAsia="黑体"/>
                <w:kern w:val="0"/>
                <w:sz w:val="21"/>
                <w:szCs w:val="21"/>
              </w:rPr>
              <w:t>商业企业</w:t>
            </w:r>
          </w:p>
        </w:tc>
        <w:tc>
          <w:tcPr>
            <w:tcW w:w="567" w:type="dxa"/>
            <w:noWrap w:val="0"/>
            <w:tcMar>
              <w:left w:w="108" w:type="dxa"/>
              <w:right w:w="108" w:type="dxa"/>
            </w:tcMar>
            <w:vAlign w:val="center"/>
          </w:tcPr>
          <w:p w14:paraId="2BCAC1CF">
            <w:pPr>
              <w:widowControl/>
              <w:spacing w:line="320" w:lineRule="exact"/>
              <w:ind w:left="-102" w:leftChars="-51" w:right="-102" w:rightChars="-51"/>
              <w:jc w:val="center"/>
              <w:rPr>
                <w:rFonts w:ascii="黑体" w:hAnsi="黑体" w:eastAsia="黑体"/>
                <w:sz w:val="21"/>
                <w:szCs w:val="21"/>
              </w:rPr>
            </w:pPr>
            <w:r>
              <w:rPr>
                <w:rFonts w:hint="eastAsia" w:ascii="黑体" w:hAnsi="黑体" w:eastAsia="黑体"/>
                <w:kern w:val="0"/>
                <w:sz w:val="21"/>
                <w:szCs w:val="21"/>
              </w:rPr>
              <w:t>科研机构</w:t>
            </w:r>
          </w:p>
        </w:tc>
        <w:tc>
          <w:tcPr>
            <w:tcW w:w="731" w:type="dxa"/>
            <w:noWrap w:val="0"/>
            <w:tcMar>
              <w:left w:w="108" w:type="dxa"/>
              <w:right w:w="108" w:type="dxa"/>
            </w:tcMar>
            <w:vAlign w:val="center"/>
          </w:tcPr>
          <w:p w14:paraId="76D04302">
            <w:pPr>
              <w:widowControl/>
              <w:spacing w:line="320" w:lineRule="exact"/>
              <w:ind w:left="-102" w:leftChars="-51" w:right="-102" w:rightChars="-51"/>
              <w:jc w:val="center"/>
              <w:rPr>
                <w:rFonts w:ascii="黑体" w:hAnsi="黑体" w:eastAsia="黑体"/>
                <w:sz w:val="21"/>
                <w:szCs w:val="21"/>
              </w:rPr>
            </w:pPr>
            <w:r>
              <w:rPr>
                <w:rFonts w:hint="eastAsia" w:ascii="黑体" w:hAnsi="黑体" w:eastAsia="黑体"/>
                <w:kern w:val="0"/>
                <w:sz w:val="21"/>
                <w:szCs w:val="21"/>
              </w:rPr>
              <w:t>社会公益组织</w:t>
            </w:r>
          </w:p>
        </w:tc>
        <w:tc>
          <w:tcPr>
            <w:tcW w:w="708" w:type="dxa"/>
            <w:noWrap w:val="0"/>
            <w:tcMar>
              <w:left w:w="108" w:type="dxa"/>
              <w:right w:w="108" w:type="dxa"/>
            </w:tcMar>
            <w:vAlign w:val="center"/>
          </w:tcPr>
          <w:p w14:paraId="28FA3090">
            <w:pPr>
              <w:widowControl/>
              <w:spacing w:line="320" w:lineRule="exact"/>
              <w:ind w:left="-101" w:leftChars="-51" w:right="-102" w:rightChars="-51" w:hanging="1"/>
              <w:jc w:val="center"/>
              <w:rPr>
                <w:rFonts w:ascii="黑体" w:hAnsi="黑体" w:eastAsia="黑体"/>
                <w:sz w:val="21"/>
                <w:szCs w:val="21"/>
              </w:rPr>
            </w:pPr>
            <w:r>
              <w:rPr>
                <w:rFonts w:hint="eastAsia" w:ascii="黑体" w:hAnsi="黑体" w:eastAsia="黑体"/>
                <w:kern w:val="0"/>
                <w:sz w:val="21"/>
                <w:szCs w:val="21"/>
              </w:rPr>
              <w:t>法律服务机构</w:t>
            </w:r>
          </w:p>
        </w:tc>
        <w:tc>
          <w:tcPr>
            <w:tcW w:w="567" w:type="dxa"/>
            <w:noWrap w:val="0"/>
            <w:tcMar>
              <w:left w:w="108" w:type="dxa"/>
              <w:right w:w="108" w:type="dxa"/>
            </w:tcMar>
            <w:vAlign w:val="center"/>
          </w:tcPr>
          <w:p w14:paraId="02107234">
            <w:pPr>
              <w:widowControl/>
              <w:spacing w:line="360" w:lineRule="exact"/>
              <w:ind w:left="-60" w:leftChars="-30" w:right="-128" w:rightChars="-64"/>
              <w:jc w:val="center"/>
              <w:rPr>
                <w:rFonts w:ascii="黑体" w:hAnsi="黑体" w:eastAsia="黑体"/>
                <w:sz w:val="21"/>
                <w:szCs w:val="21"/>
              </w:rPr>
            </w:pPr>
            <w:r>
              <w:rPr>
                <w:rFonts w:hint="eastAsia" w:ascii="黑体" w:hAnsi="黑体" w:eastAsia="黑体"/>
                <w:kern w:val="0"/>
                <w:sz w:val="21"/>
                <w:szCs w:val="21"/>
              </w:rPr>
              <w:t>其他</w:t>
            </w:r>
          </w:p>
        </w:tc>
        <w:tc>
          <w:tcPr>
            <w:tcW w:w="851" w:type="dxa"/>
            <w:vMerge w:val="continue"/>
            <w:noWrap w:val="0"/>
            <w:tcMar>
              <w:left w:w="108" w:type="dxa"/>
              <w:right w:w="108" w:type="dxa"/>
            </w:tcMar>
            <w:vAlign w:val="center"/>
          </w:tcPr>
          <w:p w14:paraId="0ABB6D30">
            <w:pPr>
              <w:jc w:val="center"/>
              <w:rPr>
                <w:rFonts w:ascii="仿宋_GB2312" w:hAnsi="Times New Roman" w:eastAsia="仿宋_GB2312"/>
                <w:sz w:val="21"/>
                <w:szCs w:val="21"/>
              </w:rPr>
            </w:pPr>
          </w:p>
        </w:tc>
      </w:tr>
      <w:tr w14:paraId="3B387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D3BC9BF">
            <w:pPr>
              <w:widowControl/>
              <w:rPr>
                <w:rFonts w:ascii="黑体" w:hAnsi="黑体" w:eastAsia="黑体"/>
                <w:sz w:val="21"/>
                <w:szCs w:val="21"/>
              </w:rPr>
            </w:pPr>
            <w:r>
              <w:rPr>
                <w:rFonts w:hint="eastAsia" w:ascii="黑体" w:hAnsi="黑体" w:eastAsia="黑体"/>
                <w:kern w:val="0"/>
                <w:sz w:val="21"/>
                <w:szCs w:val="21"/>
              </w:rPr>
              <w:t>一、</w:t>
            </w:r>
            <w:bookmarkStart w:id="0" w:name="_Hlk66973412"/>
            <w:r>
              <w:rPr>
                <w:rFonts w:hint="eastAsia" w:ascii="黑体" w:hAnsi="黑体" w:eastAsia="黑体"/>
                <w:kern w:val="0"/>
                <w:sz w:val="21"/>
                <w:szCs w:val="21"/>
              </w:rPr>
              <w:t>本年新收政府信息公开申请数量</w:t>
            </w:r>
            <w:bookmarkEnd w:id="0"/>
          </w:p>
        </w:tc>
        <w:tc>
          <w:tcPr>
            <w:tcW w:w="829" w:type="dxa"/>
            <w:noWrap w:val="0"/>
            <w:tcMar>
              <w:left w:w="108" w:type="dxa"/>
              <w:right w:w="108" w:type="dxa"/>
            </w:tcMar>
            <w:vAlign w:val="center"/>
          </w:tcPr>
          <w:p w14:paraId="7CD80B6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8</w:t>
            </w:r>
          </w:p>
        </w:tc>
        <w:tc>
          <w:tcPr>
            <w:tcW w:w="567" w:type="dxa"/>
            <w:noWrap w:val="0"/>
            <w:tcMar>
              <w:left w:w="108" w:type="dxa"/>
              <w:right w:w="108" w:type="dxa"/>
            </w:tcMar>
            <w:vAlign w:val="center"/>
          </w:tcPr>
          <w:p w14:paraId="6DF84C3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61974C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2F3E8F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51341F2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732019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67EC756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8</w:t>
            </w:r>
          </w:p>
        </w:tc>
      </w:tr>
      <w:tr w14:paraId="384D2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B0298B7">
            <w:pPr>
              <w:widowControl/>
              <w:rPr>
                <w:rFonts w:ascii="黑体" w:hAnsi="黑体" w:eastAsia="黑体"/>
                <w:sz w:val="21"/>
                <w:szCs w:val="21"/>
              </w:rPr>
            </w:pPr>
            <w:r>
              <w:rPr>
                <w:rFonts w:hint="eastAsia" w:ascii="黑体" w:hAnsi="黑体" w:eastAsia="黑体"/>
                <w:kern w:val="0"/>
                <w:sz w:val="21"/>
                <w:szCs w:val="21"/>
              </w:rPr>
              <w:t>二、上年结转政府信息公开申请数量</w:t>
            </w:r>
          </w:p>
        </w:tc>
        <w:tc>
          <w:tcPr>
            <w:tcW w:w="829" w:type="dxa"/>
            <w:noWrap w:val="0"/>
            <w:tcMar>
              <w:left w:w="108" w:type="dxa"/>
              <w:right w:w="108" w:type="dxa"/>
            </w:tcMar>
            <w:vAlign w:val="center"/>
          </w:tcPr>
          <w:p w14:paraId="56C98A7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3F3BC3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A90777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6B42F32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7C5D522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29DA9D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0F4D1EE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86C4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33FC01E5">
            <w:pPr>
              <w:widowControl/>
              <w:spacing w:after="180"/>
              <w:rPr>
                <w:rFonts w:ascii="黑体" w:hAnsi="黑体" w:eastAsia="黑体"/>
                <w:sz w:val="21"/>
                <w:szCs w:val="21"/>
              </w:rPr>
            </w:pPr>
            <w:r>
              <w:rPr>
                <w:rFonts w:hint="eastAsia" w:ascii="黑体" w:hAnsi="黑体" w:eastAsia="黑体"/>
                <w:kern w:val="0"/>
                <w:sz w:val="21"/>
                <w:szCs w:val="21"/>
              </w:rPr>
              <w:t>三、本年度办理结果</w:t>
            </w:r>
          </w:p>
        </w:tc>
        <w:tc>
          <w:tcPr>
            <w:tcW w:w="4677" w:type="dxa"/>
            <w:gridSpan w:val="2"/>
            <w:noWrap w:val="0"/>
            <w:tcMar>
              <w:left w:w="108" w:type="dxa"/>
              <w:right w:w="108" w:type="dxa"/>
            </w:tcMar>
            <w:vAlign w:val="center"/>
          </w:tcPr>
          <w:p w14:paraId="4158376C">
            <w:pPr>
              <w:widowControl/>
              <w:rPr>
                <w:rFonts w:ascii="黑体" w:hAnsi="黑体" w:eastAsia="黑体"/>
                <w:sz w:val="21"/>
                <w:szCs w:val="21"/>
              </w:rPr>
            </w:pPr>
            <w:r>
              <w:rPr>
                <w:rFonts w:hint="eastAsia" w:ascii="黑体" w:hAnsi="黑体" w:eastAsia="黑体"/>
                <w:kern w:val="0"/>
                <w:sz w:val="21"/>
                <w:szCs w:val="21"/>
              </w:rPr>
              <w:t>（一）予以公开</w:t>
            </w:r>
          </w:p>
        </w:tc>
        <w:tc>
          <w:tcPr>
            <w:tcW w:w="829" w:type="dxa"/>
            <w:noWrap w:val="0"/>
            <w:tcMar>
              <w:left w:w="108" w:type="dxa"/>
              <w:right w:w="108" w:type="dxa"/>
            </w:tcMar>
            <w:vAlign w:val="center"/>
          </w:tcPr>
          <w:p w14:paraId="36C0036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6AEB9F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1ADED3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557324D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78219E3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8C6DD8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2B4AA9E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0B872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1AA231B">
            <w:pPr>
              <w:rPr>
                <w:rFonts w:ascii="黑体" w:hAnsi="黑体" w:eastAsia="黑体"/>
                <w:sz w:val="21"/>
                <w:szCs w:val="21"/>
              </w:rPr>
            </w:pPr>
          </w:p>
        </w:tc>
        <w:tc>
          <w:tcPr>
            <w:tcW w:w="4677" w:type="dxa"/>
            <w:gridSpan w:val="2"/>
            <w:noWrap w:val="0"/>
            <w:tcMar>
              <w:left w:w="108" w:type="dxa"/>
              <w:right w:w="108" w:type="dxa"/>
            </w:tcMar>
            <w:vAlign w:val="center"/>
          </w:tcPr>
          <w:p w14:paraId="08043511">
            <w:pPr>
              <w:widowControl/>
              <w:rPr>
                <w:rFonts w:ascii="黑体" w:hAnsi="黑体" w:eastAsia="黑体"/>
                <w:sz w:val="21"/>
                <w:szCs w:val="21"/>
              </w:rPr>
            </w:pPr>
            <w:r>
              <w:rPr>
                <w:rFonts w:hint="eastAsia" w:ascii="黑体" w:hAnsi="黑体" w:eastAsia="黑体"/>
                <w:kern w:val="0"/>
                <w:sz w:val="21"/>
                <w:szCs w:val="21"/>
              </w:rPr>
              <w:t>（二）部分公开（</w:t>
            </w:r>
            <w:bookmarkStart w:id="1" w:name="_Hlk66973981"/>
            <w:r>
              <w:rPr>
                <w:rFonts w:hint="eastAsia" w:ascii="黑体" w:hAnsi="黑体" w:eastAsia="黑体"/>
                <w:kern w:val="0"/>
                <w:sz w:val="21"/>
                <w:szCs w:val="21"/>
              </w:rPr>
              <w:t>区分处理的，只计这一情形，不计其他情形</w:t>
            </w:r>
            <w:bookmarkEnd w:id="1"/>
            <w:r>
              <w:rPr>
                <w:rFonts w:hint="eastAsia" w:ascii="黑体" w:hAnsi="黑体" w:eastAsia="黑体"/>
                <w:kern w:val="0"/>
                <w:sz w:val="21"/>
                <w:szCs w:val="21"/>
              </w:rPr>
              <w:t>）</w:t>
            </w:r>
          </w:p>
        </w:tc>
        <w:tc>
          <w:tcPr>
            <w:tcW w:w="829" w:type="dxa"/>
            <w:noWrap w:val="0"/>
            <w:tcMar>
              <w:left w:w="108" w:type="dxa"/>
              <w:right w:w="108" w:type="dxa"/>
            </w:tcMar>
            <w:vAlign w:val="center"/>
          </w:tcPr>
          <w:p w14:paraId="45682E9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1</w:t>
            </w:r>
          </w:p>
        </w:tc>
        <w:tc>
          <w:tcPr>
            <w:tcW w:w="567" w:type="dxa"/>
            <w:noWrap w:val="0"/>
            <w:tcMar>
              <w:left w:w="108" w:type="dxa"/>
              <w:right w:w="108" w:type="dxa"/>
            </w:tcMar>
            <w:vAlign w:val="center"/>
          </w:tcPr>
          <w:p w14:paraId="1ADF4F1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EF805DD">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474E521">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6AEC01FB">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24851FD">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715EB9CE">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1</w:t>
            </w:r>
          </w:p>
        </w:tc>
      </w:tr>
      <w:tr w14:paraId="096F0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33C85FF">
            <w:pPr>
              <w:rPr>
                <w:rFonts w:ascii="黑体" w:hAnsi="黑体" w:eastAsia="黑体"/>
                <w:sz w:val="21"/>
                <w:szCs w:val="21"/>
              </w:rPr>
            </w:pPr>
          </w:p>
        </w:tc>
        <w:tc>
          <w:tcPr>
            <w:tcW w:w="1701" w:type="dxa"/>
            <w:vMerge w:val="restart"/>
            <w:noWrap w:val="0"/>
            <w:tcMar>
              <w:left w:w="108" w:type="dxa"/>
              <w:right w:w="108" w:type="dxa"/>
            </w:tcMar>
            <w:vAlign w:val="center"/>
          </w:tcPr>
          <w:p w14:paraId="24A1BA71">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（三）不予公开</w:t>
            </w:r>
          </w:p>
        </w:tc>
        <w:tc>
          <w:tcPr>
            <w:tcW w:w="2976" w:type="dxa"/>
            <w:noWrap w:val="0"/>
            <w:tcMar>
              <w:left w:w="108" w:type="dxa"/>
              <w:right w:w="108" w:type="dxa"/>
            </w:tcMar>
            <w:vAlign w:val="center"/>
          </w:tcPr>
          <w:p w14:paraId="2BBA0766">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1.属于国家秘密</w:t>
            </w:r>
          </w:p>
        </w:tc>
        <w:tc>
          <w:tcPr>
            <w:tcW w:w="829" w:type="dxa"/>
            <w:noWrap w:val="0"/>
            <w:tcMar>
              <w:left w:w="108" w:type="dxa"/>
              <w:right w:w="108" w:type="dxa"/>
            </w:tcMar>
            <w:vAlign w:val="center"/>
          </w:tcPr>
          <w:p w14:paraId="2BDD19F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DCF701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DC1C87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36D2421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5914039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8AD464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71E30B9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28576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2AE5F5">
            <w:pPr>
              <w:rPr>
                <w:rFonts w:ascii="黑体" w:hAnsi="黑体" w:eastAsia="黑体"/>
                <w:sz w:val="21"/>
                <w:szCs w:val="21"/>
              </w:rPr>
            </w:pPr>
          </w:p>
        </w:tc>
        <w:tc>
          <w:tcPr>
            <w:tcW w:w="1701" w:type="dxa"/>
            <w:vMerge w:val="continue"/>
            <w:noWrap w:val="0"/>
            <w:tcMar>
              <w:left w:w="108" w:type="dxa"/>
              <w:right w:w="108" w:type="dxa"/>
            </w:tcMar>
            <w:vAlign w:val="center"/>
          </w:tcPr>
          <w:p w14:paraId="709C4F1F">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3D50138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w:t>
            </w:r>
            <w:bookmarkStart w:id="2" w:name="_Hlk66974104"/>
            <w:r>
              <w:rPr>
                <w:rFonts w:hint="eastAsia" w:ascii="仿宋_GB2312" w:hAnsi="黑体" w:eastAsia="仿宋_GB2312"/>
                <w:kern w:val="0"/>
                <w:sz w:val="21"/>
                <w:szCs w:val="21"/>
              </w:rPr>
              <w:t>其他法律行政法规禁止公开</w:t>
            </w:r>
            <w:bookmarkEnd w:id="2"/>
          </w:p>
        </w:tc>
        <w:tc>
          <w:tcPr>
            <w:tcW w:w="829" w:type="dxa"/>
            <w:noWrap w:val="0"/>
            <w:tcMar>
              <w:left w:w="108" w:type="dxa"/>
              <w:right w:w="108" w:type="dxa"/>
            </w:tcMar>
            <w:vAlign w:val="center"/>
          </w:tcPr>
          <w:p w14:paraId="241402A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1</w:t>
            </w:r>
          </w:p>
        </w:tc>
        <w:tc>
          <w:tcPr>
            <w:tcW w:w="567" w:type="dxa"/>
            <w:noWrap w:val="0"/>
            <w:tcMar>
              <w:left w:w="108" w:type="dxa"/>
              <w:right w:w="108" w:type="dxa"/>
            </w:tcMar>
            <w:vAlign w:val="center"/>
          </w:tcPr>
          <w:p w14:paraId="38BC814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B2761A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677B76F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6B3F429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40624D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5582DC9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1</w:t>
            </w:r>
          </w:p>
        </w:tc>
      </w:tr>
      <w:tr w14:paraId="44963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46A171E">
            <w:pPr>
              <w:rPr>
                <w:rFonts w:ascii="黑体" w:hAnsi="黑体" w:eastAsia="黑体"/>
                <w:sz w:val="21"/>
                <w:szCs w:val="21"/>
              </w:rPr>
            </w:pPr>
          </w:p>
        </w:tc>
        <w:tc>
          <w:tcPr>
            <w:tcW w:w="1701" w:type="dxa"/>
            <w:vMerge w:val="continue"/>
            <w:noWrap w:val="0"/>
            <w:tcMar>
              <w:left w:w="108" w:type="dxa"/>
              <w:right w:w="108" w:type="dxa"/>
            </w:tcMar>
            <w:vAlign w:val="center"/>
          </w:tcPr>
          <w:p w14:paraId="75EC308A">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000339FD">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3.危及“三安全一稳定”</w:t>
            </w:r>
          </w:p>
        </w:tc>
        <w:tc>
          <w:tcPr>
            <w:tcW w:w="829" w:type="dxa"/>
            <w:noWrap w:val="0"/>
            <w:tcMar>
              <w:left w:w="108" w:type="dxa"/>
              <w:right w:w="108" w:type="dxa"/>
            </w:tcMar>
            <w:vAlign w:val="center"/>
          </w:tcPr>
          <w:p w14:paraId="176AD46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0D5629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3C3F0A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7BF953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278147D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9B3957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5366BDC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6BF7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4472A65">
            <w:pPr>
              <w:rPr>
                <w:rFonts w:ascii="黑体" w:hAnsi="黑体" w:eastAsia="黑体"/>
                <w:sz w:val="21"/>
                <w:szCs w:val="21"/>
              </w:rPr>
            </w:pPr>
          </w:p>
        </w:tc>
        <w:tc>
          <w:tcPr>
            <w:tcW w:w="1701" w:type="dxa"/>
            <w:vMerge w:val="continue"/>
            <w:noWrap w:val="0"/>
            <w:tcMar>
              <w:left w:w="108" w:type="dxa"/>
              <w:right w:w="108" w:type="dxa"/>
            </w:tcMar>
            <w:vAlign w:val="center"/>
          </w:tcPr>
          <w:p w14:paraId="5244E5B1">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34BA7276">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4.</w:t>
            </w:r>
            <w:bookmarkStart w:id="3" w:name="_Hlk66974290"/>
            <w:r>
              <w:rPr>
                <w:rFonts w:hint="eastAsia" w:ascii="仿宋_GB2312" w:hAnsi="黑体" w:eastAsia="仿宋_GB2312"/>
                <w:kern w:val="0"/>
                <w:sz w:val="21"/>
                <w:szCs w:val="21"/>
              </w:rPr>
              <w:t>保护第三方合法权益</w:t>
            </w:r>
            <w:bookmarkEnd w:id="3"/>
          </w:p>
        </w:tc>
        <w:tc>
          <w:tcPr>
            <w:tcW w:w="829" w:type="dxa"/>
            <w:noWrap w:val="0"/>
            <w:tcMar>
              <w:left w:w="108" w:type="dxa"/>
              <w:right w:w="108" w:type="dxa"/>
            </w:tcMar>
            <w:vAlign w:val="center"/>
          </w:tcPr>
          <w:p w14:paraId="0232E9C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63CA73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1EAE89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2A16A1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2886CFD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38137F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234144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26892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F6ABB38">
            <w:pPr>
              <w:rPr>
                <w:rFonts w:ascii="黑体" w:hAnsi="黑体" w:eastAsia="黑体"/>
                <w:sz w:val="21"/>
                <w:szCs w:val="21"/>
              </w:rPr>
            </w:pPr>
          </w:p>
        </w:tc>
        <w:tc>
          <w:tcPr>
            <w:tcW w:w="1701" w:type="dxa"/>
            <w:vMerge w:val="continue"/>
            <w:noWrap w:val="0"/>
            <w:tcMar>
              <w:left w:w="108" w:type="dxa"/>
              <w:right w:w="108" w:type="dxa"/>
            </w:tcMar>
            <w:vAlign w:val="center"/>
          </w:tcPr>
          <w:p w14:paraId="5C87A612">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7977CCC6">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5.属于三类内部事务信息</w:t>
            </w:r>
          </w:p>
        </w:tc>
        <w:tc>
          <w:tcPr>
            <w:tcW w:w="829" w:type="dxa"/>
            <w:noWrap w:val="0"/>
            <w:tcMar>
              <w:left w:w="108" w:type="dxa"/>
              <w:right w:w="108" w:type="dxa"/>
            </w:tcMar>
            <w:vAlign w:val="center"/>
          </w:tcPr>
          <w:p w14:paraId="085924F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3E2EB0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99A88C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64C5A6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2E14685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17187D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590FAEF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6796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B3BE2ED">
            <w:pPr>
              <w:rPr>
                <w:rFonts w:ascii="黑体" w:hAnsi="黑体" w:eastAsia="黑体"/>
                <w:sz w:val="21"/>
                <w:szCs w:val="21"/>
              </w:rPr>
            </w:pPr>
          </w:p>
        </w:tc>
        <w:tc>
          <w:tcPr>
            <w:tcW w:w="1701" w:type="dxa"/>
            <w:vMerge w:val="continue"/>
            <w:noWrap w:val="0"/>
            <w:tcMar>
              <w:left w:w="108" w:type="dxa"/>
              <w:right w:w="108" w:type="dxa"/>
            </w:tcMar>
            <w:vAlign w:val="center"/>
          </w:tcPr>
          <w:p w14:paraId="54E52E75">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7DB0DB9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6.</w:t>
            </w:r>
            <w:bookmarkStart w:id="4" w:name="_Hlk66974555"/>
            <w:r>
              <w:rPr>
                <w:rFonts w:hint="eastAsia" w:ascii="仿宋_GB2312" w:hAnsi="黑体" w:eastAsia="仿宋_GB2312"/>
                <w:kern w:val="0"/>
                <w:sz w:val="21"/>
                <w:szCs w:val="21"/>
              </w:rPr>
              <w:t>属于四类过程性信息</w:t>
            </w:r>
            <w:bookmarkEnd w:id="4"/>
          </w:p>
        </w:tc>
        <w:tc>
          <w:tcPr>
            <w:tcW w:w="829" w:type="dxa"/>
            <w:noWrap w:val="0"/>
            <w:tcMar>
              <w:left w:w="108" w:type="dxa"/>
              <w:right w:w="108" w:type="dxa"/>
            </w:tcMar>
            <w:vAlign w:val="center"/>
          </w:tcPr>
          <w:p w14:paraId="7559530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68DC47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63FA64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76D7480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25830CA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40936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46709D1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62105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3404ED">
            <w:pPr>
              <w:rPr>
                <w:rFonts w:ascii="黑体" w:hAnsi="黑体" w:eastAsia="黑体"/>
                <w:sz w:val="21"/>
                <w:szCs w:val="21"/>
              </w:rPr>
            </w:pPr>
          </w:p>
        </w:tc>
        <w:tc>
          <w:tcPr>
            <w:tcW w:w="1701" w:type="dxa"/>
            <w:vMerge w:val="continue"/>
            <w:noWrap w:val="0"/>
            <w:tcMar>
              <w:left w:w="108" w:type="dxa"/>
              <w:right w:w="108" w:type="dxa"/>
            </w:tcMar>
            <w:vAlign w:val="center"/>
          </w:tcPr>
          <w:p w14:paraId="59381296">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10544C1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7.属于行政执法案卷</w:t>
            </w:r>
          </w:p>
        </w:tc>
        <w:tc>
          <w:tcPr>
            <w:tcW w:w="829" w:type="dxa"/>
            <w:noWrap w:val="0"/>
            <w:tcMar>
              <w:left w:w="108" w:type="dxa"/>
              <w:right w:w="108" w:type="dxa"/>
            </w:tcMar>
            <w:vAlign w:val="center"/>
          </w:tcPr>
          <w:p w14:paraId="4838B35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4E3CD81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ADEC8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3B0BEA2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5865D50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5EF6F9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3567893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75138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EDE20B4">
            <w:pPr>
              <w:rPr>
                <w:rFonts w:ascii="黑体" w:hAnsi="黑体" w:eastAsia="黑体"/>
                <w:sz w:val="21"/>
                <w:szCs w:val="21"/>
              </w:rPr>
            </w:pPr>
          </w:p>
        </w:tc>
        <w:tc>
          <w:tcPr>
            <w:tcW w:w="1701" w:type="dxa"/>
            <w:vMerge w:val="continue"/>
            <w:noWrap w:val="0"/>
            <w:tcMar>
              <w:left w:w="108" w:type="dxa"/>
              <w:right w:w="108" w:type="dxa"/>
            </w:tcMar>
            <w:vAlign w:val="center"/>
          </w:tcPr>
          <w:p w14:paraId="173B1B4F">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4B74045A">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8.</w:t>
            </w:r>
            <w:bookmarkStart w:id="5" w:name="_Hlk66975211"/>
            <w:r>
              <w:rPr>
                <w:rFonts w:hint="eastAsia" w:ascii="仿宋_GB2312" w:hAnsi="黑体" w:eastAsia="仿宋_GB2312"/>
                <w:kern w:val="0"/>
                <w:sz w:val="21"/>
                <w:szCs w:val="21"/>
              </w:rPr>
              <w:t>属于行政查询事项</w:t>
            </w:r>
            <w:bookmarkEnd w:id="5"/>
          </w:p>
        </w:tc>
        <w:tc>
          <w:tcPr>
            <w:tcW w:w="829" w:type="dxa"/>
            <w:noWrap w:val="0"/>
            <w:tcMar>
              <w:left w:w="108" w:type="dxa"/>
              <w:right w:w="108" w:type="dxa"/>
            </w:tcMar>
            <w:vAlign w:val="center"/>
          </w:tcPr>
          <w:p w14:paraId="1E561EA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B4A081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3660E87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39999B8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1BE6E2E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1A09B4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35E6096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0428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C5E051D">
            <w:pPr>
              <w:rPr>
                <w:rFonts w:ascii="黑体" w:hAnsi="黑体" w:eastAsia="黑体"/>
                <w:sz w:val="21"/>
                <w:szCs w:val="21"/>
              </w:rPr>
            </w:pPr>
          </w:p>
        </w:tc>
        <w:tc>
          <w:tcPr>
            <w:tcW w:w="1701" w:type="dxa"/>
            <w:vMerge w:val="restart"/>
            <w:noWrap w:val="0"/>
            <w:tcMar>
              <w:left w:w="108" w:type="dxa"/>
              <w:right w:w="108" w:type="dxa"/>
            </w:tcMar>
            <w:vAlign w:val="center"/>
          </w:tcPr>
          <w:p w14:paraId="4D1B96AA">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（四）无法提供</w:t>
            </w:r>
          </w:p>
        </w:tc>
        <w:tc>
          <w:tcPr>
            <w:tcW w:w="2976" w:type="dxa"/>
            <w:noWrap w:val="0"/>
            <w:tcMar>
              <w:left w:w="108" w:type="dxa"/>
              <w:right w:w="108" w:type="dxa"/>
            </w:tcMar>
            <w:vAlign w:val="center"/>
          </w:tcPr>
          <w:p w14:paraId="11AF95AC">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1.本机关不掌握相关政府信息</w:t>
            </w:r>
          </w:p>
        </w:tc>
        <w:tc>
          <w:tcPr>
            <w:tcW w:w="829" w:type="dxa"/>
            <w:noWrap w:val="0"/>
            <w:tcMar>
              <w:left w:w="108" w:type="dxa"/>
              <w:right w:w="108" w:type="dxa"/>
            </w:tcMar>
            <w:vAlign w:val="center"/>
          </w:tcPr>
          <w:p w14:paraId="34EA4DB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6</w:t>
            </w:r>
          </w:p>
        </w:tc>
        <w:tc>
          <w:tcPr>
            <w:tcW w:w="567" w:type="dxa"/>
            <w:noWrap w:val="0"/>
            <w:tcMar>
              <w:left w:w="108" w:type="dxa"/>
              <w:right w:w="108" w:type="dxa"/>
            </w:tcMar>
            <w:vAlign w:val="center"/>
          </w:tcPr>
          <w:p w14:paraId="08226E4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ABC30E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7FEF9AB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168FA38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617EC0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5A8A1F8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6</w:t>
            </w:r>
          </w:p>
        </w:tc>
      </w:tr>
      <w:tr w14:paraId="6798C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CA9201">
            <w:pPr>
              <w:rPr>
                <w:rFonts w:ascii="黑体" w:hAnsi="黑体" w:eastAsia="黑体"/>
                <w:sz w:val="21"/>
                <w:szCs w:val="21"/>
              </w:rPr>
            </w:pPr>
          </w:p>
        </w:tc>
        <w:tc>
          <w:tcPr>
            <w:tcW w:w="1701" w:type="dxa"/>
            <w:vMerge w:val="continue"/>
            <w:noWrap w:val="0"/>
            <w:tcMar>
              <w:left w:w="108" w:type="dxa"/>
              <w:right w:w="108" w:type="dxa"/>
            </w:tcMar>
            <w:vAlign w:val="center"/>
          </w:tcPr>
          <w:p w14:paraId="227F5032">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p>
        </w:tc>
        <w:tc>
          <w:tcPr>
            <w:tcW w:w="2976" w:type="dxa"/>
            <w:noWrap w:val="0"/>
            <w:tcMar>
              <w:left w:w="108" w:type="dxa"/>
              <w:right w:w="108" w:type="dxa"/>
            </w:tcMar>
            <w:vAlign w:val="center"/>
          </w:tcPr>
          <w:p w14:paraId="7A19E33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w:t>
            </w:r>
            <w:bookmarkStart w:id="6" w:name="_Hlk66975392"/>
            <w:r>
              <w:rPr>
                <w:rFonts w:hint="eastAsia" w:ascii="仿宋_GB2312" w:hAnsi="黑体" w:eastAsia="仿宋_GB2312"/>
                <w:kern w:val="0"/>
                <w:sz w:val="21"/>
                <w:szCs w:val="21"/>
              </w:rPr>
              <w:t>没有现成信息需要另行制作</w:t>
            </w:r>
            <w:bookmarkEnd w:id="6"/>
          </w:p>
        </w:tc>
        <w:tc>
          <w:tcPr>
            <w:tcW w:w="829" w:type="dxa"/>
            <w:noWrap w:val="0"/>
            <w:tcMar>
              <w:left w:w="108" w:type="dxa"/>
              <w:right w:w="108" w:type="dxa"/>
            </w:tcMar>
            <w:vAlign w:val="center"/>
          </w:tcPr>
          <w:p w14:paraId="1C5AF9E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E46ACB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F93DE4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2A3256D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358B5ED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B03CC2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65AFE4C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2E0B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22B450D">
            <w:pPr>
              <w:rPr>
                <w:rFonts w:ascii="黑体" w:hAnsi="黑体" w:eastAsia="黑体"/>
                <w:sz w:val="21"/>
                <w:szCs w:val="21"/>
              </w:rPr>
            </w:pPr>
          </w:p>
        </w:tc>
        <w:tc>
          <w:tcPr>
            <w:tcW w:w="1701" w:type="dxa"/>
            <w:vMerge w:val="continue"/>
            <w:noWrap w:val="0"/>
            <w:tcMar>
              <w:left w:w="108" w:type="dxa"/>
              <w:right w:w="108" w:type="dxa"/>
            </w:tcMar>
            <w:vAlign w:val="center"/>
          </w:tcPr>
          <w:p w14:paraId="241995BB">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p>
        </w:tc>
        <w:tc>
          <w:tcPr>
            <w:tcW w:w="2976" w:type="dxa"/>
            <w:noWrap w:val="0"/>
            <w:tcMar>
              <w:left w:w="108" w:type="dxa"/>
              <w:right w:w="108" w:type="dxa"/>
            </w:tcMar>
            <w:vAlign w:val="center"/>
          </w:tcPr>
          <w:p w14:paraId="6B7CB534">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3.</w:t>
            </w:r>
            <w:bookmarkStart w:id="7" w:name="_Hlk66975466"/>
            <w:r>
              <w:rPr>
                <w:rFonts w:hint="eastAsia" w:ascii="仿宋_GB2312" w:hAnsi="黑体" w:eastAsia="仿宋_GB2312"/>
                <w:kern w:val="0"/>
                <w:sz w:val="21"/>
                <w:szCs w:val="21"/>
              </w:rPr>
              <w:t>补正后申请内容仍不明确</w:t>
            </w:r>
            <w:bookmarkEnd w:id="7"/>
          </w:p>
        </w:tc>
        <w:tc>
          <w:tcPr>
            <w:tcW w:w="829" w:type="dxa"/>
            <w:noWrap w:val="0"/>
            <w:tcMar>
              <w:left w:w="108" w:type="dxa"/>
              <w:right w:w="108" w:type="dxa"/>
            </w:tcMar>
            <w:vAlign w:val="center"/>
          </w:tcPr>
          <w:p w14:paraId="7A6A52D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71D200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291318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2C08212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6D7C110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A46AB3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1C20290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099BF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FC78D41">
            <w:pPr>
              <w:rPr>
                <w:rFonts w:ascii="黑体" w:hAnsi="黑体" w:eastAsia="黑体"/>
                <w:sz w:val="21"/>
                <w:szCs w:val="21"/>
              </w:rPr>
            </w:pPr>
          </w:p>
        </w:tc>
        <w:tc>
          <w:tcPr>
            <w:tcW w:w="1701" w:type="dxa"/>
            <w:vMerge w:val="restart"/>
            <w:noWrap w:val="0"/>
            <w:tcMar>
              <w:left w:w="108" w:type="dxa"/>
              <w:right w:w="108" w:type="dxa"/>
            </w:tcMar>
            <w:vAlign w:val="center"/>
          </w:tcPr>
          <w:p w14:paraId="143192EC">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（五）不予处理</w:t>
            </w:r>
          </w:p>
        </w:tc>
        <w:tc>
          <w:tcPr>
            <w:tcW w:w="2976" w:type="dxa"/>
            <w:noWrap w:val="0"/>
            <w:tcMar>
              <w:left w:w="108" w:type="dxa"/>
              <w:right w:w="108" w:type="dxa"/>
            </w:tcMar>
            <w:vAlign w:val="center"/>
          </w:tcPr>
          <w:p w14:paraId="611257D9">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w:t>
            </w:r>
            <w:bookmarkStart w:id="8" w:name="_Hlk66975537"/>
            <w:r>
              <w:rPr>
                <w:rFonts w:hint="eastAsia" w:ascii="仿宋_GB2312" w:hAnsi="黑体" w:eastAsia="仿宋_GB2312"/>
                <w:kern w:val="0"/>
                <w:sz w:val="21"/>
                <w:szCs w:val="21"/>
              </w:rPr>
              <w:t>信访举报投诉类申请</w:t>
            </w:r>
            <w:bookmarkEnd w:id="8"/>
          </w:p>
        </w:tc>
        <w:tc>
          <w:tcPr>
            <w:tcW w:w="829" w:type="dxa"/>
            <w:noWrap w:val="0"/>
            <w:tcMar>
              <w:left w:w="108" w:type="dxa"/>
              <w:right w:w="108" w:type="dxa"/>
            </w:tcMar>
            <w:vAlign w:val="center"/>
          </w:tcPr>
          <w:p w14:paraId="0257D90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02FCB2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A4EA74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1E3FFBB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2D027BC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3D36B36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051DC3A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669C5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31E2835">
            <w:pPr>
              <w:rPr>
                <w:rFonts w:ascii="黑体" w:hAnsi="黑体" w:eastAsia="黑体"/>
                <w:sz w:val="21"/>
                <w:szCs w:val="21"/>
              </w:rPr>
            </w:pPr>
          </w:p>
        </w:tc>
        <w:tc>
          <w:tcPr>
            <w:tcW w:w="1701" w:type="dxa"/>
            <w:vMerge w:val="continue"/>
            <w:noWrap w:val="0"/>
            <w:tcMar>
              <w:left w:w="108" w:type="dxa"/>
              <w:right w:w="108" w:type="dxa"/>
            </w:tcMar>
            <w:vAlign w:val="center"/>
          </w:tcPr>
          <w:p w14:paraId="34C0819A">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55D0B34E">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2.重复申请</w:t>
            </w:r>
          </w:p>
        </w:tc>
        <w:tc>
          <w:tcPr>
            <w:tcW w:w="829" w:type="dxa"/>
            <w:noWrap w:val="0"/>
            <w:tcMar>
              <w:left w:w="108" w:type="dxa"/>
              <w:right w:w="108" w:type="dxa"/>
            </w:tcMar>
            <w:vAlign w:val="center"/>
          </w:tcPr>
          <w:p w14:paraId="1BD247B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83D743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3398EC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58234D0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6BE2D39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D60157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23A39F2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6A481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B1FF6D0">
            <w:pPr>
              <w:rPr>
                <w:rFonts w:ascii="黑体" w:hAnsi="黑体" w:eastAsia="黑体"/>
                <w:sz w:val="21"/>
                <w:szCs w:val="21"/>
              </w:rPr>
            </w:pPr>
          </w:p>
        </w:tc>
        <w:tc>
          <w:tcPr>
            <w:tcW w:w="1701" w:type="dxa"/>
            <w:vMerge w:val="continue"/>
            <w:noWrap w:val="0"/>
            <w:tcMar>
              <w:left w:w="108" w:type="dxa"/>
              <w:right w:w="108" w:type="dxa"/>
            </w:tcMar>
            <w:vAlign w:val="center"/>
          </w:tcPr>
          <w:p w14:paraId="384A6785">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02C7EDCE">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 w:val="21"/>
                <w:szCs w:val="21"/>
              </w:rPr>
            </w:pPr>
            <w:r>
              <w:rPr>
                <w:rFonts w:hint="eastAsia" w:ascii="仿宋_GB2312" w:hAnsi="黑体" w:eastAsia="仿宋_GB2312"/>
                <w:kern w:val="0"/>
                <w:sz w:val="21"/>
                <w:szCs w:val="21"/>
              </w:rPr>
              <w:t>3.要求提供公开出版物</w:t>
            </w:r>
          </w:p>
        </w:tc>
        <w:tc>
          <w:tcPr>
            <w:tcW w:w="829" w:type="dxa"/>
            <w:noWrap w:val="0"/>
            <w:tcMar>
              <w:left w:w="108" w:type="dxa"/>
              <w:right w:w="108" w:type="dxa"/>
            </w:tcMar>
            <w:vAlign w:val="center"/>
          </w:tcPr>
          <w:p w14:paraId="4FD9D02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616B1B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81B465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19C4D97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3A314AD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08EA7A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65C35B2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B00A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1AF9BC2A">
            <w:pPr>
              <w:rPr>
                <w:rFonts w:ascii="黑体" w:hAnsi="黑体" w:eastAsia="黑体"/>
                <w:sz w:val="21"/>
                <w:szCs w:val="21"/>
              </w:rPr>
            </w:pPr>
          </w:p>
        </w:tc>
        <w:tc>
          <w:tcPr>
            <w:tcW w:w="1701" w:type="dxa"/>
            <w:vMerge w:val="continue"/>
            <w:noWrap w:val="0"/>
            <w:tcMar>
              <w:left w:w="108" w:type="dxa"/>
              <w:right w:w="108" w:type="dxa"/>
            </w:tcMar>
            <w:vAlign w:val="center"/>
          </w:tcPr>
          <w:p w14:paraId="720356A8">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3C87B8FD">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 w:val="21"/>
                <w:szCs w:val="21"/>
              </w:rPr>
            </w:pPr>
            <w:r>
              <w:rPr>
                <w:rFonts w:hint="eastAsia" w:ascii="仿宋_GB2312" w:hAnsi="黑体" w:eastAsia="仿宋_GB2312"/>
                <w:kern w:val="0"/>
                <w:sz w:val="21"/>
                <w:szCs w:val="21"/>
              </w:rPr>
              <w:t>4.无正当理由大量反复申请</w:t>
            </w:r>
          </w:p>
        </w:tc>
        <w:tc>
          <w:tcPr>
            <w:tcW w:w="829" w:type="dxa"/>
            <w:noWrap w:val="0"/>
            <w:tcMar>
              <w:left w:w="108" w:type="dxa"/>
              <w:right w:w="108" w:type="dxa"/>
            </w:tcMar>
            <w:vAlign w:val="center"/>
          </w:tcPr>
          <w:p w14:paraId="5263A7C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A4CA23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452C3F3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596882E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583F7E5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7E6657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1B71195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7141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0C10D41">
            <w:pPr>
              <w:rPr>
                <w:rFonts w:ascii="黑体" w:hAnsi="黑体" w:eastAsia="黑体"/>
                <w:sz w:val="21"/>
                <w:szCs w:val="21"/>
              </w:rPr>
            </w:pPr>
          </w:p>
        </w:tc>
        <w:tc>
          <w:tcPr>
            <w:tcW w:w="1701" w:type="dxa"/>
            <w:vMerge w:val="continue"/>
            <w:noWrap w:val="0"/>
            <w:tcMar>
              <w:left w:w="108" w:type="dxa"/>
              <w:right w:w="108" w:type="dxa"/>
            </w:tcMar>
            <w:vAlign w:val="center"/>
          </w:tcPr>
          <w:p w14:paraId="5D9767BD">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14:paraId="64A273E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5.要求行政机关确认或重新</w:t>
            </w:r>
          </w:p>
          <w:p w14:paraId="2DA2EACC">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sz w:val="21"/>
                <w:szCs w:val="21"/>
              </w:rPr>
            </w:pPr>
            <w:r>
              <w:rPr>
                <w:rFonts w:hint="eastAsia" w:ascii="仿宋_GB2312" w:hAnsi="黑体" w:eastAsia="仿宋_GB2312"/>
                <w:kern w:val="0"/>
                <w:sz w:val="21"/>
                <w:szCs w:val="21"/>
              </w:rPr>
              <w:t>出具已获取信息</w:t>
            </w:r>
          </w:p>
        </w:tc>
        <w:tc>
          <w:tcPr>
            <w:tcW w:w="829" w:type="dxa"/>
            <w:noWrap w:val="0"/>
            <w:tcMar>
              <w:left w:w="108" w:type="dxa"/>
              <w:right w:w="108" w:type="dxa"/>
            </w:tcMar>
            <w:vAlign w:val="center"/>
          </w:tcPr>
          <w:p w14:paraId="4DF8C71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FE8378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41E36E2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539B8E6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1EE947A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617C44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1B30A4A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3CB85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99B803C">
            <w:pPr>
              <w:rPr>
                <w:rFonts w:ascii="黑体" w:hAnsi="黑体" w:eastAsia="黑体"/>
                <w:sz w:val="21"/>
                <w:szCs w:val="21"/>
              </w:rPr>
            </w:pPr>
          </w:p>
        </w:tc>
        <w:tc>
          <w:tcPr>
            <w:tcW w:w="1701" w:type="dxa"/>
            <w:vMerge w:val="restart"/>
            <w:noWrap w:val="0"/>
            <w:tcMar>
              <w:left w:w="108" w:type="dxa"/>
              <w:right w:w="108" w:type="dxa"/>
            </w:tcMar>
            <w:vAlign w:val="center"/>
          </w:tcPr>
          <w:p w14:paraId="156717A8">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 w:val="21"/>
                <w:szCs w:val="21"/>
              </w:rPr>
            </w:pPr>
            <w:r>
              <w:rPr>
                <w:rFonts w:hint="eastAsia" w:ascii="黑体" w:hAnsi="黑体" w:eastAsia="黑体"/>
                <w:kern w:val="0"/>
                <w:sz w:val="21"/>
                <w:szCs w:val="21"/>
              </w:rPr>
              <w:t>（六）其他处理</w:t>
            </w:r>
          </w:p>
        </w:tc>
        <w:tc>
          <w:tcPr>
            <w:tcW w:w="2976" w:type="dxa"/>
            <w:noWrap w:val="0"/>
            <w:vAlign w:val="center"/>
          </w:tcPr>
          <w:p w14:paraId="1DE0D8ED">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sz w:val="21"/>
                <w:szCs w:val="21"/>
              </w:rPr>
            </w:pPr>
            <w:r>
              <w:rPr>
                <w:rFonts w:hint="eastAsia" w:ascii="仿宋_GB2312" w:hAnsi="楷体" w:eastAsia="仿宋_GB2312"/>
                <w:sz w:val="21"/>
                <w:szCs w:val="21"/>
              </w:rPr>
              <w:t>1.申请人无正当理由逾期不补正、行政机关不再处理其政府信息公开申请</w:t>
            </w:r>
          </w:p>
        </w:tc>
        <w:tc>
          <w:tcPr>
            <w:tcW w:w="829" w:type="dxa"/>
            <w:noWrap w:val="0"/>
            <w:tcMar>
              <w:left w:w="108" w:type="dxa"/>
              <w:right w:w="108" w:type="dxa"/>
            </w:tcMar>
            <w:vAlign w:val="center"/>
          </w:tcPr>
          <w:p w14:paraId="54DB135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694487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3C2EC7B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63815C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5B68777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2C9DAC1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6DAC3AC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0C248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AF1B3F9">
            <w:pPr>
              <w:rPr>
                <w:rFonts w:ascii="黑体" w:hAnsi="黑体" w:eastAsia="黑体"/>
                <w:sz w:val="21"/>
                <w:szCs w:val="21"/>
              </w:rPr>
            </w:pPr>
          </w:p>
        </w:tc>
        <w:tc>
          <w:tcPr>
            <w:tcW w:w="1701" w:type="dxa"/>
            <w:vMerge w:val="continue"/>
            <w:noWrap w:val="0"/>
            <w:tcMar>
              <w:left w:w="108" w:type="dxa"/>
              <w:right w:w="108" w:type="dxa"/>
            </w:tcMar>
            <w:vAlign w:val="center"/>
          </w:tcPr>
          <w:p w14:paraId="169DFF60">
            <w:pPr>
              <w:widowControl/>
              <w:spacing w:line="300" w:lineRule="exact"/>
              <w:rPr>
                <w:rFonts w:ascii="黑体" w:hAnsi="黑体" w:eastAsia="黑体"/>
                <w:kern w:val="0"/>
                <w:sz w:val="21"/>
                <w:szCs w:val="21"/>
              </w:rPr>
            </w:pPr>
          </w:p>
        </w:tc>
        <w:tc>
          <w:tcPr>
            <w:tcW w:w="2976" w:type="dxa"/>
            <w:noWrap w:val="0"/>
            <w:vAlign w:val="center"/>
          </w:tcPr>
          <w:p w14:paraId="6EB84014">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楷体" w:eastAsia="仿宋_GB2312"/>
                <w:sz w:val="21"/>
                <w:szCs w:val="21"/>
              </w:rPr>
              <w:t>2.申请人逾期未按收费通知要求缴纳费用、行政机关不再处理其政府信息公开申请</w:t>
            </w:r>
          </w:p>
        </w:tc>
        <w:tc>
          <w:tcPr>
            <w:tcW w:w="829" w:type="dxa"/>
            <w:noWrap w:val="0"/>
            <w:tcMar>
              <w:left w:w="108" w:type="dxa"/>
              <w:right w:w="108" w:type="dxa"/>
            </w:tcMar>
            <w:vAlign w:val="center"/>
          </w:tcPr>
          <w:p w14:paraId="3DAB5BA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416B161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DF1B95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0276EE6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0FDE30E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D9199A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6564C7C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51475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4CABCB6">
            <w:pPr>
              <w:rPr>
                <w:rFonts w:ascii="黑体" w:hAnsi="黑体" w:eastAsia="黑体"/>
                <w:sz w:val="21"/>
                <w:szCs w:val="21"/>
              </w:rPr>
            </w:pPr>
          </w:p>
        </w:tc>
        <w:tc>
          <w:tcPr>
            <w:tcW w:w="1701" w:type="dxa"/>
            <w:vMerge w:val="continue"/>
            <w:noWrap w:val="0"/>
            <w:tcMar>
              <w:left w:w="108" w:type="dxa"/>
              <w:right w:w="108" w:type="dxa"/>
            </w:tcMar>
            <w:vAlign w:val="center"/>
          </w:tcPr>
          <w:p w14:paraId="0D93A210">
            <w:pPr>
              <w:widowControl/>
              <w:spacing w:line="300" w:lineRule="exact"/>
              <w:rPr>
                <w:rFonts w:ascii="黑体" w:hAnsi="黑体" w:eastAsia="黑体"/>
                <w:kern w:val="0"/>
                <w:sz w:val="21"/>
                <w:szCs w:val="21"/>
              </w:rPr>
            </w:pPr>
          </w:p>
        </w:tc>
        <w:tc>
          <w:tcPr>
            <w:tcW w:w="2976" w:type="dxa"/>
            <w:noWrap w:val="0"/>
            <w:vAlign w:val="center"/>
          </w:tcPr>
          <w:p w14:paraId="0518C1D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楷体" w:eastAsia="仿宋_GB2312"/>
                <w:sz w:val="21"/>
                <w:szCs w:val="21"/>
              </w:rPr>
              <w:t>3.其他</w:t>
            </w:r>
          </w:p>
        </w:tc>
        <w:tc>
          <w:tcPr>
            <w:tcW w:w="829" w:type="dxa"/>
            <w:noWrap w:val="0"/>
            <w:tcMar>
              <w:left w:w="108" w:type="dxa"/>
              <w:right w:w="108" w:type="dxa"/>
            </w:tcMar>
            <w:vAlign w:val="center"/>
          </w:tcPr>
          <w:p w14:paraId="30F4C89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225AF3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A101F8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7F5E7A9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708497C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6ACA19D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2D3CBF2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14:paraId="5CBDB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A9608F4">
            <w:pPr>
              <w:rPr>
                <w:rFonts w:ascii="黑体" w:hAnsi="黑体" w:eastAsia="黑体"/>
                <w:sz w:val="21"/>
                <w:szCs w:val="21"/>
              </w:rPr>
            </w:pPr>
          </w:p>
        </w:tc>
        <w:tc>
          <w:tcPr>
            <w:tcW w:w="4677" w:type="dxa"/>
            <w:gridSpan w:val="2"/>
            <w:noWrap w:val="0"/>
            <w:tcMar>
              <w:left w:w="108" w:type="dxa"/>
              <w:right w:w="108" w:type="dxa"/>
            </w:tcMar>
            <w:vAlign w:val="center"/>
          </w:tcPr>
          <w:p w14:paraId="4D9DDB08">
            <w:pPr>
              <w:widowControl/>
              <w:spacing w:line="300" w:lineRule="exact"/>
              <w:rPr>
                <w:rFonts w:ascii="黑体" w:hAnsi="黑体" w:eastAsia="黑体"/>
                <w:kern w:val="0"/>
                <w:sz w:val="21"/>
                <w:szCs w:val="21"/>
              </w:rPr>
            </w:pPr>
            <w:r>
              <w:rPr>
                <w:rFonts w:hint="eastAsia" w:ascii="黑体" w:hAnsi="黑体" w:eastAsia="黑体"/>
                <w:kern w:val="0"/>
                <w:sz w:val="21"/>
                <w:szCs w:val="21"/>
              </w:rPr>
              <w:t>（七）总计</w:t>
            </w:r>
          </w:p>
        </w:tc>
        <w:tc>
          <w:tcPr>
            <w:tcW w:w="829" w:type="dxa"/>
            <w:noWrap w:val="0"/>
            <w:tcMar>
              <w:left w:w="108" w:type="dxa"/>
              <w:right w:w="108" w:type="dxa"/>
            </w:tcMar>
            <w:vAlign w:val="center"/>
          </w:tcPr>
          <w:p w14:paraId="027E84D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8</w:t>
            </w:r>
          </w:p>
        </w:tc>
        <w:tc>
          <w:tcPr>
            <w:tcW w:w="567" w:type="dxa"/>
            <w:noWrap w:val="0"/>
            <w:tcMar>
              <w:left w:w="108" w:type="dxa"/>
              <w:right w:w="108" w:type="dxa"/>
            </w:tcMar>
            <w:vAlign w:val="center"/>
          </w:tcPr>
          <w:p w14:paraId="398C5F3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5CEBFF5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1C74C21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795D678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0667EE1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015C1CD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8</w:t>
            </w:r>
          </w:p>
        </w:tc>
      </w:tr>
      <w:tr w14:paraId="71DBC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5F0F9ED1">
            <w:pPr>
              <w:widowControl/>
              <w:spacing w:line="300" w:lineRule="exact"/>
              <w:rPr>
                <w:rFonts w:ascii="黑体" w:hAnsi="黑体" w:eastAsia="黑体"/>
                <w:kern w:val="0"/>
                <w:sz w:val="21"/>
                <w:szCs w:val="21"/>
              </w:rPr>
            </w:pPr>
            <w:r>
              <w:rPr>
                <w:rFonts w:hint="eastAsia" w:ascii="黑体" w:hAnsi="黑体" w:eastAsia="黑体"/>
                <w:kern w:val="0"/>
                <w:sz w:val="21"/>
                <w:szCs w:val="21"/>
              </w:rPr>
              <w:t>四、结转下年度继续办理</w:t>
            </w:r>
          </w:p>
        </w:tc>
        <w:tc>
          <w:tcPr>
            <w:tcW w:w="829" w:type="dxa"/>
            <w:noWrap w:val="0"/>
            <w:tcMar>
              <w:left w:w="108" w:type="dxa"/>
              <w:right w:w="108" w:type="dxa"/>
            </w:tcMar>
            <w:vAlign w:val="center"/>
          </w:tcPr>
          <w:p w14:paraId="73B574A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7559DBA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11649F9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14:paraId="196D3DE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14:paraId="3B736F8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14:paraId="3FD1D4F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14:paraId="489641A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bl>
    <w:p w14:paraId="0CE2495F">
      <w:pPr>
        <w:spacing w:line="590" w:lineRule="exact"/>
        <w:ind w:right="-100" w:rightChars="-50" w:firstLine="641" w:firstLineChars="200"/>
        <w:rPr>
          <w:rFonts w:eastAsia="方正黑体简体"/>
          <w:b/>
          <w:sz w:val="32"/>
          <w:szCs w:val="32"/>
        </w:rPr>
      </w:pPr>
      <w:r>
        <w:rPr>
          <w:rFonts w:eastAsia="方正黑体简体"/>
          <w:b/>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8"/>
        <w:gridCol w:w="619"/>
        <w:gridCol w:w="542"/>
        <w:gridCol w:w="597"/>
        <w:gridCol w:w="597"/>
        <w:gridCol w:w="598"/>
        <w:gridCol w:w="598"/>
        <w:gridCol w:w="597"/>
        <w:gridCol w:w="597"/>
        <w:gridCol w:w="598"/>
        <w:gridCol w:w="599"/>
        <w:gridCol w:w="599"/>
      </w:tblGrid>
      <w:tr w14:paraId="78EB07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C38C92">
            <w:pPr>
              <w:widowControl/>
              <w:jc w:val="center"/>
              <w:rPr>
                <w:rFonts w:eastAsia="方正黑体简体"/>
                <w:b/>
                <w:sz w:val="21"/>
                <w:szCs w:val="21"/>
              </w:rPr>
            </w:pPr>
            <w:r>
              <w:rPr>
                <w:rFonts w:ascii="黑体" w:hAnsi="黑体" w:eastAsia="黑体"/>
                <w:kern w:val="0"/>
                <w:sz w:val="20"/>
                <w:szCs w:val="20"/>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658D5E">
            <w:pPr>
              <w:widowControl/>
              <w:jc w:val="center"/>
              <w:rPr>
                <w:rFonts w:eastAsia="方正黑体简体"/>
                <w:b/>
                <w:sz w:val="21"/>
                <w:szCs w:val="21"/>
              </w:rPr>
            </w:pPr>
            <w:r>
              <w:rPr>
                <w:rFonts w:ascii="黑体" w:hAnsi="黑体" w:eastAsia="黑体"/>
                <w:kern w:val="0"/>
                <w:sz w:val="20"/>
                <w:szCs w:val="20"/>
              </w:rPr>
              <w:t>行政诉讼</w:t>
            </w:r>
          </w:p>
        </w:tc>
      </w:tr>
      <w:tr w14:paraId="0C128A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8F5F5C3">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49D03D7F">
            <w:pPr>
              <w:widowControl/>
              <w:ind w:left="-142" w:leftChars="-71" w:right="-162" w:rightChars="-81"/>
              <w:jc w:val="center"/>
              <w:rPr>
                <w:rFonts w:eastAsia="方正黑体简体"/>
                <w:b/>
                <w:sz w:val="21"/>
                <w:szCs w:val="21"/>
              </w:rPr>
            </w:pPr>
            <w:r>
              <w:rPr>
                <w:rFonts w:ascii="黑体" w:hAnsi="黑体" w:eastAsia="黑体"/>
                <w:kern w:val="0"/>
                <w:sz w:val="20"/>
                <w:szCs w:val="20"/>
              </w:rPr>
              <w:t>维持</w:t>
            </w:r>
          </w:p>
        </w:tc>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DD1B059">
            <w:pPr>
              <w:widowControl/>
              <w:ind w:left="-41" w:leftChars="-21" w:right="-126" w:rightChars="-63" w:hanging="1" w:firstLineChars="0"/>
              <w:jc w:val="center"/>
              <w:rPr>
                <w:rFonts w:eastAsia="方正黑体简体"/>
                <w:b/>
                <w:sz w:val="21"/>
                <w:szCs w:val="21"/>
              </w:rPr>
            </w:pPr>
            <w:r>
              <w:rPr>
                <w:rFonts w:ascii="黑体" w:hAnsi="黑体" w:eastAsia="黑体"/>
                <w:kern w:val="0"/>
                <w:sz w:val="20"/>
                <w:szCs w:val="20"/>
              </w:rPr>
              <w:t>结果纠正</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3A8F45">
            <w:pPr>
              <w:widowControl/>
              <w:ind w:left="-78" w:leftChars="-39" w:right="-92" w:rightChars="-46"/>
              <w:jc w:val="center"/>
              <w:rPr>
                <w:rFonts w:eastAsia="方正黑体简体"/>
                <w:b/>
                <w:sz w:val="21"/>
                <w:szCs w:val="21"/>
              </w:rPr>
            </w:pPr>
            <w:r>
              <w:rPr>
                <w:rFonts w:ascii="黑体" w:hAnsi="黑体" w:eastAsia="黑体"/>
                <w:kern w:val="0"/>
                <w:sz w:val="20"/>
                <w:szCs w:val="20"/>
              </w:rPr>
              <w:t>其他结果</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3015CD">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5A557C10">
            <w:pPr>
              <w:widowControl/>
              <w:ind w:left="-112" w:leftChars="-56" w:right="-112" w:rightChars="-56"/>
              <w:jc w:val="center"/>
              <w:rPr>
                <w:rFonts w:eastAsia="方正黑体简体"/>
                <w:b/>
                <w:sz w:val="21"/>
                <w:szCs w:val="21"/>
              </w:rPr>
            </w:pPr>
            <w:r>
              <w:rPr>
                <w:rFonts w:ascii="黑体" w:hAnsi="黑体" w:eastAsia="黑体"/>
                <w:kern w:val="0"/>
                <w:sz w:val="20"/>
                <w:szCs w:val="20"/>
              </w:rPr>
              <w:t>审结</w:t>
            </w:r>
          </w:p>
        </w:tc>
        <w:tc>
          <w:tcPr>
            <w:tcW w:w="6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A05C1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7893137">
            <w:pPr>
              <w:widowControl/>
              <w:spacing w:line="320" w:lineRule="exact"/>
              <w:jc w:val="center"/>
              <w:rPr>
                <w:rFonts w:eastAsia="方正黑体简体"/>
                <w:b/>
                <w:sz w:val="21"/>
                <w:szCs w:val="21"/>
              </w:rPr>
            </w:pPr>
            <w:r>
              <w:rPr>
                <w:rFonts w:ascii="黑体" w:hAnsi="黑体" w:eastAsia="黑体"/>
                <w:kern w:val="0"/>
                <w:sz w:val="20"/>
                <w:szCs w:val="20"/>
              </w:rPr>
              <w:t>计</w:t>
            </w:r>
          </w:p>
        </w:tc>
        <w:tc>
          <w:tcPr>
            <w:tcW w:w="293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9D1481">
            <w:pPr>
              <w:widowControl/>
              <w:jc w:val="center"/>
              <w:rPr>
                <w:rFonts w:eastAsia="方正黑体简体"/>
                <w:b/>
                <w:sz w:val="21"/>
                <w:szCs w:val="21"/>
              </w:rPr>
            </w:pPr>
            <w:r>
              <w:rPr>
                <w:rFonts w:ascii="黑体" w:hAnsi="黑体" w:eastAsia="黑体"/>
                <w:kern w:val="0"/>
                <w:sz w:val="20"/>
                <w:szCs w:val="20"/>
              </w:rPr>
              <w:t>未经复议直接起诉</w:t>
            </w:r>
          </w:p>
        </w:tc>
        <w:tc>
          <w:tcPr>
            <w:tcW w:w="299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B43449">
            <w:pPr>
              <w:widowControl/>
              <w:jc w:val="center"/>
              <w:rPr>
                <w:rFonts w:eastAsia="方正黑体简体"/>
                <w:b/>
                <w:sz w:val="21"/>
                <w:szCs w:val="21"/>
              </w:rPr>
            </w:pPr>
            <w:r>
              <w:rPr>
                <w:rFonts w:ascii="黑体" w:hAnsi="黑体" w:eastAsia="黑体"/>
                <w:kern w:val="0"/>
                <w:sz w:val="20"/>
                <w:szCs w:val="20"/>
              </w:rPr>
              <w:t>复议后起诉</w:t>
            </w:r>
          </w:p>
        </w:tc>
      </w:tr>
      <w:tr w14:paraId="2B9D1E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1060458">
            <w:pPr>
              <w:rPr>
                <w:rFonts w:eastAsia="方正黑体简体"/>
                <w:b/>
                <w:sz w:val="21"/>
                <w:szCs w:val="21"/>
              </w:rPr>
            </w:pPr>
          </w:p>
        </w:tc>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6AE298">
            <w:pPr>
              <w:rPr>
                <w:rFonts w:eastAsia="方正黑体简体"/>
                <w:b/>
                <w:sz w:val="21"/>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52F3F3">
            <w:pPr>
              <w:rPr>
                <w:rFonts w:eastAsia="方正黑体简体"/>
                <w:b/>
                <w:sz w:val="21"/>
                <w:szCs w:val="21"/>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F97405">
            <w:pPr>
              <w:rPr>
                <w:rFonts w:eastAsia="方正黑体简体"/>
                <w:b/>
                <w:sz w:val="21"/>
                <w:szCs w:val="21"/>
              </w:rPr>
            </w:pPr>
          </w:p>
        </w:tc>
        <w:tc>
          <w:tcPr>
            <w:tcW w:w="6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06540E">
            <w:pPr>
              <w:rPr>
                <w:rFonts w:eastAsia="方正黑体简体"/>
                <w:b/>
                <w:sz w:val="21"/>
                <w:szCs w:val="21"/>
              </w:rPr>
            </w:pPr>
          </w:p>
        </w:tc>
        <w:tc>
          <w:tcPr>
            <w:tcW w:w="5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2B5AE3">
            <w:pPr>
              <w:widowControl/>
              <w:ind w:left="-100" w:leftChars="-50" w:right="-120" w:rightChars="-60"/>
              <w:jc w:val="center"/>
              <w:rPr>
                <w:rFonts w:eastAsia="方正黑体简体"/>
                <w:b/>
                <w:sz w:val="21"/>
                <w:szCs w:val="21"/>
              </w:rPr>
            </w:pPr>
            <w:r>
              <w:rPr>
                <w:rFonts w:ascii="黑体" w:hAnsi="黑体" w:eastAsia="黑体"/>
                <w:kern w:val="0"/>
                <w:sz w:val="20"/>
                <w:szCs w:val="20"/>
              </w:rPr>
              <w:t>结果维持</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C37F172">
            <w:pPr>
              <w:widowControl/>
              <w:ind w:left="-82" w:leftChars="-41" w:right="-84" w:rightChars="-42"/>
              <w:jc w:val="center"/>
              <w:rPr>
                <w:rFonts w:eastAsia="方正黑体简体"/>
                <w:b/>
                <w:sz w:val="21"/>
                <w:szCs w:val="21"/>
              </w:rPr>
            </w:pPr>
            <w:r>
              <w:rPr>
                <w:rFonts w:ascii="黑体" w:hAnsi="黑体" w:eastAsia="黑体"/>
                <w:kern w:val="0"/>
                <w:sz w:val="20"/>
                <w:szCs w:val="20"/>
              </w:rPr>
              <w:t>结果纠正</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0AD2DF">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7459F4E9">
            <w:pPr>
              <w:widowControl/>
              <w:ind w:left="-120" w:leftChars="-60" w:right="-130" w:rightChars="-65"/>
              <w:jc w:val="center"/>
              <w:rPr>
                <w:rFonts w:eastAsia="方正黑体简体"/>
                <w:b/>
                <w:sz w:val="21"/>
                <w:szCs w:val="21"/>
              </w:rPr>
            </w:pPr>
            <w:r>
              <w:rPr>
                <w:rFonts w:ascii="黑体" w:hAnsi="黑体" w:eastAsia="黑体"/>
                <w:kern w:val="0"/>
                <w:sz w:val="20"/>
                <w:szCs w:val="20"/>
              </w:rPr>
              <w:t>结果</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0AC772">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1CFC1C06">
            <w:pPr>
              <w:widowControl/>
              <w:ind w:left="-156" w:leftChars="-78" w:right="-146" w:rightChars="-73"/>
              <w:jc w:val="center"/>
              <w:rPr>
                <w:rFonts w:eastAsia="方正黑体简体"/>
                <w:b/>
                <w:sz w:val="21"/>
                <w:szCs w:val="21"/>
              </w:rPr>
            </w:pPr>
            <w:r>
              <w:rPr>
                <w:rFonts w:ascii="黑体" w:hAnsi="黑体" w:eastAsia="黑体"/>
                <w:kern w:val="0"/>
                <w:sz w:val="20"/>
                <w:szCs w:val="20"/>
              </w:rPr>
              <w:t>审结</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E887FD">
            <w:pPr>
              <w:widowControl/>
              <w:jc w:val="center"/>
              <w:rPr>
                <w:rFonts w:eastAsia="方正黑体简体"/>
                <w:b/>
                <w:sz w:val="21"/>
                <w:szCs w:val="21"/>
              </w:rPr>
            </w:pPr>
            <w:r>
              <w:rPr>
                <w:rFonts w:ascii="黑体" w:hAnsi="黑体" w:eastAsia="黑体"/>
                <w:kern w:val="0"/>
                <w:sz w:val="20"/>
                <w:szCs w:val="20"/>
              </w:rPr>
              <w:t>总计</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A6C68A">
            <w:pPr>
              <w:widowControl/>
              <w:ind w:left="-94" w:leftChars="-47" w:right="-74" w:rightChars="-37"/>
              <w:jc w:val="center"/>
              <w:rPr>
                <w:rFonts w:eastAsia="方正黑体简体"/>
                <w:b/>
                <w:sz w:val="21"/>
                <w:szCs w:val="21"/>
              </w:rPr>
            </w:pPr>
            <w:r>
              <w:rPr>
                <w:rFonts w:ascii="黑体" w:hAnsi="黑体" w:eastAsia="黑体"/>
                <w:kern w:val="0"/>
                <w:sz w:val="20"/>
                <w:szCs w:val="20"/>
              </w:rPr>
              <w:t>结果维持</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EE878E">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78CE38E0">
            <w:pPr>
              <w:widowControl/>
              <w:ind w:left="-130" w:leftChars="-65" w:right="-118" w:rightChars="-59"/>
              <w:jc w:val="center"/>
              <w:rPr>
                <w:rFonts w:eastAsia="方正黑体简体"/>
                <w:b/>
                <w:sz w:val="21"/>
                <w:szCs w:val="21"/>
              </w:rPr>
            </w:pPr>
            <w:r>
              <w:rPr>
                <w:rFonts w:ascii="黑体" w:hAnsi="黑体" w:eastAsia="黑体"/>
                <w:kern w:val="0"/>
                <w:sz w:val="20"/>
                <w:szCs w:val="20"/>
              </w:rPr>
              <w:t>纠正</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365642">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4F80FFFF">
            <w:pPr>
              <w:widowControl/>
              <w:ind w:left="-165" w:leftChars="-83" w:right="-128" w:rightChars="-64" w:hanging="1" w:firstLineChars="0"/>
              <w:jc w:val="center"/>
              <w:rPr>
                <w:rFonts w:eastAsia="方正黑体简体"/>
                <w:b/>
                <w:sz w:val="21"/>
                <w:szCs w:val="21"/>
              </w:rPr>
            </w:pPr>
            <w:r>
              <w:rPr>
                <w:rFonts w:ascii="黑体" w:hAnsi="黑体" w:eastAsia="黑体"/>
                <w:kern w:val="0"/>
                <w:sz w:val="20"/>
                <w:szCs w:val="20"/>
              </w:rPr>
              <w:t>结果</w:t>
            </w:r>
          </w:p>
        </w:tc>
        <w:tc>
          <w:tcPr>
            <w:tcW w:w="5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F77BC3">
            <w:pPr>
              <w:widowControl/>
              <w:ind w:left="-64" w:leftChars="-33" w:right="-100" w:rightChars="-50" w:hanging="2" w:hangingChars="1"/>
              <w:jc w:val="center"/>
              <w:rPr>
                <w:rFonts w:eastAsia="方正黑体简体"/>
                <w:b/>
                <w:sz w:val="21"/>
                <w:szCs w:val="21"/>
              </w:rPr>
            </w:pPr>
            <w:r>
              <w:rPr>
                <w:rFonts w:ascii="黑体" w:hAnsi="黑体" w:eastAsia="黑体"/>
                <w:kern w:val="0"/>
                <w:sz w:val="20"/>
                <w:szCs w:val="20"/>
              </w:rPr>
              <w:t>尚未审结</w:t>
            </w:r>
          </w:p>
        </w:tc>
        <w:tc>
          <w:tcPr>
            <w:tcW w:w="5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E1A130">
            <w:pPr>
              <w:widowControl/>
              <w:jc w:val="center"/>
              <w:rPr>
                <w:rFonts w:eastAsia="方正黑体简体"/>
                <w:b/>
                <w:sz w:val="21"/>
                <w:szCs w:val="21"/>
              </w:rPr>
            </w:pPr>
            <w:r>
              <w:rPr>
                <w:rFonts w:ascii="黑体" w:hAnsi="黑体" w:eastAsia="黑体"/>
                <w:kern w:val="0"/>
                <w:sz w:val="20"/>
                <w:szCs w:val="20"/>
              </w:rPr>
              <w:t>总计</w:t>
            </w:r>
          </w:p>
        </w:tc>
      </w:tr>
      <w:tr w14:paraId="591DE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DB4A5F">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9C7CBA">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E6FDCF">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19B9BE">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6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F6D704">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D242D5">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072D17">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21F89C">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EC493A">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AA6246">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F70B2B">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67AFDC">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F3BC2F">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8E0235">
            <w:pPr>
              <w:keepNext w:val="0"/>
              <w:keepLines w:val="0"/>
              <w:pageBreakBefore w:val="0"/>
              <w:widowControl/>
              <w:kinsoku/>
              <w:wordWrap/>
              <w:overflowPunct/>
              <w:topLinePunct w:val="0"/>
              <w:autoSpaceDE/>
              <w:autoSpaceDN/>
              <w:bidi w:val="0"/>
              <w:adjustRightInd/>
              <w:snapToGrid/>
              <w:jc w:val="center"/>
              <w:textAlignment w:val="auto"/>
              <w:rPr>
                <w:rFonts w:hint="default" w:eastAsia="方正黑体简体"/>
                <w:b/>
                <w:sz w:val="21"/>
                <w:szCs w:val="21"/>
                <w:lang w:val="en-US" w:eastAsia="zh-CN"/>
              </w:rPr>
            </w:pPr>
            <w:r>
              <w:rPr>
                <w:rFonts w:hint="eastAsia" w:ascii="Times New Roman" w:hAnsi="Times New Roman"/>
                <w:sz w:val="21"/>
                <w:szCs w:val="21"/>
                <w:lang w:val="en-US" w:eastAsia="zh-CN"/>
              </w:rPr>
              <w:t>0</w:t>
            </w:r>
          </w:p>
        </w:tc>
        <w:tc>
          <w:tcPr>
            <w:tcW w:w="59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D5787D">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r>
    </w:tbl>
    <w:p w14:paraId="043E9381">
      <w:pPr>
        <w:spacing w:line="590" w:lineRule="exact"/>
        <w:ind w:right="-100" w:rightChars="-50" w:firstLine="641" w:firstLineChars="200"/>
        <w:rPr>
          <w:rFonts w:eastAsia="方正仿宋简体"/>
          <w:b/>
          <w:sz w:val="32"/>
          <w:szCs w:val="32"/>
          <w:highlight w:val="lightGray"/>
        </w:rPr>
      </w:pPr>
      <w:r>
        <w:rPr>
          <w:rFonts w:eastAsia="方正黑体简体"/>
          <w:b/>
          <w:sz w:val="32"/>
          <w:szCs w:val="32"/>
        </w:rPr>
        <w:t>五、存在的主要问题及改进情况</w:t>
      </w:r>
    </w:p>
    <w:p w14:paraId="6B0FC745">
      <w:pPr>
        <w:spacing w:line="590" w:lineRule="exact"/>
        <w:ind w:right="-100" w:rightChars="-50" w:firstLine="643" w:firstLineChars="200"/>
        <w:rPr>
          <w:rFonts w:hint="eastAsia" w:eastAsia="方正仿宋简体"/>
          <w:b/>
          <w:color w:val="auto"/>
          <w:sz w:val="32"/>
          <w:szCs w:val="32"/>
        </w:rPr>
      </w:pP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w:t>
      </w:r>
      <w:r>
        <w:rPr>
          <w:rFonts w:hint="eastAsia" w:eastAsia="方正仿宋简体"/>
          <w:b/>
          <w:sz w:val="32"/>
          <w:szCs w:val="32"/>
          <w:lang w:val="en-US" w:eastAsia="zh-CN"/>
        </w:rPr>
        <w:t>我局</w:t>
      </w:r>
      <w:r>
        <w:rPr>
          <w:rFonts w:hint="eastAsia" w:eastAsia="方正仿宋简体"/>
          <w:b/>
          <w:sz w:val="32"/>
          <w:szCs w:val="32"/>
        </w:rPr>
        <w:t>对以往存在的问题进行了整改，增强</w:t>
      </w:r>
      <w:r>
        <w:rPr>
          <w:rFonts w:hint="eastAsia" w:eastAsia="方正仿宋简体"/>
          <w:b/>
          <w:sz w:val="32"/>
          <w:szCs w:val="32"/>
          <w:lang w:val="en-US" w:eastAsia="zh-CN"/>
        </w:rPr>
        <w:t>了</w:t>
      </w:r>
      <w:r>
        <w:rPr>
          <w:rFonts w:hint="eastAsia" w:eastAsia="方正仿宋简体"/>
          <w:b/>
          <w:sz w:val="32"/>
          <w:szCs w:val="32"/>
        </w:rPr>
        <w:t>信息公开的及时性，提</w:t>
      </w:r>
      <w:r>
        <w:rPr>
          <w:rFonts w:hint="eastAsia" w:eastAsia="方正仿宋简体"/>
          <w:b/>
          <w:color w:val="auto"/>
          <w:sz w:val="32"/>
          <w:szCs w:val="32"/>
        </w:rPr>
        <w:t>升了</w:t>
      </w:r>
      <w:r>
        <w:rPr>
          <w:rFonts w:hint="eastAsia" w:eastAsia="方正仿宋简体"/>
          <w:b/>
          <w:color w:val="auto"/>
          <w:sz w:val="32"/>
          <w:szCs w:val="32"/>
          <w:lang w:eastAsia="zh-CN"/>
        </w:rPr>
        <w:t>政府信息公开</w:t>
      </w:r>
      <w:r>
        <w:rPr>
          <w:rFonts w:hint="eastAsia" w:eastAsia="方正仿宋简体"/>
          <w:b/>
          <w:color w:val="auto"/>
          <w:sz w:val="32"/>
          <w:szCs w:val="32"/>
        </w:rPr>
        <w:t>的时效性和准确性。但</w:t>
      </w:r>
      <w:r>
        <w:rPr>
          <w:rFonts w:hint="eastAsia" w:eastAsia="方正仿宋简体"/>
          <w:b/>
          <w:color w:val="auto"/>
          <w:sz w:val="32"/>
          <w:szCs w:val="32"/>
          <w:lang w:eastAsia="zh-CN"/>
        </w:rPr>
        <w:t>政府信息公开</w:t>
      </w:r>
      <w:r>
        <w:rPr>
          <w:rFonts w:hint="eastAsia" w:eastAsia="方正仿宋简体"/>
          <w:b/>
          <w:color w:val="auto"/>
          <w:sz w:val="32"/>
          <w:szCs w:val="32"/>
        </w:rPr>
        <w:t>的多样性和全面性仍存在一定差距，主要表现在：一是信息公开形式单一，一般只有word、PDF等文字版内容；二是公开文件专业性高、受众少；三是公开文件的广度还需进一步扩展。</w:t>
      </w:r>
    </w:p>
    <w:p w14:paraId="4CB15C86">
      <w:pPr>
        <w:spacing w:line="590" w:lineRule="exact"/>
        <w:ind w:right="-100" w:rightChars="-50" w:firstLine="643" w:firstLineChars="200"/>
        <w:rPr>
          <w:rFonts w:eastAsia="方正仿宋简体"/>
          <w:b/>
          <w:sz w:val="32"/>
          <w:szCs w:val="32"/>
        </w:rPr>
      </w:pPr>
      <w:r>
        <w:rPr>
          <w:rFonts w:hint="eastAsia" w:eastAsia="方正仿宋简体"/>
          <w:b/>
          <w:sz w:val="32"/>
          <w:szCs w:val="32"/>
        </w:rPr>
        <w:t>下一步，我局将采取以下三点措施提升</w:t>
      </w:r>
      <w:r>
        <w:rPr>
          <w:rFonts w:hint="eastAsia" w:eastAsia="方正仿宋简体"/>
          <w:b/>
          <w:color w:val="auto"/>
          <w:sz w:val="32"/>
          <w:szCs w:val="32"/>
          <w:lang w:eastAsia="zh-CN"/>
        </w:rPr>
        <w:t>政府信息公开</w:t>
      </w:r>
      <w:r>
        <w:rPr>
          <w:rFonts w:hint="eastAsia" w:eastAsia="方正仿宋简体"/>
          <w:b/>
          <w:sz w:val="32"/>
          <w:szCs w:val="32"/>
        </w:rPr>
        <w:t>水平：一是创新公开方式，多形式展示，如采用图片版、视频版，日常工作中加强培训和学习并长期坚持，积极学习其他地区的先进做法；二是专业文件应配上解读材料，用通俗易懂的话进行文字解释，增强政府信息的可读性；三是学习</w:t>
      </w:r>
      <w:r>
        <w:rPr>
          <w:rFonts w:hint="eastAsia" w:eastAsia="方正仿宋简体"/>
          <w:b/>
          <w:sz w:val="32"/>
          <w:szCs w:val="32"/>
          <w:lang w:eastAsia="zh-CN"/>
        </w:rPr>
        <w:t>《</w:t>
      </w:r>
      <w:r>
        <w:rPr>
          <w:rFonts w:hint="eastAsia" w:eastAsia="方正仿宋简体"/>
          <w:b/>
          <w:sz w:val="32"/>
          <w:szCs w:val="32"/>
        </w:rPr>
        <w:t>条例</w:t>
      </w:r>
      <w:r>
        <w:rPr>
          <w:rFonts w:hint="eastAsia" w:eastAsia="方正仿宋简体"/>
          <w:b/>
          <w:sz w:val="32"/>
          <w:szCs w:val="32"/>
          <w:lang w:eastAsia="zh-CN"/>
        </w:rPr>
        <w:t>》</w:t>
      </w:r>
      <w:r>
        <w:rPr>
          <w:rFonts w:hint="eastAsia" w:eastAsia="方正仿宋简体"/>
          <w:b/>
          <w:sz w:val="32"/>
          <w:szCs w:val="32"/>
        </w:rPr>
        <w:t>内容，准确界定文件公开范围，加大网上公开力度，尤其是公众关心的重点、热点，该公开全部及时公开。</w:t>
      </w:r>
    </w:p>
    <w:p w14:paraId="2F2D3105">
      <w:pPr>
        <w:spacing w:line="590" w:lineRule="exact"/>
        <w:ind w:right="-100" w:rightChars="-50" w:firstLine="641" w:firstLineChars="200"/>
        <w:rPr>
          <w:rFonts w:eastAsia="方正黑体简体"/>
          <w:b/>
          <w:sz w:val="32"/>
          <w:szCs w:val="32"/>
        </w:rPr>
      </w:pPr>
      <w:r>
        <w:rPr>
          <w:rFonts w:eastAsia="方正黑体简体"/>
          <w:b/>
          <w:sz w:val="32"/>
          <w:szCs w:val="32"/>
        </w:rPr>
        <w:t>六、其他需要报告的事项</w:t>
      </w:r>
    </w:p>
    <w:p w14:paraId="5E786420">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（一）</w:t>
      </w:r>
      <w:r>
        <w:rPr>
          <w:rFonts w:hint="eastAsia" w:eastAsia="方正仿宋简体"/>
          <w:b/>
          <w:sz w:val="32"/>
          <w:szCs w:val="32"/>
          <w:lang w:eastAsia="zh-CN"/>
        </w:rPr>
        <w:t>依据《政府信息公开信息处理收费管理方法》收取信息处理费的情况：</w:t>
      </w: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年度，依据《政府信息公开信息处理费管理办法》，我局未收取信息处理费。</w:t>
      </w:r>
    </w:p>
    <w:p w14:paraId="22C12D61">
      <w:pPr>
        <w:spacing w:line="590" w:lineRule="exact"/>
        <w:ind w:right="-100" w:rightChars="-50" w:firstLine="643" w:firstLineChars="200"/>
        <w:rPr>
          <w:rFonts w:hint="eastAsia" w:eastAsia="方正仿宋简体"/>
          <w:b/>
          <w:color w:val="FF0000"/>
          <w:sz w:val="32"/>
          <w:szCs w:val="32"/>
          <w:lang w:eastAsia="zh-CN"/>
        </w:rPr>
      </w:pPr>
      <w:r>
        <w:rPr>
          <w:rFonts w:hint="eastAsia" w:eastAsia="方正仿宋简体"/>
          <w:b/>
          <w:sz w:val="32"/>
          <w:szCs w:val="32"/>
        </w:rPr>
        <w:t>（二）本行政机关落实</w:t>
      </w:r>
      <w:r>
        <w:rPr>
          <w:rFonts w:hint="eastAsia" w:eastAsia="方正仿宋简体"/>
          <w:b/>
          <w:color w:val="auto"/>
          <w:sz w:val="32"/>
          <w:szCs w:val="32"/>
        </w:rPr>
        <w:t>上级年度政务公开工作要点</w:t>
      </w:r>
      <w:r>
        <w:rPr>
          <w:rFonts w:hint="eastAsia" w:eastAsia="方正仿宋简体"/>
          <w:b/>
          <w:sz w:val="32"/>
          <w:szCs w:val="32"/>
        </w:rPr>
        <w:t>情况</w:t>
      </w:r>
      <w:r>
        <w:rPr>
          <w:rFonts w:hint="eastAsia" w:eastAsia="方正仿宋简体"/>
          <w:b/>
          <w:sz w:val="32"/>
          <w:szCs w:val="32"/>
          <w:lang w:eastAsia="zh-CN"/>
        </w:rPr>
        <w:t>：</w:t>
      </w:r>
      <w:r>
        <w:rPr>
          <w:rFonts w:hint="eastAsia" w:eastAsia="方正仿宋简体"/>
          <w:b/>
          <w:sz w:val="32"/>
          <w:szCs w:val="32"/>
          <w:lang w:val="en-US" w:eastAsia="zh-CN"/>
        </w:rPr>
        <w:t>我局</w:t>
      </w:r>
      <w:r>
        <w:rPr>
          <w:rFonts w:hint="eastAsia" w:eastAsia="方正仿宋简体"/>
          <w:b/>
          <w:sz w:val="32"/>
          <w:szCs w:val="32"/>
          <w:lang w:eastAsia="zh-CN"/>
        </w:rPr>
        <w:t>严格按照区政府安排部署落实各项工作任务，结合工作实际，制定工作方案，扎实做好政务公开工作。</w:t>
      </w:r>
    </w:p>
    <w:p w14:paraId="3454CA2D">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（三）本行政机关人大代表建议和政协提案办理结果公开情况</w:t>
      </w:r>
      <w:r>
        <w:rPr>
          <w:rFonts w:hint="eastAsia" w:eastAsia="方正仿宋简体"/>
          <w:b/>
          <w:sz w:val="32"/>
          <w:szCs w:val="32"/>
          <w:lang w:eastAsia="zh-CN"/>
        </w:rPr>
        <w:t>：</w:t>
      </w: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年，承办</w:t>
      </w:r>
      <w:r>
        <w:rPr>
          <w:rFonts w:hint="eastAsia" w:eastAsia="方正仿宋简体"/>
          <w:b/>
          <w:sz w:val="32"/>
          <w:szCs w:val="32"/>
          <w:lang w:eastAsia="zh-CN"/>
        </w:rPr>
        <w:t>人大</w:t>
      </w:r>
      <w:r>
        <w:rPr>
          <w:rFonts w:hint="eastAsia" w:eastAsia="方正仿宋简体"/>
          <w:b/>
          <w:color w:val="auto"/>
          <w:sz w:val="32"/>
          <w:szCs w:val="32"/>
          <w:lang w:eastAsia="zh-CN"/>
        </w:rPr>
        <w:t>建议</w:t>
      </w:r>
      <w:r>
        <w:rPr>
          <w:rFonts w:hint="eastAsia" w:eastAsia="方正仿宋简体"/>
          <w:b/>
          <w:sz w:val="32"/>
          <w:szCs w:val="32"/>
          <w:lang w:eastAsia="zh-CN"/>
        </w:rPr>
        <w:t>、</w:t>
      </w:r>
      <w:r>
        <w:rPr>
          <w:rFonts w:hint="eastAsia" w:eastAsia="方正仿宋简体"/>
          <w:b/>
          <w:sz w:val="32"/>
          <w:szCs w:val="32"/>
        </w:rPr>
        <w:t>政协委员提案</w:t>
      </w:r>
      <w:r>
        <w:rPr>
          <w:rFonts w:hint="eastAsia" w:eastAsia="方正仿宋简体"/>
          <w:b/>
          <w:sz w:val="32"/>
          <w:szCs w:val="32"/>
          <w:highlight w:val="none"/>
          <w:lang w:val="en-US" w:eastAsia="zh-CN"/>
        </w:rPr>
        <w:t>3</w:t>
      </w:r>
      <w:r>
        <w:rPr>
          <w:rFonts w:hint="eastAsia" w:eastAsia="方正仿宋简体"/>
          <w:b/>
          <w:sz w:val="32"/>
          <w:szCs w:val="32"/>
        </w:rPr>
        <w:t>件，均在规定时限内办理完毕，并在政府门户网站</w:t>
      </w:r>
      <w:r>
        <w:rPr>
          <w:rFonts w:hint="eastAsia" w:eastAsia="方正仿宋简体"/>
          <w:b/>
          <w:sz w:val="32"/>
          <w:szCs w:val="32"/>
          <w:lang w:eastAsia="zh-CN"/>
        </w:rPr>
        <w:t>“</w:t>
      </w:r>
      <w:r>
        <w:rPr>
          <w:rFonts w:hint="eastAsia" w:eastAsia="方正仿宋简体"/>
          <w:b/>
          <w:sz w:val="32"/>
          <w:szCs w:val="32"/>
          <w:lang w:val="en-US" w:eastAsia="zh-CN"/>
        </w:rPr>
        <w:t>建议提案办理公开</w:t>
      </w:r>
      <w:r>
        <w:rPr>
          <w:rFonts w:hint="eastAsia" w:eastAsia="方正仿宋简体"/>
          <w:b/>
          <w:sz w:val="32"/>
          <w:szCs w:val="32"/>
          <w:lang w:eastAsia="zh-CN"/>
        </w:rPr>
        <w:t>”</w:t>
      </w:r>
      <w:r>
        <w:rPr>
          <w:rFonts w:hint="eastAsia" w:eastAsia="方正仿宋简体"/>
          <w:b/>
          <w:sz w:val="32"/>
          <w:szCs w:val="32"/>
          <w:lang w:val="en-US" w:eastAsia="zh-CN"/>
        </w:rPr>
        <w:t>栏目</w:t>
      </w:r>
      <w:r>
        <w:rPr>
          <w:rFonts w:hint="eastAsia" w:eastAsia="方正仿宋简体"/>
          <w:b/>
          <w:sz w:val="32"/>
          <w:szCs w:val="32"/>
        </w:rPr>
        <w:t>，集中展示建议、提案办理结果及办理总体情况信息。</w:t>
      </w:r>
    </w:p>
    <w:p w14:paraId="76BD9594">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w:t>
      </w:r>
      <w:r>
        <w:rPr>
          <w:rFonts w:hint="eastAsia" w:eastAsia="方正仿宋简体"/>
          <w:b/>
          <w:sz w:val="32"/>
          <w:szCs w:val="32"/>
          <w:lang w:val="en-US" w:eastAsia="zh-CN"/>
        </w:rPr>
        <w:t>我局不断强化政府信息公开制度化、规范化公开，重点推进部门文件和财政预算、公共资源配置、重大建设项目批准和实施等领域的政府信息公开。</w:t>
      </w:r>
      <w:r>
        <w:rPr>
          <w:rFonts w:hint="eastAsia" w:eastAsia="方正仿宋简体"/>
          <w:b/>
          <w:sz w:val="32"/>
          <w:szCs w:val="32"/>
          <w:lang w:eastAsia="zh-CN"/>
        </w:rPr>
        <w:t>通过“</w:t>
      </w:r>
      <w:r>
        <w:rPr>
          <w:rFonts w:hint="eastAsia" w:eastAsia="方正仿宋简体"/>
          <w:b/>
          <w:sz w:val="32"/>
          <w:szCs w:val="32"/>
          <w:lang w:val="en-US" w:eastAsia="zh-CN"/>
        </w:rPr>
        <w:t>政风</w:t>
      </w:r>
      <w:r>
        <w:rPr>
          <w:rFonts w:hint="eastAsia" w:eastAsia="方正仿宋简体"/>
          <w:b/>
          <w:sz w:val="32"/>
          <w:szCs w:val="32"/>
          <w:lang w:eastAsia="zh-CN"/>
        </w:rPr>
        <w:t>行风热线”节目，针对</w:t>
      </w:r>
      <w:r>
        <w:rPr>
          <w:rFonts w:hint="eastAsia" w:eastAsia="方正仿宋简体"/>
          <w:b/>
          <w:sz w:val="32"/>
          <w:szCs w:val="32"/>
          <w:lang w:val="en-US" w:eastAsia="zh-CN"/>
        </w:rPr>
        <w:t>群众、</w:t>
      </w:r>
      <w:r>
        <w:rPr>
          <w:rFonts w:hint="eastAsia" w:eastAsia="方正仿宋简体"/>
          <w:b/>
          <w:sz w:val="32"/>
          <w:szCs w:val="32"/>
          <w:lang w:eastAsia="zh-CN"/>
        </w:rPr>
        <w:t>企业关注的热点难点答疑解惑，</w:t>
      </w:r>
      <w:r>
        <w:rPr>
          <w:rFonts w:hint="eastAsia" w:eastAsia="方正仿宋简体"/>
          <w:b/>
          <w:sz w:val="32"/>
          <w:szCs w:val="32"/>
          <w:lang w:val="en-US" w:eastAsia="zh-CN"/>
        </w:rPr>
        <w:t>积极主动</w:t>
      </w:r>
      <w:r>
        <w:rPr>
          <w:rFonts w:hint="eastAsia" w:eastAsia="方正仿宋简体"/>
          <w:b/>
          <w:sz w:val="32"/>
          <w:szCs w:val="32"/>
          <w:lang w:eastAsia="zh-CN"/>
        </w:rPr>
        <w:t>接受舆论监督，</w:t>
      </w:r>
      <w:r>
        <w:rPr>
          <w:rFonts w:hint="eastAsia" w:eastAsia="方正仿宋简体"/>
          <w:b/>
          <w:sz w:val="32"/>
          <w:szCs w:val="32"/>
          <w:lang w:val="en-US" w:eastAsia="zh-CN"/>
        </w:rPr>
        <w:t>密切联系群众，</w:t>
      </w:r>
      <w:r>
        <w:rPr>
          <w:rFonts w:hint="eastAsia" w:eastAsia="方正仿宋简体"/>
          <w:b/>
          <w:sz w:val="32"/>
          <w:szCs w:val="32"/>
          <w:lang w:eastAsia="zh-CN"/>
        </w:rPr>
        <w:t>增强群众参与感。</w:t>
      </w:r>
    </w:p>
    <w:p w14:paraId="225351B6">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14:paraId="1BD99E0C">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14:paraId="3C14941C">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14:paraId="6E284D68">
      <w:pPr>
        <w:ind w:left="0" w:leftChars="0" w:firstLine="0" w:firstLineChars="0"/>
      </w:pPr>
    </w:p>
    <w:sectPr>
      <w:pgSz w:w="11906" w:h="16838"/>
      <w:pgMar w:top="1191" w:right="1587"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NGI3YzgzMmJiM2Y0NGViYzdhZDU0ODUxNjMzYTEifQ=="/>
  </w:docVars>
  <w:rsids>
    <w:rsidRoot w:val="00000000"/>
    <w:rsid w:val="03C517A9"/>
    <w:rsid w:val="07830FCD"/>
    <w:rsid w:val="09465740"/>
    <w:rsid w:val="0C6E1111"/>
    <w:rsid w:val="13AD7C36"/>
    <w:rsid w:val="15E655FF"/>
    <w:rsid w:val="17935ADC"/>
    <w:rsid w:val="17961CFE"/>
    <w:rsid w:val="1D251B33"/>
    <w:rsid w:val="1F0771F7"/>
    <w:rsid w:val="1FEB7FFD"/>
    <w:rsid w:val="2B9E072B"/>
    <w:rsid w:val="2D2154E0"/>
    <w:rsid w:val="31F70B6A"/>
    <w:rsid w:val="332A66B8"/>
    <w:rsid w:val="3CD016DD"/>
    <w:rsid w:val="3F685210"/>
    <w:rsid w:val="406D5A0E"/>
    <w:rsid w:val="40721DC4"/>
    <w:rsid w:val="425F76E8"/>
    <w:rsid w:val="46724741"/>
    <w:rsid w:val="4A870D0D"/>
    <w:rsid w:val="4CEC64D2"/>
    <w:rsid w:val="4D873E45"/>
    <w:rsid w:val="5AC62D31"/>
    <w:rsid w:val="5B7B653C"/>
    <w:rsid w:val="624361DE"/>
    <w:rsid w:val="69B8072E"/>
    <w:rsid w:val="6F6115FE"/>
    <w:rsid w:val="6F6808D4"/>
    <w:rsid w:val="75FB0F9D"/>
    <w:rsid w:val="76FB3F45"/>
    <w:rsid w:val="7AAF2F50"/>
    <w:rsid w:val="7F52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outlineLvl w:val="0"/>
    </w:pPr>
    <w:rPr>
      <w:rFonts w:ascii="Times New Roman" w:hAnsi="Times New Roman" w:eastAsia="方正黑体简体"/>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560" w:lineRule="exact"/>
      <w:outlineLvl w:val="1"/>
    </w:pPr>
    <w:rPr>
      <w:rFonts w:ascii="Times New Roman" w:hAnsi="Times New Roman" w:eastAsia="方正楷体简体"/>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Indent"/>
    <w:basedOn w:val="1"/>
    <w:autoRedefine/>
    <w:qFormat/>
    <w:uiPriority w:val="0"/>
    <w:pPr>
      <w:spacing w:after="120" w:afterLines="0" w:afterAutospacing="0"/>
      <w:ind w:left="420" w:leftChars="200"/>
    </w:pPr>
  </w:style>
  <w:style w:type="paragraph" w:styleId="6">
    <w:name w:val="Body Text First Indent 2"/>
    <w:basedOn w:val="5"/>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5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Lbls>
            <c:delete val="1"/>
          </c:dLbls>
          <c:cat>
            <c:strRef>
              <c:f>Sheet1!$A$2:$A$14</c:f>
              <c:strCache>
                <c:ptCount val="13"/>
                <c:pt idx="0">
                  <c:v>政策文件</c:v>
                </c:pt>
                <c:pt idx="1">
                  <c:v>机构职能</c:v>
                </c:pt>
                <c:pt idx="2">
                  <c:v>规划计划</c:v>
                </c:pt>
                <c:pt idx="3">
                  <c:v>财政预算决算</c:v>
                </c:pt>
                <c:pt idx="4">
                  <c:v>价格与收费</c:v>
                </c:pt>
                <c:pt idx="5">
                  <c:v>重大建设项目</c:v>
                </c:pt>
                <c:pt idx="6">
                  <c:v>重点领域</c:v>
                </c:pt>
                <c:pt idx="7">
                  <c:v>公示公告</c:v>
                </c:pt>
                <c:pt idx="8">
                  <c:v>建议提案办理结果</c:v>
                </c:pt>
                <c:pt idx="9">
                  <c:v>执行和落实情况公开</c:v>
                </c:pt>
                <c:pt idx="10">
                  <c:v>行政执法公示</c:v>
                </c:pt>
                <c:pt idx="11">
                  <c:v>主动公开基本目录</c:v>
                </c:pt>
                <c:pt idx="12">
                  <c:v>组织管理</c:v>
                </c:pt>
              </c:strCache>
            </c:strRef>
          </c:cat>
          <c:val>
            <c:numRef>
              <c:f>Sheet1!$B$2:$B$14</c:f>
              <c:numCache>
                <c:formatCode>General</c:formatCode>
                <c:ptCount val="13"/>
                <c:pt idx="0">
                  <c:v>12</c:v>
                </c:pt>
                <c:pt idx="1">
                  <c:v>1</c:v>
                </c:pt>
                <c:pt idx="2">
                  <c:v>2</c:v>
                </c:pt>
                <c:pt idx="3">
                  <c:v>2</c:v>
                </c:pt>
                <c:pt idx="4">
                  <c:v>2</c:v>
                </c:pt>
                <c:pt idx="5">
                  <c:v>1</c:v>
                </c:pt>
                <c:pt idx="6">
                  <c:v>13</c:v>
                </c:pt>
                <c:pt idx="7">
                  <c:v>22</c:v>
                </c:pt>
                <c:pt idx="8">
                  <c:v>4</c:v>
                </c:pt>
                <c:pt idx="9">
                  <c:v>11</c:v>
                </c:pt>
                <c:pt idx="10">
                  <c:v>32</c:v>
                </c:pt>
                <c:pt idx="11">
                  <c:v>2</c:v>
                </c:pt>
                <c:pt idx="12">
                  <c:v>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551986676183678"/>
          <c:y val="0.0212652844231792"/>
          <c:w val="0.909588389245777"/>
          <c:h val="0.3037391458444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61de3c-6694-4f6b-8e56-c862d8072b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09">
    <a:dk1>
      <a:srgbClr val="000000"/>
    </a:dk1>
    <a:lt1>
      <a:srgbClr val="FFFFFF"/>
    </a:lt1>
    <a:dk2>
      <a:srgbClr val="0C0E1F"/>
    </a:dk2>
    <a:lt2>
      <a:srgbClr val="FEFFFF"/>
    </a:lt2>
    <a:accent1>
      <a:srgbClr val="EC7D4D"/>
    </a:accent1>
    <a:accent2>
      <a:srgbClr val="F8A265"/>
    </a:accent2>
    <a:accent3>
      <a:srgbClr val="B9B99D"/>
    </a:accent3>
    <a:accent4>
      <a:srgbClr val="FFE5BA"/>
    </a:accent4>
    <a:accent5>
      <a:srgbClr val="91B5F0"/>
    </a:accent5>
    <a:accent6>
      <a:srgbClr val="6AA0C2"/>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655</Words>
  <Characters>720</Characters>
  <Lines>0</Lines>
  <Paragraphs>0</Paragraphs>
  <TotalTime>0</TotalTime>
  <ScaleCrop>false</ScaleCrop>
  <LinksUpToDate>false</LinksUpToDate>
  <CharactersWithSpaces>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2023-12-14T06:03:00Z</dcterms:created>
  <dc:creator>Administrator</dc:creator>
  <cp:lastModifiedBy>WPS_1686818336</cp:lastModifiedBy>
  <dcterms:modified xsi:type="dcterms:W3CDTF">2025-11-24T02:19:20Z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826198B48E684A1589B8781A67F59330_13</vt:lpwstr>
  </property>
  <property fmtid="{D5CDD505-2E9C-101B-9397-08002B2CF9AE}" pid="4" name="KSOTemplateDocerSaveRecord">
    <vt:lpwstr>eyJoZGlkIjoiYTcwNGI3YzgzMmJiM2Y0NGViYzdhZDU0ODUxNjMzYTEiLCJ1c2VySWQiOiIxNTA5MDc2NjIzIn0=</vt:lpwstr>
  </property>
</Properties>
</file>