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rPr>
          <w:rFonts w:hint="eastAsia" w:eastAsia="方正小标宋简体" w:cs="Times New Roman"/>
          <w:b/>
          <w:color w:val="000000"/>
          <w:kern w:val="0"/>
          <w:sz w:val="44"/>
          <w:szCs w:val="44"/>
        </w:rPr>
      </w:pPr>
    </w:p>
    <w:p>
      <w:pPr>
        <w:spacing w:line="590" w:lineRule="exact"/>
        <w:ind w:right="-96" w:rightChars="-50"/>
        <w:jc w:val="center"/>
        <w:rPr>
          <w:rFonts w:hint="eastAsia" w:eastAsia="方正小标宋简体" w:cs="Times New Roman"/>
          <w:b/>
          <w:color w:val="000000"/>
          <w:kern w:val="0"/>
          <w:sz w:val="44"/>
          <w:szCs w:val="44"/>
        </w:rPr>
      </w:pPr>
      <w:r>
        <w:rPr>
          <w:rFonts w:hint="eastAsia" w:eastAsia="方正小标宋简体" w:cs="Times New Roman"/>
          <w:b/>
          <w:color w:val="000000"/>
          <w:kern w:val="0"/>
          <w:sz w:val="44"/>
          <w:szCs w:val="44"/>
        </w:rPr>
        <w:t>济宁市兖州区供销合作社联合社</w:t>
      </w:r>
    </w:p>
    <w:p>
      <w:pPr>
        <w:spacing w:line="590" w:lineRule="exact"/>
        <w:ind w:right="-96"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3</w:t>
      </w:r>
      <w:r>
        <w:rPr>
          <w:rFonts w:eastAsia="方正小标宋简体"/>
          <w:b/>
          <w:color w:val="000000"/>
          <w:sz w:val="44"/>
          <w:szCs w:val="44"/>
        </w:rPr>
        <w:t>年政府信息公开工作年度报告</w:t>
      </w:r>
    </w:p>
    <w:p>
      <w:pPr>
        <w:spacing w:line="590" w:lineRule="exact"/>
        <w:ind w:right="-96" w:rightChars="-50" w:firstLine="624" w:firstLineChars="200"/>
        <w:rPr>
          <w:rFonts w:eastAsia="方正仿宋简体"/>
          <w:b/>
          <w:color w:val="000000"/>
          <w:sz w:val="32"/>
          <w:szCs w:val="32"/>
        </w:rPr>
      </w:pPr>
    </w:p>
    <w:p>
      <w:pPr>
        <w:spacing w:line="610" w:lineRule="exact"/>
        <w:ind w:right="-96" w:rightChars="-50" w:firstLine="624"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eastAsia="zh-CN"/>
        </w:rPr>
        <w:t>济宁市兖州区供销合作社联合社</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96" w:rightChars="-50" w:firstLine="624"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96" w:rightChars="-50" w:firstLine="624"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3</w:t>
      </w:r>
      <w:r>
        <w:rPr>
          <w:rFonts w:eastAsia="方正仿宋简体"/>
          <w:b/>
          <w:color w:val="000000"/>
          <w:sz w:val="32"/>
          <w:szCs w:val="32"/>
        </w:rPr>
        <w:t>年1月1日起至202</w:t>
      </w:r>
      <w:r>
        <w:rPr>
          <w:rFonts w:hint="eastAsia" w:eastAsia="方正仿宋简体"/>
          <w:b/>
          <w:color w:val="000000"/>
          <w:sz w:val="32"/>
          <w:szCs w:val="32"/>
          <w:lang w:val="en-US" w:eastAsia="zh-CN"/>
        </w:rPr>
        <w:t>3</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ascii="Times New Roman" w:hAnsi="Times New Roman" w:eastAsia="方正仿宋简体" w:cs="Times New Roman"/>
          <w:b/>
          <w:color w:val="000000"/>
          <w:kern w:val="0"/>
          <w:sz w:val="32"/>
          <w:szCs w:val="32"/>
          <w:lang w:val="en-US" w:eastAsia="zh-CN" w:bidi="ar-SA"/>
        </w:rPr>
        <w:t>www.yanzhou.gov.cn</w:t>
      </w:r>
      <w:r>
        <w:rPr>
          <w:rFonts w:eastAsia="方正仿宋简体"/>
          <w:b/>
          <w:color w:val="000000"/>
          <w:sz w:val="32"/>
          <w:szCs w:val="32"/>
        </w:rPr>
        <w:t>）查阅或下载。如对本报告有疑问，请与</w:t>
      </w:r>
      <w:r>
        <w:rPr>
          <w:rFonts w:hint="eastAsia" w:eastAsia="方正仿宋简体"/>
          <w:b/>
          <w:color w:val="000000"/>
          <w:sz w:val="32"/>
          <w:szCs w:val="32"/>
          <w:lang w:eastAsia="zh-CN"/>
        </w:rPr>
        <w:t>济宁市兖州区供销合作社联合社</w:t>
      </w:r>
      <w:r>
        <w:rPr>
          <w:rFonts w:eastAsia="方正仿宋简体"/>
          <w:b/>
          <w:color w:val="000000"/>
          <w:sz w:val="32"/>
          <w:szCs w:val="32"/>
        </w:rPr>
        <w:t>联系（地址：</w:t>
      </w:r>
      <w:r>
        <w:rPr>
          <w:rFonts w:ascii="Times New Roman" w:hAnsi="Times New Roman" w:eastAsia="方正仿宋简体" w:cs="Times New Roman"/>
          <w:b/>
          <w:color w:val="000000"/>
          <w:kern w:val="0"/>
          <w:sz w:val="32"/>
          <w:szCs w:val="32"/>
          <w:lang w:val="en-US" w:eastAsia="zh-CN" w:bidi="ar-SA"/>
        </w:rPr>
        <w:t>兖州区九州方圆行政办公中心A座</w:t>
      </w:r>
      <w:r>
        <w:rPr>
          <w:rFonts w:hint="eastAsia" w:ascii="Times New Roman" w:hAnsi="Times New Roman" w:eastAsia="方正仿宋简体" w:cs="Times New Roman"/>
          <w:b/>
          <w:color w:val="000000"/>
          <w:kern w:val="0"/>
          <w:sz w:val="32"/>
          <w:szCs w:val="32"/>
          <w:lang w:val="en-US" w:eastAsia="zh-CN" w:bidi="ar-SA"/>
        </w:rPr>
        <w:t>15</w:t>
      </w:r>
      <w:r>
        <w:rPr>
          <w:rFonts w:ascii="Times New Roman" w:hAnsi="Times New Roman" w:eastAsia="方正仿宋简体" w:cs="Times New Roman"/>
          <w:b/>
          <w:color w:val="000000"/>
          <w:kern w:val="0"/>
          <w:sz w:val="32"/>
          <w:szCs w:val="32"/>
          <w:lang w:val="en-US" w:eastAsia="zh-CN" w:bidi="ar-SA"/>
        </w:rPr>
        <w:t>楼，电话：0537</w:t>
      </w:r>
      <w:r>
        <w:rPr>
          <w:rFonts w:hint="eastAsia"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6531569</w:t>
      </w:r>
      <w:r>
        <w:rPr>
          <w:rFonts w:eastAsia="方正仿宋简体"/>
          <w:b/>
          <w:color w:val="000000"/>
          <w:sz w:val="32"/>
          <w:szCs w:val="32"/>
        </w:rPr>
        <w:t>）。</w:t>
      </w:r>
    </w:p>
    <w:p>
      <w:pPr>
        <w:spacing w:line="610" w:lineRule="exact"/>
        <w:ind w:right="-96" w:rightChars="-50" w:firstLine="624" w:firstLineChars="200"/>
        <w:rPr>
          <w:rFonts w:eastAsia="方正黑体简体"/>
          <w:b/>
          <w:color w:val="000000"/>
          <w:sz w:val="32"/>
          <w:szCs w:val="32"/>
        </w:rPr>
      </w:pPr>
      <w:r>
        <w:rPr>
          <w:rFonts w:eastAsia="方正黑体简体"/>
          <w:b/>
          <w:color w:val="000000"/>
          <w:sz w:val="32"/>
          <w:szCs w:val="32"/>
        </w:rPr>
        <w:t>一、总体情况</w:t>
      </w:r>
    </w:p>
    <w:p>
      <w:pPr>
        <w:ind w:firstLine="624" w:firstLineChars="200"/>
        <w:rPr>
          <w:rFonts w:hint="eastAsia" w:eastAsia="方正仿宋简体"/>
          <w:b/>
          <w:color w:val="000000"/>
          <w:sz w:val="32"/>
          <w:szCs w:val="32"/>
          <w:lang w:eastAsia="zh-CN"/>
        </w:rPr>
      </w:pPr>
      <w:r>
        <w:rPr>
          <w:rFonts w:hint="eastAsia" w:eastAsia="方正仿宋简体"/>
          <w:b/>
          <w:color w:val="000000"/>
          <w:sz w:val="32"/>
          <w:szCs w:val="32"/>
          <w:lang w:eastAsia="zh-CN"/>
        </w:rPr>
        <w:t>今年以来，济宁市兖州</w:t>
      </w:r>
      <w:bookmarkStart w:id="10" w:name="_GoBack"/>
      <w:bookmarkEnd w:id="10"/>
      <w:r>
        <w:rPr>
          <w:rFonts w:hint="eastAsia" w:eastAsia="方正仿宋简体"/>
          <w:b/>
          <w:color w:val="000000"/>
          <w:sz w:val="32"/>
          <w:szCs w:val="32"/>
          <w:lang w:eastAsia="zh-CN"/>
        </w:rPr>
        <w:t>区供销合作社联合社坚持以习近平新时代中国特色社会主义思想和党的二十大精神为指导，认真贯彻落实上级部门有关政府信息公开工作要求，坚持以群众需求为导向，严格按照《中华人民共和国政府信息公开条例》，全面推进决策、执行、管理、服务、结果全过程公开，持续深化政务公开内容，不断助力政务公开工作提质增效。</w:t>
      </w:r>
    </w:p>
    <w:p>
      <w:pPr>
        <w:spacing w:line="610" w:lineRule="exact"/>
        <w:ind w:right="-96" w:rightChars="-50" w:firstLine="624" w:firstLineChars="200"/>
        <w:rPr>
          <w:rFonts w:hint="eastAsia" w:eastAsia="方正楷体简体"/>
          <w:b/>
          <w:color w:val="000000"/>
          <w:sz w:val="32"/>
          <w:szCs w:val="32"/>
          <w:lang w:eastAsia="zh-CN"/>
        </w:rPr>
      </w:pPr>
      <w:r>
        <w:rPr>
          <w:rFonts w:eastAsia="方正楷体简体"/>
          <w:b/>
          <w:color w:val="000000"/>
          <w:sz w:val="32"/>
          <w:szCs w:val="32"/>
        </w:rPr>
        <w:t>（一）主动公开</w:t>
      </w:r>
      <w:r>
        <w:rPr>
          <w:rFonts w:hint="eastAsia" w:eastAsia="方正楷体简体"/>
          <w:b/>
          <w:color w:val="000000"/>
          <w:sz w:val="32"/>
          <w:szCs w:val="32"/>
          <w:lang w:eastAsia="zh-CN"/>
        </w:rPr>
        <w:t>情况</w:t>
      </w:r>
    </w:p>
    <w:p>
      <w:pPr>
        <w:keepNext w:val="0"/>
        <w:keepLines w:val="0"/>
        <w:pageBreakBefore w:val="0"/>
        <w:numPr>
          <w:ilvl w:val="0"/>
          <w:numId w:val="0"/>
        </w:numPr>
        <w:kinsoku/>
        <w:wordWrap/>
        <w:overflowPunct/>
        <w:topLinePunct w:val="0"/>
        <w:autoSpaceDE w:val="0"/>
        <w:autoSpaceDN/>
        <w:bidi w:val="0"/>
        <w:adjustRightInd/>
        <w:snapToGrid/>
        <w:spacing w:beforeAutospacing="0" w:afterAutospacing="0" w:line="240" w:lineRule="auto"/>
        <w:ind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区供销社通过兖州区政府门户网站主动公开政府信息</w:t>
      </w:r>
      <w:r>
        <w:rPr>
          <w:rFonts w:hint="eastAsia" w:eastAsia="方正仿宋简体" w:cs="Times New Roman"/>
          <w:b/>
          <w:color w:val="000000"/>
          <w:kern w:val="0"/>
          <w:sz w:val="32"/>
          <w:szCs w:val="32"/>
          <w:lang w:val="en-US" w:eastAsia="zh-CN" w:bidi="ar-SA"/>
        </w:rPr>
        <w:t>13</w:t>
      </w:r>
      <w:r>
        <w:rPr>
          <w:rFonts w:hint="eastAsia" w:ascii="Times New Roman" w:hAnsi="Times New Roman" w:eastAsia="方正仿宋简体" w:cs="Times New Roman"/>
          <w:b/>
          <w:color w:val="000000"/>
          <w:kern w:val="0"/>
          <w:sz w:val="32"/>
          <w:szCs w:val="32"/>
          <w:lang w:val="en-US" w:eastAsia="zh-CN" w:bidi="ar-SA"/>
        </w:rPr>
        <w:t>条</w:t>
      </w:r>
      <w:r>
        <w:rPr>
          <w:rFonts w:hint="default"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其中公开组织管理信息</w:t>
      </w:r>
      <w:r>
        <w:rPr>
          <w:rFonts w:hint="eastAsia" w:eastAsia="方正仿宋简体" w:cs="Times New Roman"/>
          <w:b/>
          <w:color w:val="000000"/>
          <w:kern w:val="0"/>
          <w:sz w:val="32"/>
          <w:szCs w:val="32"/>
          <w:lang w:val="en-US" w:eastAsia="zh-CN" w:bidi="ar-SA"/>
        </w:rPr>
        <w:t>3</w:t>
      </w:r>
      <w:r>
        <w:rPr>
          <w:rFonts w:hint="eastAsia" w:ascii="Times New Roman" w:hAnsi="Times New Roman" w:eastAsia="方正仿宋简体" w:cs="Times New Roman"/>
          <w:b/>
          <w:color w:val="000000"/>
          <w:kern w:val="0"/>
          <w:sz w:val="32"/>
          <w:szCs w:val="32"/>
          <w:lang w:val="en-US" w:eastAsia="zh-CN" w:bidi="ar-SA"/>
        </w:rPr>
        <w:t>条；政策文件信息2条；公示公告信息</w:t>
      </w:r>
      <w:r>
        <w:rPr>
          <w:rFonts w:hint="eastAsia" w:eastAsia="方正仿宋简体" w:cs="Times New Roman"/>
          <w:b/>
          <w:color w:val="000000"/>
          <w:kern w:val="0"/>
          <w:sz w:val="32"/>
          <w:szCs w:val="32"/>
          <w:lang w:val="en-US" w:eastAsia="zh-CN" w:bidi="ar-SA"/>
        </w:rPr>
        <w:t>1</w:t>
      </w:r>
      <w:r>
        <w:rPr>
          <w:rFonts w:hint="eastAsia" w:ascii="Times New Roman" w:hAnsi="Times New Roman" w:eastAsia="方正仿宋简体" w:cs="Times New Roman"/>
          <w:b/>
          <w:color w:val="000000"/>
          <w:kern w:val="0"/>
          <w:sz w:val="32"/>
          <w:szCs w:val="32"/>
          <w:lang w:val="en-US" w:eastAsia="zh-CN" w:bidi="ar-SA"/>
        </w:rPr>
        <w:t>条；部门主动公开目录信息2条；行政权</w:t>
      </w:r>
      <w:r>
        <w:rPr>
          <w:rFonts w:hint="eastAsia" w:eastAsia="方正仿宋简体" w:cs="Times New Roman"/>
          <w:b/>
          <w:color w:val="000000"/>
          <w:kern w:val="0"/>
          <w:sz w:val="32"/>
          <w:szCs w:val="32"/>
          <w:lang w:val="en-US" w:eastAsia="zh-CN" w:bidi="ar-SA"/>
        </w:rPr>
        <w:t>力</w:t>
      </w:r>
      <w:r>
        <w:rPr>
          <w:rFonts w:hint="eastAsia" w:ascii="Times New Roman" w:hAnsi="Times New Roman" w:eastAsia="方正仿宋简体" w:cs="Times New Roman"/>
          <w:b/>
          <w:color w:val="000000"/>
          <w:kern w:val="0"/>
          <w:sz w:val="32"/>
          <w:szCs w:val="32"/>
          <w:lang w:val="en-US" w:eastAsia="zh-CN" w:bidi="ar-SA"/>
        </w:rPr>
        <w:t>运行公开2条，政府信息公开年报1条；公开部门预算1条和部门决算1条。</w:t>
      </w:r>
    </w:p>
    <w:p>
      <w:pPr>
        <w:keepNext w:val="0"/>
        <w:keepLines w:val="0"/>
        <w:pageBreakBefore w:val="0"/>
        <w:numPr>
          <w:ilvl w:val="0"/>
          <w:numId w:val="0"/>
        </w:numPr>
        <w:kinsoku/>
        <w:wordWrap/>
        <w:overflowPunct/>
        <w:topLinePunct w:val="0"/>
        <w:autoSpaceDE w:val="0"/>
        <w:autoSpaceDN/>
        <w:bidi w:val="0"/>
        <w:adjustRightInd/>
        <w:snapToGrid/>
        <w:spacing w:beforeAutospacing="0" w:afterAutospacing="0" w:line="240" w:lineRule="auto"/>
        <w:ind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drawing>
          <wp:inline distT="0" distB="0" distL="114300" distR="114300">
            <wp:extent cx="4839970" cy="2755265"/>
            <wp:effectExtent l="0" t="0" r="17780" b="698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4839970" cy="2755265"/>
                    </a:xfrm>
                    <a:prstGeom prst="rect">
                      <a:avLst/>
                    </a:prstGeom>
                  </pic:spPr>
                </pic:pic>
              </a:graphicData>
            </a:graphic>
          </wp:inline>
        </w:drawing>
      </w:r>
    </w:p>
    <w:p>
      <w:pPr>
        <w:numPr>
          <w:ilvl w:val="0"/>
          <w:numId w:val="1"/>
        </w:numPr>
        <w:spacing w:line="610" w:lineRule="exact"/>
        <w:ind w:right="-96" w:rightChars="-50" w:firstLine="624" w:firstLineChars="200"/>
        <w:rPr>
          <w:rFonts w:eastAsia="方正楷体简体"/>
          <w:b/>
          <w:color w:val="000000"/>
          <w:sz w:val="32"/>
          <w:szCs w:val="32"/>
        </w:rPr>
      </w:pPr>
      <w:r>
        <w:rPr>
          <w:rFonts w:eastAsia="方正楷体简体"/>
          <w:b/>
          <w:color w:val="000000"/>
          <w:sz w:val="32"/>
          <w:szCs w:val="32"/>
        </w:rPr>
        <w:t>依申请公开</w:t>
      </w:r>
      <w:r>
        <w:rPr>
          <w:rFonts w:hint="eastAsia" w:eastAsia="方正楷体简体"/>
          <w:b/>
          <w:color w:val="000000"/>
          <w:sz w:val="32"/>
          <w:szCs w:val="32"/>
          <w:lang w:eastAsia="zh-CN"/>
        </w:rPr>
        <w:t>情况</w:t>
      </w:r>
    </w:p>
    <w:p>
      <w:pPr>
        <w:keepNext w:val="0"/>
        <w:keepLines w:val="0"/>
        <w:pageBreakBefore w:val="0"/>
        <w:numPr>
          <w:ilvl w:val="0"/>
          <w:numId w:val="0"/>
        </w:numPr>
        <w:kinsoku/>
        <w:wordWrap/>
        <w:overflowPunct/>
        <w:topLinePunct w:val="0"/>
        <w:autoSpaceDE w:val="0"/>
        <w:autoSpaceDN/>
        <w:bidi w:val="0"/>
        <w:adjustRightInd/>
        <w:snapToGrid/>
        <w:spacing w:beforeAutospacing="0" w:afterAutospacing="0" w:line="240" w:lineRule="auto"/>
        <w:ind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w:t>
      </w:r>
      <w:r>
        <w:rPr>
          <w:rFonts w:hint="eastAsia" w:eastAsia="方正仿宋简体" w:cs="Times New Roman"/>
          <w:b/>
          <w:color w:val="000000"/>
          <w:kern w:val="0"/>
          <w:sz w:val="32"/>
          <w:szCs w:val="32"/>
          <w:lang w:val="en-US" w:eastAsia="zh-CN" w:bidi="ar-SA"/>
        </w:rPr>
        <w:t>3</w:t>
      </w:r>
      <w:r>
        <w:rPr>
          <w:rFonts w:hint="eastAsia" w:ascii="Times New Roman" w:hAnsi="Times New Roman" w:eastAsia="方正仿宋简体" w:cs="Times New Roman"/>
          <w:b/>
          <w:color w:val="000000"/>
          <w:kern w:val="0"/>
          <w:sz w:val="32"/>
          <w:szCs w:val="32"/>
          <w:lang w:val="en-US" w:eastAsia="zh-CN" w:bidi="ar-SA"/>
        </w:rPr>
        <w:t>年度，区供销社未收到政府信息公开申请。</w:t>
      </w:r>
    </w:p>
    <w:p>
      <w:pPr>
        <w:spacing w:line="610" w:lineRule="exact"/>
        <w:ind w:right="-96" w:rightChars="-50" w:firstLine="624" w:firstLineChars="200"/>
        <w:rPr>
          <w:rFonts w:eastAsia="方正楷体简体"/>
          <w:b/>
          <w:color w:val="000000"/>
          <w:sz w:val="32"/>
          <w:szCs w:val="32"/>
        </w:rPr>
      </w:pPr>
      <w:r>
        <w:rPr>
          <w:rFonts w:eastAsia="方正楷体简体"/>
          <w:b/>
          <w:color w:val="000000"/>
          <w:sz w:val="32"/>
          <w:szCs w:val="32"/>
        </w:rPr>
        <w:t>（三）</w:t>
      </w:r>
      <w:r>
        <w:rPr>
          <w:rFonts w:hint="eastAsia" w:eastAsia="方正楷体简体"/>
          <w:b/>
          <w:color w:val="000000"/>
          <w:sz w:val="32"/>
          <w:szCs w:val="32"/>
          <w:lang w:eastAsia="zh-CN"/>
        </w:rPr>
        <w:t>加强</w:t>
      </w:r>
      <w:r>
        <w:rPr>
          <w:rFonts w:eastAsia="方正楷体简体"/>
          <w:b/>
          <w:color w:val="000000"/>
          <w:sz w:val="32"/>
          <w:szCs w:val="32"/>
        </w:rPr>
        <w:t>政府信息管理</w:t>
      </w:r>
    </w:p>
    <w:p>
      <w:pPr>
        <w:keepNext w:val="0"/>
        <w:keepLines w:val="0"/>
        <w:pageBreakBefore w:val="0"/>
        <w:numPr>
          <w:ilvl w:val="0"/>
          <w:numId w:val="0"/>
        </w:numPr>
        <w:kinsoku/>
        <w:wordWrap/>
        <w:overflowPunct/>
        <w:topLinePunct w:val="0"/>
        <w:autoSpaceDE w:val="0"/>
        <w:autoSpaceDN/>
        <w:bidi w:val="0"/>
        <w:adjustRightInd/>
        <w:snapToGrid/>
        <w:spacing w:beforeAutospacing="0" w:afterAutospacing="0" w:line="240" w:lineRule="auto"/>
        <w:ind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供销社遵循公正、公平、便民的要求，坚持以“公开为常态、不公开为例外”原则，制定《兖州区供销社政务公开管理制度》。健全完善逐级审批机制，严格管理信息公开申请、审核、发布等环节，由各科室根据职责提供公开信息，经科室负责人、分管领导、主要负责人审核后发布，未经审核的信息不得对外公开，严格杜绝涉密信息公开。</w:t>
      </w:r>
    </w:p>
    <w:p>
      <w:pPr>
        <w:spacing w:line="610" w:lineRule="exact"/>
        <w:ind w:right="-96" w:rightChars="-50" w:firstLine="624" w:firstLineChars="200"/>
        <w:rPr>
          <w:rFonts w:hint="eastAsia" w:eastAsia="方正楷体简体"/>
          <w:b/>
          <w:color w:val="000000"/>
          <w:sz w:val="32"/>
          <w:szCs w:val="32"/>
          <w:lang w:eastAsia="zh-CN"/>
        </w:rPr>
      </w:pPr>
      <w:r>
        <w:rPr>
          <w:rFonts w:eastAsia="方正楷体简体"/>
          <w:b/>
          <w:color w:val="000000"/>
          <w:sz w:val="32"/>
          <w:szCs w:val="32"/>
        </w:rPr>
        <w:t>（四）</w:t>
      </w:r>
      <w:r>
        <w:rPr>
          <w:rFonts w:hint="eastAsia" w:eastAsia="方正楷体简体"/>
          <w:b/>
          <w:color w:val="000000"/>
          <w:sz w:val="32"/>
          <w:szCs w:val="32"/>
          <w:lang w:eastAsia="zh-CN"/>
        </w:rPr>
        <w:t>推动</w:t>
      </w:r>
      <w:r>
        <w:rPr>
          <w:rFonts w:eastAsia="方正楷体简体"/>
          <w:b/>
          <w:color w:val="000000"/>
          <w:sz w:val="32"/>
          <w:szCs w:val="32"/>
        </w:rPr>
        <w:t>政府信息公开平台</w:t>
      </w:r>
      <w:r>
        <w:rPr>
          <w:rFonts w:hint="eastAsia" w:eastAsia="方正楷体简体"/>
          <w:b/>
          <w:color w:val="000000"/>
          <w:sz w:val="32"/>
          <w:szCs w:val="32"/>
          <w:lang w:eastAsia="zh-CN"/>
        </w:rPr>
        <w:t>规范化</w:t>
      </w:r>
    </w:p>
    <w:p>
      <w:pPr>
        <w:keepNext w:val="0"/>
        <w:keepLines w:val="0"/>
        <w:pageBreakBefore w:val="0"/>
        <w:numPr>
          <w:ilvl w:val="0"/>
          <w:numId w:val="0"/>
        </w:numPr>
        <w:kinsoku/>
        <w:wordWrap/>
        <w:overflowPunct/>
        <w:topLinePunct w:val="0"/>
        <w:autoSpaceDE w:val="0"/>
        <w:autoSpaceDN/>
        <w:bidi w:val="0"/>
        <w:adjustRightInd/>
        <w:snapToGrid/>
        <w:spacing w:beforeAutospacing="0" w:afterAutospacing="0" w:line="240" w:lineRule="auto"/>
        <w:ind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供销社严格按照区政府办公室政务公开要求，全面贯彻落实《中华人民共和国政府信息公开条例》，依法履行法定主动公开义务，全面梳理部门主动公开基本目录，并按照目录更新责任范围内的政府网站信息内容，进一步提高政务信息公开的规范化、标准化、制度化。</w:t>
      </w:r>
    </w:p>
    <w:p>
      <w:pPr>
        <w:spacing w:line="610" w:lineRule="exact"/>
        <w:ind w:right="-96" w:rightChars="-50" w:firstLine="624" w:firstLineChars="200"/>
        <w:rPr>
          <w:rFonts w:hint="eastAsia" w:eastAsia="方正楷体简体"/>
          <w:b/>
          <w:color w:val="000000"/>
          <w:sz w:val="32"/>
          <w:szCs w:val="32"/>
          <w:lang w:eastAsia="zh-CN"/>
        </w:rPr>
      </w:pPr>
      <w:r>
        <w:rPr>
          <w:rFonts w:eastAsia="方正楷体简体"/>
          <w:b/>
          <w:color w:val="000000"/>
          <w:sz w:val="32"/>
          <w:szCs w:val="32"/>
        </w:rPr>
        <w:t>（五）</w:t>
      </w:r>
      <w:r>
        <w:rPr>
          <w:rFonts w:hint="eastAsia" w:eastAsia="方正楷体简体"/>
          <w:b/>
          <w:color w:val="000000"/>
          <w:sz w:val="32"/>
          <w:szCs w:val="32"/>
          <w:lang w:eastAsia="zh-CN"/>
        </w:rPr>
        <w:t>完善</w:t>
      </w:r>
      <w:r>
        <w:rPr>
          <w:rFonts w:eastAsia="方正楷体简体"/>
          <w:b/>
          <w:color w:val="000000"/>
          <w:sz w:val="32"/>
          <w:szCs w:val="32"/>
        </w:rPr>
        <w:t>监督保障</w:t>
      </w:r>
      <w:r>
        <w:rPr>
          <w:rFonts w:hint="eastAsia" w:eastAsia="方正楷体简体"/>
          <w:b/>
          <w:color w:val="000000"/>
          <w:sz w:val="32"/>
          <w:szCs w:val="32"/>
          <w:lang w:eastAsia="zh-CN"/>
        </w:rPr>
        <w:t>机制</w:t>
      </w:r>
    </w:p>
    <w:p>
      <w:pPr>
        <w:keepNext w:val="0"/>
        <w:keepLines w:val="0"/>
        <w:pageBreakBefore w:val="0"/>
        <w:numPr>
          <w:ilvl w:val="0"/>
          <w:numId w:val="0"/>
        </w:numPr>
        <w:kinsoku/>
        <w:wordWrap/>
        <w:overflowPunct/>
        <w:topLinePunct w:val="0"/>
        <w:autoSpaceDE w:val="0"/>
        <w:autoSpaceDN/>
        <w:bidi w:val="0"/>
        <w:adjustRightInd/>
        <w:snapToGrid/>
        <w:spacing w:beforeAutospacing="0" w:afterAutospacing="0" w:line="240" w:lineRule="auto"/>
        <w:ind w:firstLine="624"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区供销社成立了由主要负责人任组长，分管领导任副组长，各科室负责人为成员的政务公开工作领导小组，负责本部门政府信息公开工作的组织实施，为落实政府信息公开的各项要求提供了坚强的组织保障。定期对政府信息公开网站供销社模块逐项检查，严格按照区委区政府要求和《政府信息公开条例》规定，及时更新网站内容，按照审核流程进行保密审查后上传至网站公开，进一步提高了政务公开工作的规范化、标准化，保障了公众知情权、参与权、表达权和监督权，增强了政府公信力</w:t>
      </w:r>
      <w:r>
        <w:rPr>
          <w:rFonts w:hint="eastAsia" w:eastAsia="方正仿宋简体" w:cs="Times New Roman"/>
          <w:b/>
          <w:color w:val="000000"/>
          <w:kern w:val="0"/>
          <w:sz w:val="32"/>
          <w:szCs w:val="32"/>
          <w:lang w:val="en-US" w:eastAsia="zh-CN" w:bidi="ar-SA"/>
        </w:rPr>
        <w:t>。</w:t>
      </w:r>
    </w:p>
    <w:p>
      <w:pPr>
        <w:numPr>
          <w:ilvl w:val="0"/>
          <w:numId w:val="2"/>
        </w:numPr>
        <w:spacing w:line="590" w:lineRule="exact"/>
        <w:ind w:right="-96" w:rightChars="-50" w:firstLine="624" w:firstLineChars="200"/>
        <w:rPr>
          <w:rFonts w:eastAsia="方正黑体简体"/>
          <w:b/>
          <w:color w:val="000000"/>
          <w:sz w:val="32"/>
          <w:szCs w:val="32"/>
        </w:rPr>
      </w:pPr>
      <w:r>
        <w:rPr>
          <w:rFonts w:eastAsia="方正黑体简体"/>
          <w:b/>
          <w:color w:val="000000"/>
          <w:sz w:val="32"/>
          <w:szCs w:val="32"/>
        </w:rPr>
        <w:t>主动公开政府信息情况</w:t>
      </w:r>
    </w:p>
    <w:tbl>
      <w:tblPr>
        <w:tblStyle w:val="5"/>
        <w:tblpPr w:leftFromText="180" w:rightFromText="180" w:vertAnchor="text" w:horzAnchor="page" w:tblpX="1566" w:tblpY="732"/>
        <w:tblOverlap w:val="never"/>
        <w:tblW w:w="5000" w:type="pct"/>
        <w:tblInd w:w="0" w:type="dxa"/>
        <w:tblLayout w:type="autofit"/>
        <w:tblCellMar>
          <w:top w:w="0" w:type="dxa"/>
          <w:left w:w="108" w:type="dxa"/>
          <w:bottom w:w="0" w:type="dxa"/>
          <w:right w:w="108" w:type="dxa"/>
        </w:tblCellMar>
      </w:tblPr>
      <w:tblGrid>
        <w:gridCol w:w="2236"/>
        <w:gridCol w:w="2236"/>
        <w:gridCol w:w="2237"/>
        <w:gridCol w:w="2237"/>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bidi w:val="0"/>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p>
    <w:p>
      <w:pPr>
        <w:spacing w:before="62" w:beforeLines="10" w:after="62" w:afterLines="10" w:line="600" w:lineRule="exact"/>
        <w:ind w:firstLine="624" w:firstLineChars="200"/>
        <w:rPr>
          <w:rFonts w:eastAsia="方正黑体简体"/>
          <w:b/>
          <w:sz w:val="32"/>
          <w:szCs w:val="32"/>
        </w:rPr>
      </w:pPr>
      <w:r>
        <w:rPr>
          <w:rFonts w:eastAsia="方正黑体简体"/>
          <w:b/>
          <w:sz w:val="32"/>
          <w:szCs w:val="32"/>
        </w:rPr>
        <w:t>三、收到和处理政府信息公开申请情况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5093" w:type="dxa"/>
            <w:gridSpan w:val="3"/>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szCs w:val="21"/>
              </w:rPr>
            </w:pPr>
          </w:p>
        </w:tc>
        <w:tc>
          <w:tcPr>
            <w:tcW w:w="829" w:type="dxa"/>
            <w:vMerge w:val="continue"/>
            <w:noWrap w:val="0"/>
            <w:tcMar>
              <w:left w:w="108" w:type="dxa"/>
              <w:right w:w="108" w:type="dxa"/>
            </w:tcMar>
            <w:vAlign w:val="center"/>
          </w:tcPr>
          <w:p>
            <w:pPr>
              <w:jc w:val="center"/>
              <w:rPr>
                <w:rFonts w:ascii="黑体" w:hAnsi="黑体" w:eastAsia="黑体"/>
                <w:szCs w:val="21"/>
              </w:rPr>
            </w:pPr>
          </w:p>
        </w:tc>
        <w:tc>
          <w:tcPr>
            <w:tcW w:w="567" w:type="dxa"/>
            <w:noWrap w:val="0"/>
            <w:tcMar>
              <w:left w:w="108" w:type="dxa"/>
              <w:right w:w="108" w:type="dxa"/>
            </w:tcMar>
            <w:vAlign w:val="center"/>
          </w:tcPr>
          <w:p>
            <w:pPr>
              <w:widowControl/>
              <w:spacing w:line="320" w:lineRule="exact"/>
              <w:ind w:left="-96" w:leftChars="-51" w:right="-97" w:rightChars="-51" w:hanging="1"/>
              <w:jc w:val="center"/>
              <w:rPr>
                <w:rFonts w:ascii="黑体" w:hAnsi="黑体" w:eastAsia="黑体"/>
                <w:szCs w:val="21"/>
              </w:rPr>
            </w:pPr>
            <w:r>
              <w:rPr>
                <w:rFonts w:hint="eastAsia" w:ascii="黑体" w:hAnsi="黑体" w:eastAsia="黑体"/>
                <w:kern w:val="0"/>
                <w:szCs w:val="21"/>
              </w:rPr>
              <w:t>商业企业</w:t>
            </w:r>
          </w:p>
        </w:tc>
        <w:tc>
          <w:tcPr>
            <w:tcW w:w="567" w:type="dxa"/>
            <w:noWrap w:val="0"/>
            <w:tcMar>
              <w:left w:w="108" w:type="dxa"/>
              <w:right w:w="108" w:type="dxa"/>
            </w:tcMar>
            <w:vAlign w:val="center"/>
          </w:tcPr>
          <w:p>
            <w:pPr>
              <w:widowControl/>
              <w:spacing w:line="320" w:lineRule="exact"/>
              <w:ind w:left="-97" w:leftChars="-51" w:right="-97" w:rightChars="-51"/>
              <w:jc w:val="center"/>
              <w:rPr>
                <w:rFonts w:ascii="黑体" w:hAnsi="黑体" w:eastAsia="黑体"/>
                <w:szCs w:val="21"/>
              </w:rPr>
            </w:pPr>
            <w:r>
              <w:rPr>
                <w:rFonts w:hint="eastAsia" w:ascii="黑体" w:hAnsi="黑体" w:eastAsia="黑体"/>
                <w:kern w:val="0"/>
                <w:szCs w:val="21"/>
              </w:rPr>
              <w:t>科研机构</w:t>
            </w:r>
          </w:p>
        </w:tc>
        <w:tc>
          <w:tcPr>
            <w:tcW w:w="731" w:type="dxa"/>
            <w:noWrap w:val="0"/>
            <w:tcMar>
              <w:left w:w="108" w:type="dxa"/>
              <w:right w:w="108" w:type="dxa"/>
            </w:tcMar>
            <w:vAlign w:val="center"/>
          </w:tcPr>
          <w:p>
            <w:pPr>
              <w:widowControl/>
              <w:spacing w:line="320" w:lineRule="exact"/>
              <w:ind w:left="-97" w:leftChars="-51" w:right="-97" w:rightChars="-51"/>
              <w:jc w:val="center"/>
              <w:rPr>
                <w:rFonts w:ascii="黑体" w:hAnsi="黑体" w:eastAsia="黑体"/>
                <w:szCs w:val="21"/>
              </w:rPr>
            </w:pPr>
            <w:r>
              <w:rPr>
                <w:rFonts w:hint="eastAsia" w:ascii="黑体" w:hAnsi="黑体" w:eastAsia="黑体"/>
                <w:kern w:val="0"/>
                <w:szCs w:val="21"/>
              </w:rPr>
              <w:t>社会公益组织</w:t>
            </w:r>
          </w:p>
        </w:tc>
        <w:tc>
          <w:tcPr>
            <w:tcW w:w="708" w:type="dxa"/>
            <w:noWrap w:val="0"/>
            <w:tcMar>
              <w:left w:w="108" w:type="dxa"/>
              <w:right w:w="108" w:type="dxa"/>
            </w:tcMar>
            <w:vAlign w:val="center"/>
          </w:tcPr>
          <w:p>
            <w:pPr>
              <w:widowControl/>
              <w:spacing w:line="320" w:lineRule="exact"/>
              <w:ind w:left="-96" w:leftChars="-51" w:right="-9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noWrap w:val="0"/>
            <w:tcMar>
              <w:left w:w="108" w:type="dxa"/>
              <w:right w:w="108" w:type="dxa"/>
            </w:tcMar>
            <w:vAlign w:val="center"/>
          </w:tcPr>
          <w:p>
            <w:pPr>
              <w:widowControl/>
              <w:spacing w:line="360" w:lineRule="exact"/>
              <w:ind w:left="-57" w:leftChars="-30" w:right="-122"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8" w:hRule="exac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8" w:hRule="exact"/>
          <w:jc w:val="center"/>
        </w:trPr>
        <w:tc>
          <w:tcPr>
            <w:tcW w:w="5093" w:type="dxa"/>
            <w:gridSpan w:val="3"/>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829"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3" w:hRule="exact"/>
          <w:jc w:val="center"/>
        </w:trPr>
        <w:tc>
          <w:tcPr>
            <w:tcW w:w="416" w:type="dxa"/>
            <w:vMerge w:val="restart"/>
            <w:noWrap w:val="0"/>
            <w:tcMar>
              <w:left w:w="108" w:type="dxa"/>
              <w:right w:w="108" w:type="dxa"/>
            </w:tcMar>
            <w:vAlign w:val="center"/>
          </w:tcPr>
          <w:p>
            <w:pPr>
              <w:widowControl/>
              <w:spacing w:after="180"/>
              <w:jc w:val="center"/>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pPr>
              <w:widowControl/>
              <w:jc w:val="both"/>
              <w:rPr>
                <w:rFonts w:ascii="黑体" w:hAnsi="黑体" w:eastAsia="黑体"/>
                <w:szCs w:val="21"/>
              </w:rPr>
            </w:pPr>
            <w:r>
              <w:rPr>
                <w:rFonts w:hint="eastAsia" w:ascii="黑体" w:hAnsi="黑体" w:eastAsia="黑体"/>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8"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top"/>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4"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9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192"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5"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3" w:hRule="exact"/>
          <w:jc w:val="center"/>
        </w:trPr>
        <w:tc>
          <w:tcPr>
            <w:tcW w:w="416" w:type="dxa"/>
            <w:vMerge w:val="continue"/>
            <w:noWrap w:val="0"/>
            <w:tcMar>
              <w:left w:w="108" w:type="dxa"/>
              <w:right w:w="108" w:type="dxa"/>
            </w:tcMar>
            <w:vAlign w:val="center"/>
          </w:tcPr>
          <w:p>
            <w:pPr>
              <w:rPr>
                <w:rFonts w:ascii="黑体" w:hAnsi="黑体" w:eastAsia="黑体"/>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Cs w:val="21"/>
              </w:rPr>
            </w:pPr>
            <w:r>
              <w:rPr>
                <w:rFonts w:hint="eastAsia" w:ascii="仿宋_GB2312" w:hAnsi="楷体" w:eastAsia="仿宋_GB231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spacing w:line="590" w:lineRule="exact"/>
        <w:ind w:right="-96" w:rightChars="-50" w:firstLine="624" w:firstLineChars="200"/>
        <w:rPr>
          <w:rFonts w:eastAsia="方正黑体简体"/>
          <w:b/>
          <w:sz w:val="32"/>
          <w:szCs w:val="32"/>
        </w:rPr>
      </w:pPr>
    </w:p>
    <w:p>
      <w:pPr>
        <w:spacing w:line="590" w:lineRule="exact"/>
        <w:ind w:right="-96" w:rightChars="-50" w:firstLine="624" w:firstLineChars="200"/>
        <w:rPr>
          <w:rFonts w:eastAsia="方正黑体简体"/>
          <w:b/>
          <w:sz w:val="32"/>
          <w:szCs w:val="32"/>
        </w:rPr>
      </w:pPr>
      <w:r>
        <w:rPr>
          <w:rFonts w:eastAsia="方正黑体简体"/>
          <w:b/>
          <w:sz w:val="32"/>
          <w:szCs w:val="32"/>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36" w:leftChars="-71" w:right="-155" w:rightChars="-81"/>
              <w:jc w:val="center"/>
              <w:textAlignment w:val="auto"/>
              <w:rPr>
                <w:rFonts w:ascii="黑体" w:hAnsi="黑体" w:eastAsia="黑体"/>
                <w:kern w:val="0"/>
                <w:sz w:val="20"/>
                <w:szCs w:val="20"/>
              </w:rPr>
            </w:pPr>
            <w:r>
              <w:rPr>
                <w:rFonts w:ascii="黑体" w:hAnsi="黑体" w:eastAsia="黑体"/>
                <w:kern w:val="0"/>
                <w:sz w:val="20"/>
                <w:szCs w:val="20"/>
              </w:rPr>
              <w:t>结果</w:t>
            </w:r>
          </w:p>
          <w:p>
            <w:pPr>
              <w:keepNext w:val="0"/>
              <w:keepLines w:val="0"/>
              <w:pageBreakBefore w:val="0"/>
              <w:widowControl/>
              <w:kinsoku/>
              <w:wordWrap/>
              <w:overflowPunct/>
              <w:topLinePunct w:val="0"/>
              <w:autoSpaceDE/>
              <w:autoSpaceDN/>
              <w:bidi w:val="0"/>
              <w:adjustRightInd/>
              <w:snapToGrid/>
              <w:spacing w:line="240" w:lineRule="exact"/>
              <w:ind w:left="-136" w:leftChars="-71" w:right="-155"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39" w:leftChars="-21" w:right="-120"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74" w:leftChars="-39" w:right="-88"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07" w:leftChars="-56" w:right="-107" w:rightChars="-56"/>
              <w:jc w:val="center"/>
              <w:textAlignment w:val="auto"/>
              <w:rPr>
                <w:rFonts w:ascii="黑体" w:hAnsi="黑体" w:eastAsia="黑体"/>
                <w:kern w:val="0"/>
                <w:sz w:val="20"/>
                <w:szCs w:val="20"/>
              </w:rPr>
            </w:pPr>
            <w:r>
              <w:rPr>
                <w:rFonts w:ascii="黑体" w:hAnsi="黑体" w:eastAsia="黑体"/>
                <w:kern w:val="0"/>
                <w:sz w:val="20"/>
                <w:szCs w:val="20"/>
              </w:rPr>
              <w:t>尚未</w:t>
            </w:r>
          </w:p>
          <w:p>
            <w:pPr>
              <w:keepNext w:val="0"/>
              <w:keepLines w:val="0"/>
              <w:pageBreakBefore w:val="0"/>
              <w:widowControl/>
              <w:kinsoku/>
              <w:wordWrap/>
              <w:overflowPunct/>
              <w:topLinePunct w:val="0"/>
              <w:autoSpaceDE/>
              <w:autoSpaceDN/>
              <w:bidi w:val="0"/>
              <w:adjustRightInd/>
              <w:snapToGrid/>
              <w:spacing w:line="240" w:lineRule="exact"/>
              <w:ind w:left="-107" w:leftChars="-56" w:right="-107"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kern w:val="0"/>
                <w:sz w:val="20"/>
                <w:szCs w:val="20"/>
              </w:rPr>
            </w:pPr>
            <w:r>
              <w:rPr>
                <w:rFonts w:ascii="黑体" w:hAnsi="黑体" w:eastAsia="黑体"/>
                <w:kern w:val="0"/>
                <w:sz w:val="20"/>
                <w:szCs w:val="20"/>
              </w:rPr>
              <w:t>总</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96" w:leftChars="-50" w:right="-115"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78" w:leftChars="-41" w:right="-80"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15" w:leftChars="-60" w:right="-124" w:rightChars="-65"/>
              <w:jc w:val="center"/>
              <w:textAlignment w:val="auto"/>
              <w:rPr>
                <w:rFonts w:ascii="黑体" w:hAnsi="黑体" w:eastAsia="黑体"/>
                <w:kern w:val="0"/>
                <w:sz w:val="20"/>
                <w:szCs w:val="20"/>
              </w:rPr>
            </w:pPr>
            <w:r>
              <w:rPr>
                <w:rFonts w:ascii="黑体" w:hAnsi="黑体" w:eastAsia="黑体"/>
                <w:kern w:val="0"/>
                <w:sz w:val="20"/>
                <w:szCs w:val="20"/>
              </w:rPr>
              <w:t>其他</w:t>
            </w:r>
          </w:p>
          <w:p>
            <w:pPr>
              <w:keepNext w:val="0"/>
              <w:keepLines w:val="0"/>
              <w:pageBreakBefore w:val="0"/>
              <w:widowControl/>
              <w:kinsoku/>
              <w:wordWrap/>
              <w:overflowPunct/>
              <w:topLinePunct w:val="0"/>
              <w:autoSpaceDE/>
              <w:autoSpaceDN/>
              <w:bidi w:val="0"/>
              <w:adjustRightInd/>
              <w:snapToGrid/>
              <w:spacing w:line="240" w:lineRule="exact"/>
              <w:ind w:left="-115" w:leftChars="-60" w:right="-124"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49" w:leftChars="-78" w:right="-140" w:rightChars="-73"/>
              <w:jc w:val="center"/>
              <w:textAlignment w:val="auto"/>
              <w:rPr>
                <w:rFonts w:ascii="黑体" w:hAnsi="黑体" w:eastAsia="黑体"/>
                <w:kern w:val="0"/>
                <w:sz w:val="20"/>
                <w:szCs w:val="20"/>
              </w:rPr>
            </w:pPr>
            <w:r>
              <w:rPr>
                <w:rFonts w:ascii="黑体" w:hAnsi="黑体" w:eastAsia="黑体"/>
                <w:kern w:val="0"/>
                <w:sz w:val="20"/>
                <w:szCs w:val="20"/>
              </w:rPr>
              <w:t>尚未</w:t>
            </w:r>
          </w:p>
          <w:p>
            <w:pPr>
              <w:keepNext w:val="0"/>
              <w:keepLines w:val="0"/>
              <w:pageBreakBefore w:val="0"/>
              <w:widowControl/>
              <w:kinsoku/>
              <w:wordWrap/>
              <w:overflowPunct/>
              <w:topLinePunct w:val="0"/>
              <w:autoSpaceDE/>
              <w:autoSpaceDN/>
              <w:bidi w:val="0"/>
              <w:adjustRightInd/>
              <w:snapToGrid/>
              <w:spacing w:line="240" w:lineRule="exact"/>
              <w:ind w:left="-149" w:leftChars="-78" w:right="-140"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90" w:leftChars="-47" w:right="-71"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24" w:leftChars="-65" w:right="-113" w:rightChars="-59"/>
              <w:jc w:val="center"/>
              <w:textAlignment w:val="auto"/>
              <w:rPr>
                <w:rFonts w:ascii="黑体" w:hAnsi="黑体" w:eastAsia="黑体"/>
                <w:kern w:val="0"/>
                <w:sz w:val="20"/>
                <w:szCs w:val="20"/>
              </w:rPr>
            </w:pPr>
            <w:r>
              <w:rPr>
                <w:rFonts w:ascii="黑体" w:hAnsi="黑体" w:eastAsia="黑体"/>
                <w:kern w:val="0"/>
                <w:sz w:val="20"/>
                <w:szCs w:val="20"/>
              </w:rPr>
              <w:t>结果</w:t>
            </w:r>
          </w:p>
          <w:p>
            <w:pPr>
              <w:keepNext w:val="0"/>
              <w:keepLines w:val="0"/>
              <w:pageBreakBefore w:val="0"/>
              <w:widowControl/>
              <w:kinsoku/>
              <w:wordWrap/>
              <w:overflowPunct/>
              <w:topLinePunct w:val="0"/>
              <w:autoSpaceDE/>
              <w:autoSpaceDN/>
              <w:bidi w:val="0"/>
              <w:adjustRightInd/>
              <w:snapToGrid/>
              <w:spacing w:line="240" w:lineRule="exact"/>
              <w:ind w:left="-124" w:leftChars="-65" w:right="-113"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158" w:leftChars="-83" w:right="-122"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pPr>
              <w:keepNext w:val="0"/>
              <w:keepLines w:val="0"/>
              <w:pageBreakBefore w:val="0"/>
              <w:widowControl/>
              <w:kinsoku/>
              <w:wordWrap/>
              <w:overflowPunct/>
              <w:topLinePunct w:val="0"/>
              <w:autoSpaceDE/>
              <w:autoSpaceDN/>
              <w:bidi w:val="0"/>
              <w:adjustRightInd/>
              <w:snapToGrid/>
              <w:spacing w:line="240" w:lineRule="exact"/>
              <w:ind w:left="-158" w:leftChars="-83" w:right="-122"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ind w:left="-61" w:leftChars="-33" w:right="-96"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pPr>
        <w:spacing w:line="590" w:lineRule="exact"/>
        <w:ind w:right="-96" w:rightChars="-50" w:firstLine="624" w:firstLineChars="200"/>
        <w:rPr>
          <w:rFonts w:eastAsia="方正黑体简体"/>
          <w:b/>
          <w:sz w:val="32"/>
          <w:szCs w:val="32"/>
        </w:rPr>
      </w:pPr>
    </w:p>
    <w:p>
      <w:pPr>
        <w:spacing w:line="590" w:lineRule="exact"/>
        <w:ind w:right="-96" w:rightChars="-50" w:firstLine="624" w:firstLineChars="200"/>
        <w:rPr>
          <w:rFonts w:eastAsia="方正黑体简体"/>
          <w:b/>
          <w:sz w:val="32"/>
          <w:szCs w:val="32"/>
        </w:rPr>
      </w:pPr>
      <w:r>
        <w:rPr>
          <w:rFonts w:eastAsia="方正黑体简体"/>
          <w:b/>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360" w:afterAutospacing="0" w:line="600" w:lineRule="atLeast"/>
        <w:ind w:left="0" w:right="0" w:firstLine="600"/>
        <w:jc w:val="both"/>
        <w:rPr>
          <w:rFonts w:eastAsia="方正黑体简体"/>
          <w:b/>
          <w:sz w:val="32"/>
          <w:szCs w:val="32"/>
        </w:rPr>
      </w:pPr>
      <w:r>
        <w:rPr>
          <w:rFonts w:hint="eastAsia" w:ascii="Times New Roman" w:hAnsi="Times New Roman" w:eastAsia="方正仿宋简体" w:cs="Times New Roman"/>
          <w:b/>
          <w:sz w:val="32"/>
          <w:szCs w:val="32"/>
          <w:lang w:val="en-US" w:eastAsia="zh-CN" w:bidi="ar-SA"/>
        </w:rPr>
        <w:t>2023年，区供销社政府信息公开工作不足之处主要表现在：一是对政府信息公开工作重要性的认识不到位，工作积极性、主动性有待加强。二是信息公开的内容还不够全面。部分工作的相关信息公开不及时、不充分。针对上述存在的问题，将做出如下改进：一是加大培训力度，加强《条例》的学习，确保完整、及时、准确地向社会公开政府信息。二是进一步提升政务公开实效。及时更新栏目内容，确保专栏完整性、主动公开政府信息及时性，进一步提升信息公开的数量和质量。</w:t>
      </w:r>
    </w:p>
    <w:p>
      <w:pPr>
        <w:spacing w:line="590" w:lineRule="exact"/>
        <w:ind w:right="-96" w:rightChars="-50" w:firstLine="624" w:firstLineChars="200"/>
        <w:rPr>
          <w:rFonts w:hint="default"/>
          <w:lang w:val="en-US" w:eastAsia="zh-CN"/>
        </w:rPr>
      </w:pPr>
      <w:r>
        <w:rPr>
          <w:rFonts w:eastAsia="方正黑体简体"/>
          <w:b/>
          <w:sz w:val="32"/>
          <w:szCs w:val="32"/>
        </w:rPr>
        <w:t>六、其他需要报告的事项</w:t>
      </w:r>
    </w:p>
    <w:p>
      <w:pPr>
        <w:spacing w:line="590" w:lineRule="exact"/>
        <w:ind w:right="-96" w:rightChars="-50" w:firstLine="624" w:firstLineChars="200"/>
        <w:rPr>
          <w:rFonts w:eastAsia="方正仿宋简体"/>
          <w:b/>
          <w:sz w:val="32"/>
          <w:szCs w:val="32"/>
        </w:rPr>
      </w:pPr>
      <w:r>
        <w:rPr>
          <w:rFonts w:eastAsia="方正仿宋简体"/>
          <w:b/>
          <w:sz w:val="32"/>
          <w:szCs w:val="32"/>
        </w:rPr>
        <w:t>主要报告本行政机关认为需要报告的其他事项，以及其他有关文件专门要求通过政府信息公开工作年度报告予以报告的事项，包括但不限于：</w:t>
      </w:r>
    </w:p>
    <w:p>
      <w:pPr>
        <w:spacing w:line="590" w:lineRule="exact"/>
        <w:ind w:right="-96" w:rightChars="-50" w:firstLine="624" w:firstLineChars="200"/>
        <w:rPr>
          <w:rFonts w:hint="eastAsia" w:eastAsia="方正仿宋简体"/>
          <w:b/>
          <w:sz w:val="32"/>
          <w:szCs w:val="32"/>
          <w:lang w:eastAsia="zh-CN"/>
        </w:rPr>
      </w:pPr>
      <w:r>
        <w:rPr>
          <w:rFonts w:eastAsia="方正仿宋简体"/>
          <w:b/>
          <w:sz w:val="32"/>
          <w:szCs w:val="32"/>
        </w:rPr>
        <w:t>（一）依据《政府信息公开信息处理费管理办法》收取信息处理费的情况需在此专门报告;</w:t>
      </w:r>
      <w:r>
        <w:rPr>
          <w:rFonts w:hint="eastAsia" w:eastAsia="方正仿宋简体"/>
          <w:b/>
          <w:sz w:val="32"/>
          <w:szCs w:val="32"/>
          <w:lang w:eastAsia="zh-CN"/>
        </w:rPr>
        <w:t>无</w:t>
      </w:r>
    </w:p>
    <w:p>
      <w:pPr>
        <w:spacing w:line="590" w:lineRule="exact"/>
        <w:ind w:right="-96" w:rightChars="-50" w:firstLine="624" w:firstLineChars="200"/>
        <w:rPr>
          <w:rFonts w:eastAsia="方正仿宋简体"/>
          <w:b/>
          <w:sz w:val="32"/>
          <w:szCs w:val="32"/>
        </w:rPr>
      </w:pPr>
      <w:r>
        <w:rPr>
          <w:rFonts w:eastAsia="方正仿宋简体"/>
          <w:b/>
          <w:sz w:val="32"/>
          <w:szCs w:val="32"/>
        </w:rPr>
        <w:t>（二）本行政机关落实上级年度政务公开工作要点情况；</w:t>
      </w:r>
    </w:p>
    <w:p>
      <w:pPr>
        <w:spacing w:line="590" w:lineRule="exact"/>
        <w:ind w:right="-96" w:rightChars="-50" w:firstLine="624" w:firstLineChars="200"/>
        <w:rPr>
          <w:rFonts w:eastAsia="方正仿宋简体"/>
          <w:b/>
          <w:sz w:val="32"/>
          <w:szCs w:val="32"/>
        </w:rPr>
      </w:pPr>
      <w:r>
        <w:rPr>
          <w:rFonts w:hint="eastAsia" w:ascii="Times New Roman" w:hAnsi="Times New Roman" w:eastAsia="方正仿宋简体" w:cs="Times New Roman"/>
          <w:b/>
          <w:sz w:val="32"/>
          <w:szCs w:val="32"/>
          <w:lang w:eastAsia="zh-CN"/>
        </w:rPr>
        <w:t>区供销社</w:t>
      </w:r>
      <w:r>
        <w:rPr>
          <w:rFonts w:hint="eastAsia" w:ascii="Times New Roman" w:hAnsi="Times New Roman" w:eastAsia="方正仿宋简体" w:cs="Times New Roman"/>
          <w:b/>
          <w:sz w:val="32"/>
          <w:szCs w:val="32"/>
        </w:rPr>
        <w:t>高度重视政府信息公开工作，</w:t>
      </w:r>
      <w:r>
        <w:rPr>
          <w:rFonts w:hint="eastAsia" w:ascii="Times New Roman" w:hAnsi="Times New Roman" w:eastAsia="方正仿宋简体" w:cs="Times New Roman"/>
          <w:b/>
          <w:sz w:val="32"/>
          <w:szCs w:val="32"/>
          <w:lang w:eastAsia="zh-CN"/>
        </w:rPr>
        <w:t>认真贯彻区政府有关政务公开工作要求，成立工作领导小组，明确专人负责，完善工作制度，规范公开内容，不断提高政务公开工作水平。</w:t>
      </w:r>
    </w:p>
    <w:p>
      <w:pPr>
        <w:spacing w:line="590" w:lineRule="exact"/>
        <w:ind w:right="-96" w:rightChars="-50" w:firstLine="624" w:firstLineChars="200"/>
        <w:rPr>
          <w:rFonts w:hint="eastAsia" w:eastAsia="方正仿宋简体"/>
          <w:b/>
          <w:sz w:val="32"/>
          <w:szCs w:val="32"/>
          <w:lang w:eastAsia="zh-CN"/>
        </w:rPr>
      </w:pPr>
      <w:r>
        <w:rPr>
          <w:rFonts w:eastAsia="方正仿宋简体"/>
          <w:b/>
          <w:sz w:val="32"/>
          <w:szCs w:val="32"/>
        </w:rPr>
        <w:t>（三）本行政机关人大代表建议和政协提案办理结果公开情况；</w:t>
      </w:r>
      <w:r>
        <w:rPr>
          <w:rFonts w:hint="eastAsia" w:eastAsia="方正仿宋简体"/>
          <w:b/>
          <w:sz w:val="32"/>
          <w:szCs w:val="32"/>
          <w:lang w:eastAsia="zh-CN"/>
        </w:rPr>
        <w:t>无</w:t>
      </w:r>
    </w:p>
    <w:p>
      <w:pPr>
        <w:spacing w:line="590" w:lineRule="exact"/>
        <w:ind w:right="-96" w:rightChars="-50" w:firstLine="624" w:firstLineChars="200"/>
        <w:rPr>
          <w:rFonts w:hint="eastAsia" w:eastAsia="方正仿宋简体"/>
          <w:b/>
          <w:sz w:val="32"/>
          <w:szCs w:val="32"/>
          <w:lang w:eastAsia="zh-CN"/>
        </w:rPr>
      </w:pPr>
      <w:r>
        <w:rPr>
          <w:rFonts w:eastAsia="方正仿宋简体"/>
          <w:b/>
          <w:sz w:val="32"/>
          <w:szCs w:val="32"/>
        </w:rPr>
        <w:t>（四）本行政机关年度政务公开工作创新情况；</w:t>
      </w:r>
      <w:r>
        <w:rPr>
          <w:rFonts w:hint="eastAsia" w:eastAsia="方正仿宋简体"/>
          <w:b/>
          <w:sz w:val="32"/>
          <w:szCs w:val="32"/>
          <w:lang w:eastAsia="zh-CN"/>
        </w:rPr>
        <w:t>无</w:t>
      </w:r>
    </w:p>
    <w:p>
      <w:pPr>
        <w:spacing w:line="590" w:lineRule="exact"/>
        <w:ind w:right="-96" w:rightChars="-50" w:firstLine="624" w:firstLineChars="200"/>
        <w:rPr>
          <w:rFonts w:hint="eastAsia" w:eastAsia="方正仿宋简体"/>
          <w:b/>
          <w:sz w:val="32"/>
          <w:szCs w:val="32"/>
          <w:lang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无</w:t>
      </w:r>
    </w:p>
    <w:p>
      <w:pPr>
        <w:spacing w:line="590" w:lineRule="exact"/>
        <w:ind w:right="-96" w:rightChars="-50" w:firstLine="624" w:firstLineChars="200"/>
        <w:rPr>
          <w:rFonts w:hint="eastAsia" w:eastAsia="方正仿宋简体"/>
          <w:b/>
          <w:sz w:val="32"/>
          <w:szCs w:val="32"/>
          <w:lang w:eastAsia="zh-CN"/>
        </w:rPr>
      </w:pPr>
      <w:r>
        <w:rPr>
          <w:rFonts w:eastAsia="方正仿宋简体"/>
          <w:b/>
          <w:sz w:val="32"/>
          <w:szCs w:val="32"/>
        </w:rPr>
        <w:t>（六）本行政机关认为需要报告的其他事项；</w:t>
      </w:r>
      <w:r>
        <w:rPr>
          <w:rFonts w:hint="eastAsia" w:eastAsia="方正仿宋简体"/>
          <w:b/>
          <w:sz w:val="32"/>
          <w:szCs w:val="32"/>
          <w:lang w:eastAsia="zh-CN"/>
        </w:rPr>
        <w:t>无</w:t>
      </w:r>
    </w:p>
    <w:p>
      <w:pPr>
        <w:spacing w:line="590" w:lineRule="exact"/>
        <w:ind w:right="-96" w:rightChars="-50" w:firstLine="624" w:firstLineChars="200"/>
        <w:rPr>
          <w:rFonts w:hint="eastAsia" w:eastAsia="方正仿宋简体"/>
          <w:b/>
          <w:sz w:val="32"/>
          <w:szCs w:val="32"/>
          <w:lang w:eastAsia="zh-CN"/>
        </w:rPr>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无</w:t>
      </w:r>
    </w:p>
    <w:p>
      <w:pPr>
        <w:spacing w:line="590" w:lineRule="exact"/>
        <w:ind w:right="-96" w:rightChars="-50" w:firstLine="624" w:firstLineChars="200"/>
        <w:rPr>
          <w:rFonts w:eastAsia="方正仿宋简体"/>
          <w:b/>
          <w:sz w:val="32"/>
          <w:szCs w:val="32"/>
        </w:rPr>
      </w:pPr>
    </w:p>
    <w:p>
      <w:pPr>
        <w:spacing w:line="590" w:lineRule="exact"/>
        <w:ind w:right="-96" w:rightChars="-50" w:firstLine="624" w:firstLineChars="200"/>
        <w:rPr>
          <w:rFonts w:eastAsia="方正仿宋简体"/>
          <w:b/>
          <w:sz w:val="32"/>
          <w:szCs w:val="32"/>
        </w:rPr>
      </w:pPr>
    </w:p>
    <w:p>
      <w:pPr>
        <w:spacing w:line="590" w:lineRule="exact"/>
        <w:ind w:right="-96" w:rightChars="-50" w:firstLine="624" w:firstLineChars="200"/>
        <w:rPr>
          <w:rFonts w:eastAsia="方正仿宋简体"/>
          <w:b/>
          <w:sz w:val="32"/>
          <w:szCs w:val="32"/>
        </w:rPr>
      </w:pPr>
    </w:p>
    <w:p/>
    <w:sectPr>
      <w:footerReference r:id="rId3" w:type="default"/>
      <w:footerReference r:id="rId4" w:type="even"/>
      <w:pgSz w:w="11906" w:h="16838"/>
      <w:pgMar w:top="1191" w:right="1588" w:bottom="1191" w:left="1588" w:header="851" w:footer="1559" w:gutter="0"/>
      <w:pgNumType w:fmt="numberInDash"/>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21 -</w:t>
    </w:r>
    <w:r>
      <w:rPr>
        <w:rFonts w:ascii="宋体" w:hAnsi="宋体"/>
        <w:b/>
        <w:sz w:val="28"/>
        <w:szCs w:val="28"/>
      </w:rPr>
      <w:fldChar w:fldCharType="end"/>
    </w:r>
    <w:r>
      <w:rPr>
        <w:rFonts w:hint="eastAsia" w:ascii="宋体" w:hAnsi="宋体"/>
        <w:b/>
        <w:sz w:val="28"/>
        <w:szCs w:val="28"/>
      </w:rPr>
      <w:t xml:space="preserve"> </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1" w:firstLineChars="100"/>
      <w:rPr>
        <w:rFonts w:ascii="宋体" w:hAnsi="宋体"/>
        <w:b/>
        <w:sz w:val="28"/>
        <w:szCs w:val="28"/>
      </w:rPr>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20 -</w:t>
    </w:r>
    <w:r>
      <w:rPr>
        <w:rFonts w:ascii="宋体" w:hAnsi="宋体"/>
        <w:b/>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7FB65"/>
    <w:multiLevelType w:val="singleLevel"/>
    <w:tmpl w:val="0247FB65"/>
    <w:lvl w:ilvl="0" w:tentative="0">
      <w:start w:val="2"/>
      <w:numFmt w:val="chineseCounting"/>
      <w:suff w:val="nothing"/>
      <w:lvlText w:val="（%1）"/>
      <w:lvlJc w:val="left"/>
      <w:rPr>
        <w:rFonts w:hint="eastAsia"/>
      </w:rPr>
    </w:lvl>
  </w:abstractNum>
  <w:abstractNum w:abstractNumId="1">
    <w:nsid w:val="79AC5B9A"/>
    <w:multiLevelType w:val="singleLevel"/>
    <w:tmpl w:val="79AC5B9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OGNjMWM0YmY1NmIyN2U4ODdkYTEzNzBlYTNmMjQifQ=="/>
  </w:docVars>
  <w:rsids>
    <w:rsidRoot w:val="7D2B3913"/>
    <w:rsid w:val="23E134EF"/>
    <w:rsid w:val="26A06E73"/>
    <w:rsid w:val="491E0AFA"/>
    <w:rsid w:val="57601B83"/>
    <w:rsid w:val="725110CE"/>
    <w:rsid w:val="7A037445"/>
    <w:rsid w:val="7CBF4CDF"/>
    <w:rsid w:val="7D2B3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autoRedefine/>
    <w:qFormat/>
    <w:uiPriority w:val="0"/>
    <w:pPr>
      <w:spacing w:line="520" w:lineRule="exact"/>
      <w:ind w:firstLine="200" w:firstLineChars="200"/>
    </w:pPr>
    <w:rPr>
      <w:rFonts w:ascii="Calibri" w:hAnsi="Calibri"/>
      <w:sz w:val="28"/>
      <w:szCs w:val="24"/>
    </w:rPr>
  </w:style>
  <w:style w:type="paragraph" w:styleId="3">
    <w:name w:val="footer"/>
    <w:basedOn w:val="1"/>
    <w:autoRedefine/>
    <w:qFormat/>
    <w:uiPriority w:val="99"/>
    <w:pPr>
      <w:tabs>
        <w:tab w:val="center" w:pos="4153"/>
        <w:tab w:val="right" w:pos="8306"/>
      </w:tabs>
      <w:snapToGrid w:val="0"/>
      <w:jc w:val="left"/>
    </w:pPr>
    <w:rPr>
      <w:sz w:val="18"/>
    </w:rPr>
  </w:style>
  <w:style w:type="paragraph" w:styleId="4">
    <w:name w:val="Normal (Web)"/>
    <w:basedOn w:val="1"/>
    <w:autoRedefine/>
    <w:qFormat/>
    <w:uiPriority w:val="0"/>
    <w:pPr>
      <w:widowControl/>
      <w:spacing w:before="100" w:beforeAutospacing="1" w:after="100" w:afterAutospacing="1"/>
      <w:jc w:val="left"/>
    </w:pPr>
    <w:rPr>
      <w:rFonts w:ascii="宋体" w:hAnsi="宋体" w:cs="宋体"/>
      <w:sz w:val="24"/>
      <w:szCs w:val="24"/>
    </w:rPr>
  </w:style>
  <w:style w:type="character" w:styleId="7">
    <w:name w:val="Strong"/>
    <w:autoRedefine/>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2024-01-10T06:46:00Z</dcterms:created>
  <dc:creator>Administrator</dc:creator>
  <cp:lastModifiedBy>Administrator</cp:lastModifiedBy>
  <dcterms:modified xsi:type="dcterms:W3CDTF">2024-01-19T07:34:05Z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3F05CC67BA7E42ACA5E63D9310B56880_11</vt:lpwstr>
  </property>
</Properties>
</file>