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ascii="Times New Roman" w:hAnsi="Times New Roman" w:eastAsia="方正小标宋简体" w:cs="Times New Roman"/>
          <w:b/>
          <w:bCs w:val="0"/>
          <w:color w:val="000000"/>
          <w:kern w:val="0"/>
          <w:sz w:val="44"/>
          <w:szCs w:val="44"/>
        </w:rPr>
      </w:pPr>
      <w:r>
        <w:rPr>
          <w:rFonts w:ascii="Times New Roman" w:hAnsi="Times New Roman" w:eastAsia="方正小标宋简体" w:cs="Times New Roman"/>
          <w:b/>
          <w:bCs w:val="0"/>
          <w:color w:val="000000"/>
          <w:kern w:val="0"/>
          <w:sz w:val="44"/>
          <w:szCs w:val="44"/>
        </w:rPr>
        <w:t>济宁市兖州区颜店镇人民政府2023年政府</w:t>
      </w:r>
    </w:p>
    <w:p>
      <w:pPr>
        <w:spacing w:line="590" w:lineRule="exact"/>
        <w:ind w:right="-105" w:rightChars="-50"/>
        <w:jc w:val="center"/>
        <w:rPr>
          <w:rFonts w:ascii="Times New Roman" w:hAnsi="Times New Roman" w:eastAsia="方正小标宋简体" w:cs="Times New Roman"/>
          <w:b/>
          <w:bCs w:val="0"/>
          <w:color w:val="000000"/>
          <w:kern w:val="0"/>
          <w:sz w:val="44"/>
          <w:szCs w:val="44"/>
        </w:rPr>
      </w:pPr>
      <w:r>
        <w:rPr>
          <w:rFonts w:ascii="Times New Roman" w:hAnsi="Times New Roman" w:eastAsia="方正小标宋简体" w:cs="Times New Roman"/>
          <w:b/>
          <w:bCs w:val="0"/>
          <w:color w:val="000000"/>
          <w:kern w:val="0"/>
          <w:sz w:val="44"/>
          <w:szCs w:val="44"/>
        </w:rPr>
        <w:t>信息公开工作年度报告</w:t>
      </w:r>
    </w:p>
    <w:p>
      <w:pPr>
        <w:spacing w:line="590" w:lineRule="exact"/>
        <w:ind w:right="-105" w:rightChars="-50"/>
        <w:jc w:val="center"/>
        <w:rPr>
          <w:rFonts w:ascii="Times New Roman" w:hAnsi="Times New Roman" w:eastAsia="方正小标宋简体" w:cs="Times New Roman"/>
          <w:b/>
          <w:bCs w:val="0"/>
          <w:color w:val="000000"/>
          <w:kern w:val="0"/>
          <w:sz w:val="44"/>
          <w:szCs w:val="44"/>
        </w:rPr>
      </w:pPr>
    </w:p>
    <w:p>
      <w:pPr>
        <w:spacing w:line="610" w:lineRule="exact"/>
        <w:ind w:right="-105" w:rightChars="-50" w:firstLine="643" w:firstLineChars="200"/>
        <w:rPr>
          <w:rFonts w:ascii="Times New Roman" w:hAnsi="Times New Roman" w:eastAsia="方正仿宋简体" w:cs="Times New Roman"/>
          <w:b/>
          <w:bCs w:val="0"/>
          <w:color w:val="000000"/>
          <w:kern w:val="0"/>
          <w:sz w:val="32"/>
          <w:szCs w:val="32"/>
        </w:rPr>
      </w:pPr>
      <w:r>
        <w:rPr>
          <w:rFonts w:ascii="Times New Roman" w:hAnsi="Times New Roman" w:eastAsia="方正仿宋简体" w:cs="Times New Roman"/>
          <w:b/>
          <w:bCs w:val="0"/>
          <w:color w:val="000000"/>
          <w:kern w:val="0"/>
          <w:sz w:val="32"/>
          <w:szCs w:val="32"/>
        </w:rPr>
        <w:t>本报告由济宁市兖州区颜店镇人民政府按照《中华人民共和国政府信息公开条例》（以下简称《条例》）和《中华人民共和国政府信息公开工作年度报告格式》（国办公开办函〔2021〕30号）要求编制。</w:t>
      </w:r>
    </w:p>
    <w:p>
      <w:pPr>
        <w:spacing w:line="610" w:lineRule="exact"/>
        <w:ind w:right="-105" w:rightChars="-50" w:firstLine="643" w:firstLineChars="200"/>
        <w:rPr>
          <w:rFonts w:ascii="Times New Roman" w:hAnsi="Times New Roman" w:eastAsia="方正仿宋简体" w:cs="Times New Roman"/>
          <w:b/>
          <w:bCs w:val="0"/>
          <w:color w:val="000000"/>
          <w:kern w:val="0"/>
          <w:sz w:val="32"/>
          <w:szCs w:val="32"/>
        </w:rPr>
      </w:pPr>
      <w:r>
        <w:rPr>
          <w:rFonts w:ascii="Times New Roman" w:hAnsi="Times New Roman" w:eastAsia="方正仿宋简体" w:cs="Times New Roman"/>
          <w:b/>
          <w:bCs w:val="0"/>
          <w:color w:val="000000"/>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5" w:rightChars="-50" w:firstLine="643" w:firstLineChars="200"/>
        <w:rPr>
          <w:rFonts w:ascii="Times New Roman" w:hAnsi="Times New Roman" w:eastAsia="方正仿宋简体" w:cs="Times New Roman"/>
          <w:b/>
          <w:bCs w:val="0"/>
          <w:color w:val="000000"/>
          <w:kern w:val="0"/>
          <w:sz w:val="32"/>
          <w:szCs w:val="32"/>
        </w:rPr>
      </w:pPr>
      <w:r>
        <w:rPr>
          <w:rFonts w:ascii="Times New Roman" w:hAnsi="Times New Roman" w:eastAsia="方正仿宋简体" w:cs="Times New Roman"/>
          <w:b/>
          <w:bCs w:val="0"/>
          <w:color w:val="000000"/>
          <w:kern w:val="0"/>
          <w:sz w:val="32"/>
          <w:szCs w:val="32"/>
        </w:rPr>
        <w:t>本报告所列数据的统计期限自2023年1月1日起至2023年12月31日止。本报告电子版可在“中国·兖州”政府门户网站（</w:t>
      </w:r>
      <w:r>
        <w:rPr>
          <w:rFonts w:hint="eastAsia" w:ascii="Times New Roman" w:hAnsi="Times New Roman" w:eastAsia="方正仿宋简体" w:cs="Times New Roman"/>
          <w:b/>
          <w:bCs w:val="0"/>
          <w:color w:val="000000"/>
          <w:kern w:val="0"/>
          <w:sz w:val="32"/>
          <w:szCs w:val="32"/>
          <w:lang w:val="en-US" w:eastAsia="zh-CN"/>
        </w:rPr>
        <w:t>www.yanzhou.gov.cn</w:t>
      </w:r>
      <w:r>
        <w:rPr>
          <w:rFonts w:ascii="Times New Roman" w:hAnsi="Times New Roman" w:eastAsia="方正仿宋简体" w:cs="Times New Roman"/>
          <w:b/>
          <w:bCs w:val="0"/>
          <w:color w:val="000000"/>
          <w:kern w:val="0"/>
          <w:sz w:val="32"/>
          <w:szCs w:val="32"/>
        </w:rPr>
        <w:t>）查阅或下载。如对本报告有疑问，请与颜店镇党政办联系（地址：兖州区颜店镇府前路9号，联系电话：0537</w:t>
      </w:r>
      <w:r>
        <w:rPr>
          <w:rFonts w:hint="eastAsia" w:ascii="Times New Roman" w:hAnsi="Times New Roman" w:eastAsia="方正仿宋简体" w:cs="Times New Roman"/>
          <w:b/>
          <w:bCs w:val="0"/>
          <w:color w:val="000000"/>
          <w:kern w:val="0"/>
          <w:sz w:val="32"/>
          <w:szCs w:val="32"/>
          <w:lang w:eastAsia="zh-CN"/>
        </w:rPr>
        <w:t>—</w:t>
      </w:r>
      <w:r>
        <w:rPr>
          <w:rFonts w:ascii="Times New Roman" w:hAnsi="Times New Roman" w:eastAsia="方正仿宋简体" w:cs="Times New Roman"/>
          <w:b/>
          <w:bCs w:val="0"/>
          <w:color w:val="000000"/>
          <w:kern w:val="0"/>
          <w:sz w:val="32"/>
          <w:szCs w:val="32"/>
        </w:rPr>
        <w:t>3792211）。</w:t>
      </w:r>
    </w:p>
    <w:p>
      <w:pPr>
        <w:spacing w:line="610" w:lineRule="exact"/>
        <w:ind w:right="-105" w:rightChars="-50" w:firstLine="643" w:firstLineChars="200"/>
        <w:rPr>
          <w:rFonts w:ascii="Times New Roman" w:hAnsi="Times New Roman" w:eastAsia="方正黑体简体" w:cs="Times New Roman"/>
          <w:b/>
          <w:bCs w:val="0"/>
          <w:color w:val="000000"/>
          <w:kern w:val="0"/>
          <w:sz w:val="32"/>
          <w:szCs w:val="32"/>
        </w:rPr>
      </w:pPr>
      <w:r>
        <w:rPr>
          <w:rFonts w:ascii="Times New Roman" w:hAnsi="Times New Roman" w:eastAsia="方正黑体简体" w:cs="Times New Roman"/>
          <w:b/>
          <w:bCs w:val="0"/>
          <w:color w:val="000000"/>
          <w:kern w:val="0"/>
          <w:sz w:val="32"/>
          <w:szCs w:val="32"/>
        </w:rPr>
        <w:t>一、总体情况</w:t>
      </w:r>
    </w:p>
    <w:p>
      <w:pPr>
        <w:spacing w:line="610" w:lineRule="exact"/>
        <w:ind w:right="-105" w:rightChars="-50" w:firstLine="643" w:firstLineChars="200"/>
        <w:rPr>
          <w:rFonts w:ascii="Times New Roman" w:hAnsi="Times New Roman" w:eastAsia="方正仿宋简体" w:cs="Times New Roman"/>
          <w:b/>
          <w:bCs w:val="0"/>
          <w:color w:val="000000"/>
          <w:kern w:val="0"/>
          <w:sz w:val="32"/>
          <w:szCs w:val="32"/>
        </w:rPr>
      </w:pPr>
      <w:r>
        <w:rPr>
          <w:rFonts w:ascii="Times New Roman" w:hAnsi="Times New Roman" w:eastAsia="方正仿宋简体" w:cs="Times New Roman"/>
          <w:b/>
          <w:bCs w:val="0"/>
          <w:color w:val="000000"/>
          <w:kern w:val="0"/>
          <w:sz w:val="32"/>
          <w:szCs w:val="32"/>
        </w:rPr>
        <w:t>2023年，在兖州区委、区政府的正确领导下，颜店镇政府高度重视政务公开工作，牢固树立以人民为中心的公开理念，认真贯彻落实政府信息公开条例和上级决策部署，强化工作部署，创新公开方式，全年各项工作任务扎实开展、稳步推进。</w:t>
      </w:r>
    </w:p>
    <w:p>
      <w:pPr>
        <w:pStyle w:val="6"/>
        <w:widowControl/>
        <w:spacing w:beforeAutospacing="0" w:afterAutospacing="0" w:line="420" w:lineRule="atLeast"/>
        <w:ind w:right="-105" w:rightChars="-50" w:firstLine="643" w:firstLineChars="200"/>
        <w:rPr>
          <w:rFonts w:ascii="Times New Roman" w:hAnsi="Times New Roman" w:eastAsia="方正楷体简体"/>
          <w:b/>
          <w:bCs w:val="0"/>
          <w:color w:val="000000"/>
          <w:sz w:val="32"/>
          <w:szCs w:val="32"/>
        </w:rPr>
      </w:pPr>
      <w:r>
        <w:rPr>
          <w:rFonts w:ascii="Times New Roman" w:hAnsi="Times New Roman" w:eastAsia="方正楷体简体"/>
          <w:b/>
          <w:bCs w:val="0"/>
          <w:color w:val="000000"/>
          <w:sz w:val="32"/>
          <w:szCs w:val="32"/>
        </w:rPr>
        <w:t>（一）</w:t>
      </w:r>
      <w:r>
        <w:rPr>
          <w:rFonts w:ascii="Times New Roman" w:hAnsi="Times New Roman" w:eastAsia="方正楷体简体"/>
          <w:b/>
          <w:bCs w:val="0"/>
          <w:color w:val="000000"/>
          <w:sz w:val="32"/>
          <w:szCs w:val="32"/>
        </w:rPr>
        <w:t>做好主动公开信息情况</w:t>
      </w:r>
    </w:p>
    <w:p>
      <w:pPr>
        <w:spacing w:line="610" w:lineRule="exact"/>
        <w:ind w:right="-105" w:rightChars="-50" w:firstLine="643" w:firstLineChars="200"/>
        <w:rPr>
          <w:rFonts w:ascii="Times New Roman" w:hAnsi="Times New Roman" w:eastAsia="方正仿宋简体" w:cs="Times New Roman"/>
          <w:b/>
          <w:bCs w:val="0"/>
          <w:color w:val="000000"/>
          <w:kern w:val="0"/>
          <w:sz w:val="32"/>
          <w:szCs w:val="32"/>
        </w:rPr>
      </w:pPr>
      <w:r>
        <w:rPr>
          <w:rFonts w:ascii="Times New Roman" w:hAnsi="Times New Roman" w:eastAsia="方正仿宋简体" w:cs="Times New Roman"/>
          <w:b/>
          <w:bCs w:val="0"/>
          <w:color w:val="000000"/>
          <w:kern w:val="0"/>
          <w:sz w:val="32"/>
          <w:szCs w:val="32"/>
        </w:rPr>
        <w:t>2023年度，我镇在兖州区人民政府门户网站发布主动公开非政策性文件12条；应急管理类信息4条；招考录用信息1条；公共服务信息1条；组织管理类信息5条；公告公示2条；主动公开基本项目1条；基层政务公开标准化规范化工作2条。</w:t>
      </w:r>
    </w:p>
    <w:p>
      <w:pPr>
        <w:pStyle w:val="6"/>
        <w:widowControl/>
        <w:spacing w:beforeAutospacing="0" w:afterAutospacing="0" w:line="420" w:lineRule="atLeast"/>
        <w:ind w:right="-105" w:rightChars="-50" w:firstLine="675" w:firstLineChars="200"/>
        <w:rPr>
          <w:rFonts w:ascii="Times New Roman" w:hAnsi="Times New Roman" w:eastAsia="方正仿宋简体"/>
          <w:b/>
          <w:bCs w:val="0"/>
          <w:spacing w:val="8"/>
          <w:kern w:val="2"/>
          <w:sz w:val="32"/>
          <w:szCs w:val="32"/>
          <w:shd w:val="clear" w:color="auto" w:fill="FFFFFF"/>
        </w:rPr>
      </w:pPr>
      <w:r>
        <w:rPr>
          <w:rFonts w:ascii="Times New Roman" w:hAnsi="Times New Roman" w:eastAsia="方正仿宋简体"/>
          <w:b/>
          <w:bCs w:val="0"/>
          <w:spacing w:val="8"/>
          <w:kern w:val="2"/>
          <w:sz w:val="32"/>
          <w:szCs w:val="32"/>
          <w:shd w:val="clear" w:color="auto" w:fill="FFFFFF"/>
        </w:rPr>
        <w:drawing>
          <wp:inline distT="0" distB="0" distL="114300" distR="114300">
            <wp:extent cx="5256530" cy="2988310"/>
            <wp:effectExtent l="5080" t="4445" r="15240" b="55245"/>
            <wp:docPr id="3" name="图表 3" descr="7b0a202020202263686172745265734964223a2022323034373631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6"/>
        <w:widowControl/>
        <w:spacing w:beforeAutospacing="0" w:afterAutospacing="0" w:line="420" w:lineRule="atLeast"/>
        <w:ind w:right="-105" w:rightChars="-50" w:firstLine="643" w:firstLineChars="200"/>
        <w:rPr>
          <w:rFonts w:ascii="Times New Roman" w:hAnsi="Times New Roman" w:eastAsia="方正楷体简体"/>
          <w:b/>
          <w:bCs w:val="0"/>
          <w:color w:val="000000"/>
          <w:sz w:val="32"/>
          <w:szCs w:val="32"/>
        </w:rPr>
      </w:pPr>
      <w:r>
        <w:rPr>
          <w:rFonts w:ascii="Times New Roman" w:hAnsi="Times New Roman" w:eastAsia="方正楷体简体"/>
          <w:b/>
          <w:bCs w:val="0"/>
          <w:color w:val="000000"/>
          <w:sz w:val="32"/>
          <w:szCs w:val="32"/>
        </w:rPr>
        <w:t>（二）</w:t>
      </w:r>
      <w:r>
        <w:rPr>
          <w:rFonts w:ascii="Times New Roman" w:hAnsi="Times New Roman" w:eastAsia="方正楷体简体"/>
          <w:b/>
          <w:bCs w:val="0"/>
          <w:color w:val="000000"/>
          <w:sz w:val="32"/>
          <w:szCs w:val="32"/>
        </w:rPr>
        <w:t>依法办理信息公开</w:t>
      </w:r>
    </w:p>
    <w:p>
      <w:pPr>
        <w:pStyle w:val="6"/>
        <w:widowControl/>
        <w:spacing w:beforeAutospacing="0" w:afterAutospacing="0" w:line="420" w:lineRule="atLeast"/>
        <w:ind w:right="-105" w:rightChars="-50" w:firstLine="643" w:firstLineChars="200"/>
        <w:rPr>
          <w:rFonts w:ascii="Times New Roman" w:hAnsi="Times New Roman" w:eastAsia="方正仿宋简体"/>
          <w:b/>
          <w:bCs w:val="0"/>
          <w:color w:val="000000"/>
          <w:sz w:val="32"/>
          <w:szCs w:val="32"/>
        </w:rPr>
      </w:pPr>
      <w:r>
        <w:rPr>
          <w:rFonts w:ascii="Times New Roman" w:hAnsi="Times New Roman" w:eastAsia="方正仿宋简体"/>
          <w:b/>
          <w:bCs w:val="0"/>
          <w:color w:val="000000"/>
          <w:sz w:val="32"/>
          <w:szCs w:val="32"/>
        </w:rPr>
        <w:t>2023年度，</w:t>
      </w:r>
      <w:r>
        <w:rPr>
          <w:rFonts w:hint="eastAsia" w:ascii="Times New Roman" w:hAnsi="Times New Roman" w:eastAsia="方正仿宋简体"/>
          <w:b/>
          <w:bCs w:val="0"/>
          <w:color w:val="000000"/>
          <w:sz w:val="32"/>
          <w:szCs w:val="32"/>
        </w:rPr>
        <w:t>申请人通过信函、网络、当面提交等方式向我</w:t>
      </w:r>
      <w:r>
        <w:rPr>
          <w:rFonts w:hint="eastAsia" w:ascii="Times New Roman" w:hAnsi="Times New Roman" w:eastAsia="方正仿宋简体"/>
          <w:b/>
          <w:bCs w:val="0"/>
          <w:color w:val="000000"/>
          <w:sz w:val="32"/>
          <w:szCs w:val="32"/>
          <w:lang w:val="en-US" w:eastAsia="zh-CN"/>
        </w:rPr>
        <w:t>镇</w:t>
      </w:r>
      <w:r>
        <w:rPr>
          <w:rFonts w:hint="eastAsia" w:ascii="Times New Roman" w:hAnsi="Times New Roman" w:eastAsia="方正仿宋简体"/>
          <w:b/>
          <w:bCs w:val="0"/>
          <w:color w:val="000000"/>
          <w:sz w:val="32"/>
          <w:szCs w:val="32"/>
        </w:rPr>
        <w:t>申请政府信息公开共</w:t>
      </w:r>
      <w:r>
        <w:rPr>
          <w:rFonts w:hint="eastAsia" w:ascii="Times New Roman" w:hAnsi="Times New Roman" w:eastAsia="方正仿宋简体"/>
          <w:b/>
          <w:bCs w:val="0"/>
          <w:color w:val="000000"/>
          <w:sz w:val="32"/>
          <w:szCs w:val="32"/>
          <w:lang w:val="en-US" w:eastAsia="zh-CN"/>
        </w:rPr>
        <w:t>1</w:t>
      </w:r>
      <w:r>
        <w:rPr>
          <w:rFonts w:hint="eastAsia" w:ascii="Times New Roman" w:hAnsi="Times New Roman" w:eastAsia="方正仿宋简体"/>
          <w:b/>
          <w:bCs w:val="0"/>
          <w:color w:val="000000"/>
          <w:sz w:val="32"/>
          <w:szCs w:val="32"/>
        </w:rPr>
        <w:t>件，申请内容主要</w:t>
      </w:r>
      <w:r>
        <w:rPr>
          <w:rFonts w:hint="eastAsia" w:ascii="Times New Roman" w:hAnsi="Times New Roman" w:eastAsia="方正仿宋简体"/>
          <w:b/>
          <w:bCs w:val="0"/>
          <w:color w:val="000000"/>
          <w:sz w:val="32"/>
          <w:szCs w:val="32"/>
          <w:lang w:val="en-US" w:eastAsia="zh-CN"/>
        </w:rPr>
        <w:t>房屋拆迁搬迁</w:t>
      </w:r>
      <w:r>
        <w:rPr>
          <w:rFonts w:hint="eastAsia" w:ascii="Times New Roman" w:hAnsi="Times New Roman" w:eastAsia="方正仿宋简体"/>
          <w:b/>
          <w:bCs w:val="0"/>
          <w:color w:val="000000"/>
          <w:sz w:val="32"/>
          <w:szCs w:val="32"/>
        </w:rPr>
        <w:t>方面，我</w:t>
      </w:r>
      <w:r>
        <w:rPr>
          <w:rFonts w:hint="eastAsia" w:ascii="Times New Roman" w:hAnsi="Times New Roman" w:eastAsia="方正仿宋简体"/>
          <w:b/>
          <w:bCs w:val="0"/>
          <w:color w:val="000000"/>
          <w:sz w:val="32"/>
          <w:szCs w:val="32"/>
          <w:lang w:val="en-US" w:eastAsia="zh-CN"/>
        </w:rPr>
        <w:t>镇</w:t>
      </w:r>
      <w:r>
        <w:rPr>
          <w:rFonts w:hint="eastAsia" w:ascii="Times New Roman" w:hAnsi="Times New Roman" w:eastAsia="方正仿宋简体"/>
          <w:b/>
          <w:bCs w:val="0"/>
          <w:color w:val="000000"/>
          <w:sz w:val="32"/>
          <w:szCs w:val="32"/>
        </w:rPr>
        <w:t>依法按时完成答复，做到政府信息依申请公开件件有落实、有回应，未收取任何费用。</w:t>
      </w:r>
    </w:p>
    <w:p>
      <w:pPr>
        <w:pStyle w:val="6"/>
        <w:widowControl/>
        <w:spacing w:beforeAutospacing="0" w:afterAutospacing="0" w:line="420" w:lineRule="atLeast"/>
        <w:ind w:right="-105" w:rightChars="-50" w:firstLine="643" w:firstLineChars="200"/>
        <w:rPr>
          <w:rFonts w:ascii="Times New Roman" w:hAnsi="Times New Roman" w:eastAsia="方正楷体简体"/>
          <w:b/>
          <w:bCs w:val="0"/>
          <w:color w:val="000000"/>
          <w:sz w:val="32"/>
          <w:szCs w:val="32"/>
        </w:rPr>
      </w:pPr>
      <w:r>
        <w:rPr>
          <w:rFonts w:ascii="Times New Roman" w:hAnsi="Times New Roman" w:eastAsia="方正楷体简体"/>
          <w:b/>
          <w:bCs w:val="0"/>
          <w:color w:val="000000"/>
          <w:sz w:val="32"/>
          <w:szCs w:val="32"/>
        </w:rPr>
        <w:t>（三）</w:t>
      </w:r>
      <w:r>
        <w:rPr>
          <w:rFonts w:ascii="Times New Roman" w:hAnsi="Times New Roman" w:eastAsia="方正楷体简体"/>
          <w:b/>
          <w:bCs w:val="0"/>
          <w:color w:val="000000"/>
          <w:sz w:val="32"/>
          <w:szCs w:val="32"/>
        </w:rPr>
        <w:t>加强政府网站运维监管</w:t>
      </w:r>
    </w:p>
    <w:p>
      <w:pPr>
        <w:pStyle w:val="6"/>
        <w:widowControl/>
        <w:spacing w:beforeAutospacing="0" w:afterAutospacing="0" w:line="420" w:lineRule="atLeast"/>
        <w:ind w:right="-105" w:rightChars="-50" w:firstLine="643" w:firstLineChars="200"/>
        <w:rPr>
          <w:rFonts w:ascii="Times New Roman" w:hAnsi="Times New Roman" w:eastAsia="方正仿宋简体" w:cs="Times New Roman"/>
          <w:b/>
          <w:bCs w:val="0"/>
          <w:color w:val="000000"/>
          <w:kern w:val="0"/>
          <w:sz w:val="32"/>
          <w:szCs w:val="32"/>
        </w:rPr>
      </w:pPr>
      <w:r>
        <w:rPr>
          <w:rFonts w:ascii="Times New Roman" w:hAnsi="Times New Roman" w:eastAsia="方正仿宋简体" w:cs="Times New Roman"/>
          <w:b/>
          <w:bCs w:val="0"/>
          <w:color w:val="000000"/>
          <w:kern w:val="0"/>
          <w:sz w:val="32"/>
          <w:szCs w:val="32"/>
        </w:rPr>
        <w:t>加强政府网站运维监管。确保政务信息发布标准化、规范化。打造特色政务公开</w:t>
      </w:r>
      <w:r>
        <w:rPr>
          <w:rFonts w:ascii="Times New Roman" w:hAnsi="Times New Roman" w:eastAsia="方正仿宋简体" w:cs="Times New Roman"/>
          <w:b/>
          <w:bCs w:val="0"/>
          <w:color w:val="000000"/>
          <w:kern w:val="0"/>
          <w:sz w:val="32"/>
          <w:szCs w:val="32"/>
        </w:rPr>
        <w:t>专区。在原有为民服务大厅的基础上，因地制宜，合理利用空间，构建独具特色的政务公开专区，设置政府信息办理区、休息区，并配备1名工作人员，提供全程免费帮办代办服务，及时妥善处理群众各类申请和诉求，打通政务公开服务群众“最后一公里”。</w:t>
      </w:r>
    </w:p>
    <w:p>
      <w:pPr>
        <w:pStyle w:val="6"/>
        <w:widowControl/>
        <w:spacing w:beforeAutospacing="0" w:afterAutospacing="0" w:line="420" w:lineRule="atLeast"/>
        <w:ind w:right="-105" w:rightChars="-50" w:firstLine="643" w:firstLineChars="200"/>
        <w:rPr>
          <w:rFonts w:ascii="Times New Roman" w:hAnsi="Times New Roman" w:eastAsia="方正楷体简体"/>
          <w:b/>
          <w:bCs w:val="0"/>
          <w:color w:val="000000"/>
          <w:sz w:val="32"/>
          <w:szCs w:val="32"/>
        </w:rPr>
      </w:pPr>
      <w:r>
        <w:rPr>
          <w:rFonts w:ascii="Times New Roman" w:hAnsi="Times New Roman" w:eastAsia="方正楷体简体"/>
          <w:b/>
          <w:bCs w:val="0"/>
          <w:color w:val="000000"/>
          <w:sz w:val="32"/>
          <w:szCs w:val="32"/>
        </w:rPr>
        <w:t>（四）</w:t>
      </w:r>
      <w:r>
        <w:rPr>
          <w:rFonts w:ascii="Times New Roman" w:hAnsi="Times New Roman" w:eastAsia="方正楷体简体"/>
          <w:b/>
          <w:bCs w:val="0"/>
          <w:color w:val="000000"/>
          <w:sz w:val="32"/>
          <w:szCs w:val="32"/>
        </w:rPr>
        <w:t>规范化</w:t>
      </w:r>
      <w:r>
        <w:rPr>
          <w:rFonts w:hint="default" w:ascii="Times New Roman" w:hAnsi="Times New Roman" w:eastAsia="方正楷体简体"/>
          <w:b/>
          <w:bCs w:val="0"/>
          <w:color w:val="000000"/>
          <w:sz w:val="32"/>
          <w:szCs w:val="32"/>
        </w:rPr>
        <w:t>建设政府信息公开平台</w:t>
      </w:r>
    </w:p>
    <w:p>
      <w:pPr>
        <w:spacing w:line="610" w:lineRule="exact"/>
        <w:ind w:right="-105" w:rightChars="-50" w:firstLine="643" w:firstLineChars="200"/>
        <w:rPr>
          <w:rFonts w:ascii="Times New Roman" w:hAnsi="Times New Roman" w:eastAsia="方正仿宋简体" w:cs="Times New Roman"/>
          <w:b/>
          <w:bCs w:val="0"/>
          <w:color w:val="000000"/>
          <w:kern w:val="0"/>
          <w:sz w:val="32"/>
          <w:szCs w:val="32"/>
        </w:rPr>
      </w:pPr>
      <w:r>
        <w:rPr>
          <w:rFonts w:ascii="Times New Roman" w:hAnsi="Times New Roman" w:eastAsia="方正仿宋简体" w:cs="Times New Roman"/>
          <w:b/>
          <w:bCs w:val="0"/>
          <w:color w:val="000000"/>
          <w:kern w:val="0"/>
          <w:sz w:val="32"/>
          <w:szCs w:val="32"/>
        </w:rPr>
        <w:t>以基层政务公开标准化规范化工作为引领，在坚持和完善政务公开专栏基础上，积极创新政务公开新载体、新形式。利用为民服务大厅集中打造政务公开专区，积极推进政务公开专区建设，在派出所、人社所、司法所、医保办等窗口设置政务公开公示牌，主动向群众公开各所工作人员、工作职责和公开办事指南。鼓励各所主动依法依规加大信息公开力度，并借助政府门户网站、政务新媒体“线上线下”齐发力，进一步推动基层办事服务公开标准化规范化向农村延伸，实现利企便民服务“零距离”。</w:t>
      </w:r>
    </w:p>
    <w:p>
      <w:pPr>
        <w:pStyle w:val="6"/>
        <w:widowControl/>
        <w:spacing w:beforeAutospacing="0" w:afterAutospacing="0" w:line="420" w:lineRule="atLeast"/>
        <w:ind w:right="-105" w:rightChars="-50" w:firstLine="643" w:firstLineChars="200"/>
        <w:rPr>
          <w:rFonts w:ascii="Times New Roman" w:hAnsi="Times New Roman" w:eastAsia="方正楷体简体"/>
          <w:b/>
          <w:bCs w:val="0"/>
          <w:color w:val="000000"/>
          <w:sz w:val="32"/>
          <w:szCs w:val="32"/>
        </w:rPr>
      </w:pPr>
      <w:r>
        <w:rPr>
          <w:rFonts w:ascii="Times New Roman" w:hAnsi="Times New Roman" w:eastAsia="方正楷体简体"/>
          <w:b/>
          <w:bCs w:val="0"/>
          <w:color w:val="000000"/>
          <w:sz w:val="32"/>
          <w:szCs w:val="32"/>
        </w:rPr>
        <w:t>（五）</w:t>
      </w:r>
      <w:r>
        <w:rPr>
          <w:rFonts w:ascii="Times New Roman" w:hAnsi="Times New Roman" w:eastAsia="方正楷体简体"/>
          <w:b/>
          <w:bCs w:val="0"/>
          <w:color w:val="000000"/>
          <w:sz w:val="32"/>
          <w:szCs w:val="32"/>
        </w:rPr>
        <w:t>深化提升监督保障工作</w:t>
      </w:r>
    </w:p>
    <w:p>
      <w:pPr>
        <w:spacing w:line="610" w:lineRule="exact"/>
        <w:ind w:right="-105" w:rightChars="-50" w:firstLine="643" w:firstLineChars="200"/>
        <w:rPr>
          <w:rFonts w:ascii="Times New Roman" w:hAnsi="Times New Roman" w:eastAsia="方正仿宋简体" w:cs="Times New Roman"/>
          <w:b/>
          <w:bCs w:val="0"/>
          <w:color w:val="000000"/>
          <w:kern w:val="0"/>
          <w:sz w:val="32"/>
          <w:szCs w:val="32"/>
        </w:rPr>
      </w:pPr>
      <w:r>
        <w:rPr>
          <w:rFonts w:ascii="Times New Roman" w:hAnsi="Times New Roman" w:eastAsia="方正仿宋简体" w:cs="Times New Roman"/>
          <w:b/>
          <w:bCs w:val="0"/>
          <w:color w:val="000000"/>
          <w:kern w:val="0"/>
          <w:sz w:val="32"/>
          <w:szCs w:val="32"/>
        </w:rPr>
        <w:t>加强对我镇信息公开工作的组织领导，调整政府信息公开工作领导小组，积极畅通渠道，广泛接受社会监督。在门户网站上公开咨询和投诉渠道，及时回复社会关切，充分发挥社会监督作用。为提高政务公开水平，我镇在推进政府信息公开工作的过程中，严格依法管理，加强督促检查, 强化监督，使政府信息公开工作制度化和规范化。严格把握公开程序，广泛接受服务对象的监督，切实做好政府信息公开工作。镇明确专人负责政府信息公开工作，各科室、社区均配备了政务公开信息员。今年以来，镇召开政务信息培训1次，培训人员60余人次。</w:t>
      </w:r>
    </w:p>
    <w:p>
      <w:pPr>
        <w:numPr>
          <w:ilvl w:val="0"/>
          <w:numId w:val="1"/>
        </w:numPr>
        <w:spacing w:line="610" w:lineRule="exact"/>
        <w:ind w:right="-105" w:rightChars="-50" w:firstLine="643" w:firstLineChars="200"/>
        <w:rPr>
          <w:rFonts w:ascii="Times New Roman" w:hAnsi="Times New Roman" w:eastAsia="方正黑体简体" w:cs="Times New Roman"/>
          <w:b/>
          <w:bCs w:val="0"/>
          <w:color w:val="000000"/>
          <w:kern w:val="0"/>
          <w:sz w:val="32"/>
          <w:szCs w:val="32"/>
        </w:rPr>
      </w:pPr>
      <w:r>
        <w:rPr>
          <w:rFonts w:ascii="Times New Roman" w:hAnsi="Times New Roman" w:eastAsia="方正黑体简体" w:cs="Times New Roman"/>
          <w:b/>
          <w:bCs w:val="0"/>
          <w:color w:val="000000"/>
          <w:kern w:val="0"/>
          <w:sz w:val="32"/>
          <w:szCs w:val="32"/>
        </w:rPr>
        <w:t>主动公开政府信息情况</w:t>
      </w:r>
    </w:p>
    <w:tbl>
      <w:tblPr>
        <w:tblStyle w:val="7"/>
        <w:tblW w:w="5000" w:type="pct"/>
        <w:tblInd w:w="0" w:type="dxa"/>
        <w:tblLayout w:type="autofit"/>
        <w:tblCellMar>
          <w:top w:w="0" w:type="dxa"/>
          <w:left w:w="108" w:type="dxa"/>
          <w:bottom w:w="0" w:type="dxa"/>
          <w:right w:w="108" w:type="dxa"/>
        </w:tblCellMar>
      </w:tblPr>
      <w:tblGrid>
        <w:gridCol w:w="2237"/>
        <w:gridCol w:w="2237"/>
        <w:gridCol w:w="2237"/>
        <w:gridCol w:w="2237"/>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b/>
                <w:bCs w:val="0"/>
                <w:color w:val="000000"/>
                <w:kern w:val="0"/>
                <w:szCs w:val="21"/>
              </w:rPr>
            </w:pPr>
            <w:r>
              <w:rPr>
                <w:rFonts w:hint="eastAsia" w:ascii="Times New Roman" w:hAnsi="Times New Roman" w:eastAsia="黑体" w:cs="宋体"/>
                <w:b/>
                <w:bCs w:val="0"/>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宋体"/>
                <w:b/>
                <w:bCs w:val="0"/>
                <w:color w:val="000000"/>
                <w:kern w:val="0"/>
                <w:szCs w:val="21"/>
                <w:lang w:val="en-US" w:eastAsia="zh-CN"/>
              </w:rPr>
            </w:pPr>
            <w:r>
              <w:rPr>
                <w:rFonts w:hint="eastAsia" w:ascii="Times New Roman" w:hAnsi="Times New Roman" w:eastAsia="仿宋_GB2312" w:cs="宋体"/>
                <w:b/>
                <w:bCs w:val="0"/>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宋体"/>
                <w:b/>
                <w:bCs w:val="0"/>
                <w:color w:val="000000"/>
                <w:kern w:val="0"/>
                <w:szCs w:val="21"/>
                <w:lang w:val="en-US" w:eastAsia="zh-CN"/>
              </w:rPr>
            </w:pPr>
            <w:r>
              <w:rPr>
                <w:rFonts w:hint="eastAsia" w:ascii="Times New Roman" w:hAnsi="Times New Roman" w:eastAsia="仿宋_GB2312" w:cs="宋体"/>
                <w:b/>
                <w:bCs w:val="0"/>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Calibri"/>
                <w:b/>
                <w:bCs w:val="0"/>
                <w:color w:val="000000"/>
                <w:kern w:val="0"/>
                <w:szCs w:val="21"/>
                <w:lang w:val="en-US" w:eastAsia="zh-CN"/>
              </w:rPr>
            </w:pPr>
            <w:r>
              <w:rPr>
                <w:rFonts w:hint="eastAsia" w:ascii="Times New Roman" w:hAnsi="Times New Roman" w:eastAsia="仿宋_GB2312" w:cs="Calibri"/>
                <w:b/>
                <w:bCs w:val="0"/>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宋体"/>
                <w:b/>
                <w:bCs w:val="0"/>
                <w:color w:val="000000"/>
                <w:kern w:val="0"/>
                <w:szCs w:val="21"/>
                <w:lang w:val="en-US" w:eastAsia="zh-CN"/>
              </w:rPr>
            </w:pPr>
            <w:r>
              <w:rPr>
                <w:rFonts w:hint="eastAsia" w:ascii="Times New Roman" w:hAnsi="Times New Roman" w:eastAsia="仿宋_GB2312" w:cs="宋体"/>
                <w:b/>
                <w:bCs w:val="0"/>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宋体"/>
                <w:b/>
                <w:bCs w:val="0"/>
                <w:color w:val="000000"/>
                <w:kern w:val="0"/>
                <w:szCs w:val="21"/>
                <w:lang w:val="en-US" w:eastAsia="zh-CN"/>
              </w:rPr>
            </w:pPr>
            <w:r>
              <w:rPr>
                <w:rFonts w:hint="eastAsia" w:ascii="Times New Roman" w:hAnsi="Times New Roman" w:eastAsia="仿宋_GB2312" w:cs="宋体"/>
                <w:b/>
                <w:bCs w:val="0"/>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Calibri"/>
                <w:b/>
                <w:bCs w:val="0"/>
                <w:color w:val="000000"/>
                <w:kern w:val="0"/>
                <w:szCs w:val="21"/>
                <w:lang w:val="en-US" w:eastAsia="zh-CN"/>
              </w:rPr>
            </w:pPr>
            <w:r>
              <w:rPr>
                <w:rFonts w:hint="eastAsia" w:ascii="Times New Roman" w:hAnsi="Times New Roman" w:eastAsia="仿宋_GB2312" w:cs="Calibri"/>
                <w:b/>
                <w:bCs w:val="0"/>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b/>
                <w:bCs w:val="0"/>
                <w:color w:val="000000"/>
                <w:kern w:val="0"/>
                <w:szCs w:val="21"/>
              </w:rPr>
            </w:pPr>
            <w:r>
              <w:rPr>
                <w:rFonts w:hint="eastAsia" w:ascii="Times New Roman" w:hAnsi="Times New Roman" w:eastAsia="黑体" w:cs="宋体"/>
                <w:b/>
                <w:bCs w:val="0"/>
                <w:color w:val="000000"/>
                <w:kern w:val="0"/>
                <w:szCs w:val="21"/>
              </w:rPr>
              <w:t>第二十条第（五）项</w:t>
            </w:r>
          </w:p>
        </w:tc>
      </w:tr>
      <w:tr>
        <w:tblPrEx>
          <w:tblCellMar>
            <w:top w:w="0" w:type="dxa"/>
            <w:left w:w="108" w:type="dxa"/>
            <w:bottom w:w="0" w:type="dxa"/>
            <w:right w:w="108" w:type="dxa"/>
          </w:tblCellMar>
        </w:tblPrEx>
        <w:trPr>
          <w:trHeight w:val="586"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Times New Roman" w:hAnsi="Times New Roman" w:eastAsia="仿宋_GB2312" w:cs="Calibri"/>
                <w:b/>
                <w:bCs w:val="0"/>
                <w:color w:val="000000"/>
                <w:kern w:val="0"/>
                <w:szCs w:val="21"/>
                <w:lang w:val="en-US" w:eastAsia="zh-CN"/>
              </w:rPr>
            </w:pPr>
            <w:r>
              <w:rPr>
                <w:rFonts w:hint="eastAsia" w:ascii="Times New Roman" w:hAnsi="Times New Roman" w:eastAsia="仿宋_GB2312" w:cs="Calibri"/>
                <w:b/>
                <w:bCs w:val="0"/>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b/>
                <w:bCs w:val="0"/>
                <w:color w:val="000000"/>
                <w:kern w:val="0"/>
                <w:szCs w:val="21"/>
              </w:rPr>
            </w:pPr>
            <w:r>
              <w:rPr>
                <w:rFonts w:hint="eastAsia" w:ascii="Times New Roman" w:hAnsi="Times New Roman" w:eastAsia="黑体" w:cs="宋体"/>
                <w:b/>
                <w:bCs w:val="0"/>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default" w:ascii="Times New Roman" w:hAnsi="Times New Roman" w:eastAsia="仿宋_GB2312" w:cs="宋体"/>
                <w:b/>
                <w:bCs w:val="0"/>
                <w:color w:val="000000"/>
                <w:kern w:val="0"/>
                <w:szCs w:val="21"/>
                <w:lang w:val="en-US" w:eastAsia="zh-CN"/>
              </w:rPr>
            </w:pPr>
            <w:r>
              <w:rPr>
                <w:rFonts w:hint="eastAsia" w:ascii="Times New Roman" w:hAnsi="Times New Roman" w:eastAsia="仿宋_GB2312" w:cs="宋体"/>
                <w:b/>
                <w:bCs w:val="0"/>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Times New Roman" w:hAnsi="Times New Roman" w:eastAsia="仿宋_GB2312" w:cs="宋体"/>
                <w:b/>
                <w:bCs w:val="0"/>
                <w:color w:val="000000"/>
                <w:kern w:val="0"/>
                <w:szCs w:val="21"/>
                <w:lang w:val="en-US" w:eastAsia="zh-CN"/>
              </w:rPr>
            </w:pPr>
            <w:r>
              <w:rPr>
                <w:rFonts w:hint="eastAsia" w:ascii="Times New Roman" w:hAnsi="Times New Roman" w:eastAsia="仿宋_GB2312" w:cs="宋体"/>
                <w:b/>
                <w:bCs w:val="0"/>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b/>
                <w:bCs w:val="0"/>
                <w:color w:val="000000"/>
                <w:kern w:val="0"/>
                <w:szCs w:val="21"/>
              </w:rPr>
            </w:pPr>
            <w:r>
              <w:rPr>
                <w:rFonts w:hint="eastAsia" w:ascii="Times New Roman" w:hAnsi="Times New Roman" w:eastAsia="黑体" w:cs="宋体"/>
                <w:b/>
                <w:bCs w:val="0"/>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b/>
                <w:bCs w:val="0"/>
                <w:color w:val="000000"/>
                <w:kern w:val="0"/>
                <w:szCs w:val="21"/>
              </w:rPr>
            </w:pPr>
            <w:r>
              <w:rPr>
                <w:rFonts w:hint="eastAsia" w:ascii="Times New Roman" w:hAnsi="Times New Roman" w:eastAsia="仿宋_GB2312" w:cs="宋体"/>
                <w:b/>
                <w:bCs w:val="0"/>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Times New Roman" w:hAnsi="Times New Roman" w:eastAsia="仿宋_GB2312" w:cs="Calibri"/>
                <w:b/>
                <w:bCs w:val="0"/>
                <w:color w:val="000000"/>
                <w:kern w:val="0"/>
                <w:szCs w:val="21"/>
                <w:lang w:val="en-US" w:eastAsia="zh-CN"/>
              </w:rPr>
            </w:pPr>
            <w:r>
              <w:rPr>
                <w:rFonts w:hint="eastAsia" w:ascii="Times New Roman" w:hAnsi="Times New Roman" w:eastAsia="仿宋_GB2312" w:cs="Calibri"/>
                <w:b/>
                <w:bCs w:val="0"/>
                <w:color w:val="000000"/>
                <w:kern w:val="0"/>
                <w:szCs w:val="21"/>
                <w:lang w:val="en-US" w:eastAsia="zh-CN"/>
              </w:rPr>
              <w:t>0</w:t>
            </w:r>
          </w:p>
        </w:tc>
      </w:tr>
    </w:tbl>
    <w:p>
      <w:pPr>
        <w:numPr>
          <w:ilvl w:val="0"/>
          <w:numId w:val="1"/>
        </w:numPr>
        <w:spacing w:line="610" w:lineRule="exact"/>
        <w:ind w:left="0" w:leftChars="0" w:right="-105" w:rightChars="-50" w:firstLine="643" w:firstLineChars="200"/>
        <w:rPr>
          <w:rFonts w:ascii="Times New Roman" w:hAnsi="Times New Roman" w:eastAsia="方正黑体简体" w:cs="Times New Roman"/>
          <w:b/>
          <w:bCs w:val="0"/>
          <w:color w:val="000000"/>
          <w:kern w:val="0"/>
          <w:sz w:val="32"/>
          <w:szCs w:val="32"/>
        </w:rPr>
      </w:pPr>
      <w:r>
        <w:rPr>
          <w:rFonts w:ascii="Times New Roman" w:hAnsi="Times New Roman" w:eastAsia="方正黑体简体" w:cs="Times New Roman"/>
          <w:b/>
          <w:bCs w:val="0"/>
          <w:color w:val="000000"/>
          <w:kern w:val="0"/>
          <w:sz w:val="32"/>
          <w:szCs w:val="32"/>
        </w:rPr>
        <w:t>收到和处理政府信息公开申请情况</w:t>
      </w:r>
    </w:p>
    <w:tbl>
      <w:tblPr>
        <w:tblStyle w:val="7"/>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Times New Roman" w:hAnsi="Times New Roman" w:eastAsia="楷体_GB2312"/>
                <w:b/>
                <w:bCs/>
                <w:kern w:val="0"/>
                <w:szCs w:val="21"/>
              </w:rPr>
            </w:pPr>
            <w:r>
              <w:rPr>
                <w:rFonts w:hint="eastAsia" w:ascii="Times New Roman" w:hAnsi="Times New Roman" w:eastAsia="楷体_GB2312"/>
                <w:b/>
                <w:bCs/>
                <w:kern w:val="0"/>
                <w:szCs w:val="21"/>
              </w:rPr>
              <w:t>（本列数据的勾稽关系为：第一项加第二项之和，</w:t>
            </w:r>
          </w:p>
          <w:p>
            <w:pPr>
              <w:widowControl/>
              <w:jc w:val="center"/>
              <w:rPr>
                <w:rFonts w:ascii="Times New Roman" w:hAnsi="Times New Roman" w:eastAsia="仿宋_GB2312"/>
                <w:b/>
                <w:bCs/>
                <w:szCs w:val="21"/>
              </w:rPr>
            </w:pPr>
            <w:r>
              <w:rPr>
                <w:rFonts w:hint="eastAsia" w:ascii="Times New Roman" w:hAnsi="Times New Roman" w:eastAsia="楷体_GB2312"/>
                <w:b/>
                <w:bCs/>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Times New Roman" w:hAnsi="Times New Roman" w:eastAsia="黑体"/>
                <w:b/>
                <w:bCs/>
                <w:szCs w:val="21"/>
              </w:rPr>
            </w:pPr>
            <w:r>
              <w:rPr>
                <w:rFonts w:hint="eastAsia" w:ascii="Times New Roman" w:hAnsi="Times New Roman" w:eastAsia="黑体"/>
                <w:b/>
                <w:bCs/>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Times New Roman" w:hAnsi="Times New Roman" w:eastAsia="仿宋_GB2312"/>
                <w:b/>
                <w:bCs/>
                <w:szCs w:val="21"/>
              </w:rPr>
            </w:pPr>
          </w:p>
        </w:tc>
        <w:tc>
          <w:tcPr>
            <w:tcW w:w="829" w:type="dxa"/>
            <w:vMerge w:val="restart"/>
            <w:noWrap w:val="0"/>
            <w:tcMar>
              <w:left w:w="108" w:type="dxa"/>
              <w:right w:w="108" w:type="dxa"/>
            </w:tcMar>
            <w:vAlign w:val="center"/>
          </w:tcPr>
          <w:p>
            <w:pPr>
              <w:widowControl/>
              <w:jc w:val="center"/>
              <w:rPr>
                <w:rFonts w:ascii="Times New Roman" w:hAnsi="Times New Roman" w:eastAsia="黑体"/>
                <w:b/>
                <w:bCs/>
                <w:szCs w:val="21"/>
              </w:rPr>
            </w:pPr>
            <w:r>
              <w:rPr>
                <w:rFonts w:hint="eastAsia" w:ascii="Times New Roman" w:hAnsi="Times New Roman" w:eastAsia="黑体"/>
                <w:b/>
                <w:bCs/>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Times New Roman" w:hAnsi="Times New Roman" w:eastAsia="黑体"/>
                <w:b/>
                <w:bCs/>
                <w:szCs w:val="21"/>
              </w:rPr>
            </w:pPr>
            <w:r>
              <w:rPr>
                <w:rFonts w:hint="eastAsia" w:ascii="Times New Roman" w:hAnsi="Times New Roman" w:eastAsia="黑体"/>
                <w:b/>
                <w:bCs/>
                <w:kern w:val="0"/>
                <w:szCs w:val="21"/>
              </w:rPr>
              <w:t>法人或其他组织</w:t>
            </w:r>
          </w:p>
        </w:tc>
        <w:tc>
          <w:tcPr>
            <w:tcW w:w="851" w:type="dxa"/>
            <w:vMerge w:val="restart"/>
            <w:noWrap w:val="0"/>
            <w:tcMar>
              <w:left w:w="108" w:type="dxa"/>
              <w:right w:w="108" w:type="dxa"/>
            </w:tcMar>
            <w:vAlign w:val="center"/>
          </w:tcPr>
          <w:p>
            <w:pPr>
              <w:widowControl/>
              <w:jc w:val="center"/>
              <w:rPr>
                <w:rFonts w:ascii="Times New Roman" w:hAnsi="Times New Roman" w:eastAsia="黑体"/>
                <w:b/>
                <w:bCs/>
                <w:szCs w:val="21"/>
              </w:rPr>
            </w:pPr>
            <w:r>
              <w:rPr>
                <w:rFonts w:hint="eastAsia" w:ascii="Times New Roman" w:hAnsi="Times New Roman" w:eastAsia="黑体"/>
                <w:b/>
                <w:bCs/>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Times New Roman" w:hAnsi="Times New Roman" w:eastAsia="仿宋_GB2312"/>
                <w:b/>
                <w:bCs/>
                <w:szCs w:val="21"/>
              </w:rPr>
            </w:pPr>
          </w:p>
        </w:tc>
        <w:tc>
          <w:tcPr>
            <w:tcW w:w="829" w:type="dxa"/>
            <w:vMerge w:val="continue"/>
            <w:noWrap w:val="0"/>
            <w:tcMar>
              <w:left w:w="108" w:type="dxa"/>
              <w:right w:w="108" w:type="dxa"/>
            </w:tcMar>
            <w:vAlign w:val="center"/>
          </w:tcPr>
          <w:p>
            <w:pPr>
              <w:jc w:val="center"/>
              <w:rPr>
                <w:rFonts w:ascii="Times New Roman" w:hAnsi="Times New Roman" w:eastAsia="黑体"/>
                <w:b/>
                <w:bCs/>
                <w:szCs w:val="21"/>
              </w:rPr>
            </w:pPr>
          </w:p>
        </w:tc>
        <w:tc>
          <w:tcPr>
            <w:tcW w:w="567" w:type="dxa"/>
            <w:noWrap w:val="0"/>
            <w:tcMar>
              <w:left w:w="108" w:type="dxa"/>
              <w:right w:w="108" w:type="dxa"/>
            </w:tcMar>
            <w:vAlign w:val="center"/>
          </w:tcPr>
          <w:p>
            <w:pPr>
              <w:widowControl/>
              <w:spacing w:line="320" w:lineRule="exact"/>
              <w:ind w:left="-106" w:leftChars="-51" w:right="-107" w:rightChars="-51" w:hanging="1" w:firstLineChars="0"/>
              <w:jc w:val="center"/>
              <w:rPr>
                <w:rFonts w:ascii="Times New Roman" w:hAnsi="Times New Roman" w:eastAsia="黑体"/>
                <w:b/>
                <w:bCs/>
                <w:szCs w:val="21"/>
              </w:rPr>
            </w:pPr>
            <w:r>
              <w:rPr>
                <w:rFonts w:hint="eastAsia" w:ascii="Times New Roman" w:hAnsi="Times New Roman" w:eastAsia="黑体"/>
                <w:b/>
                <w:bCs/>
                <w:kern w:val="0"/>
                <w:szCs w:val="21"/>
              </w:rPr>
              <w:t>商业企业</w:t>
            </w:r>
          </w:p>
        </w:tc>
        <w:tc>
          <w:tcPr>
            <w:tcW w:w="567" w:type="dxa"/>
            <w:noWrap w:val="0"/>
            <w:tcMar>
              <w:left w:w="108" w:type="dxa"/>
              <w:right w:w="108" w:type="dxa"/>
            </w:tcMar>
            <w:vAlign w:val="center"/>
          </w:tcPr>
          <w:p>
            <w:pPr>
              <w:widowControl/>
              <w:spacing w:line="320" w:lineRule="exact"/>
              <w:ind w:left="-107" w:leftChars="-51" w:right="-107" w:rightChars="-51"/>
              <w:jc w:val="center"/>
              <w:rPr>
                <w:rFonts w:ascii="Times New Roman" w:hAnsi="Times New Roman" w:eastAsia="黑体"/>
                <w:b/>
                <w:bCs/>
                <w:szCs w:val="21"/>
              </w:rPr>
            </w:pPr>
            <w:r>
              <w:rPr>
                <w:rFonts w:hint="eastAsia" w:ascii="Times New Roman" w:hAnsi="Times New Roman" w:eastAsia="黑体"/>
                <w:b/>
                <w:bCs/>
                <w:kern w:val="0"/>
                <w:szCs w:val="21"/>
              </w:rPr>
              <w:t>科研机构</w:t>
            </w:r>
          </w:p>
        </w:tc>
        <w:tc>
          <w:tcPr>
            <w:tcW w:w="731" w:type="dxa"/>
            <w:noWrap w:val="0"/>
            <w:tcMar>
              <w:left w:w="108" w:type="dxa"/>
              <w:right w:w="108" w:type="dxa"/>
            </w:tcMar>
            <w:vAlign w:val="center"/>
          </w:tcPr>
          <w:p>
            <w:pPr>
              <w:widowControl/>
              <w:spacing w:line="320" w:lineRule="exact"/>
              <w:ind w:left="-107" w:leftChars="-51" w:right="-107" w:rightChars="-51"/>
              <w:jc w:val="center"/>
              <w:rPr>
                <w:rFonts w:ascii="Times New Roman" w:hAnsi="Times New Roman" w:eastAsia="黑体"/>
                <w:b/>
                <w:bCs/>
                <w:szCs w:val="21"/>
              </w:rPr>
            </w:pPr>
            <w:r>
              <w:rPr>
                <w:rFonts w:hint="eastAsia" w:ascii="Times New Roman" w:hAnsi="Times New Roman" w:eastAsia="黑体"/>
                <w:b/>
                <w:bCs/>
                <w:kern w:val="0"/>
                <w:szCs w:val="21"/>
              </w:rPr>
              <w:t>社会公益组织</w:t>
            </w:r>
          </w:p>
        </w:tc>
        <w:tc>
          <w:tcPr>
            <w:tcW w:w="708" w:type="dxa"/>
            <w:noWrap w:val="0"/>
            <w:tcMar>
              <w:left w:w="108" w:type="dxa"/>
              <w:right w:w="108" w:type="dxa"/>
            </w:tcMar>
            <w:vAlign w:val="center"/>
          </w:tcPr>
          <w:p>
            <w:pPr>
              <w:widowControl/>
              <w:spacing w:line="320" w:lineRule="exact"/>
              <w:ind w:left="-106" w:leftChars="-51" w:right="-107" w:rightChars="-51" w:hanging="1" w:firstLineChars="0"/>
              <w:jc w:val="center"/>
              <w:rPr>
                <w:rFonts w:ascii="Times New Roman" w:hAnsi="Times New Roman" w:eastAsia="黑体"/>
                <w:b/>
                <w:bCs/>
                <w:szCs w:val="21"/>
              </w:rPr>
            </w:pPr>
            <w:r>
              <w:rPr>
                <w:rFonts w:hint="eastAsia" w:ascii="Times New Roman" w:hAnsi="Times New Roman" w:eastAsia="黑体"/>
                <w:b/>
                <w:bCs/>
                <w:kern w:val="0"/>
                <w:szCs w:val="21"/>
              </w:rPr>
              <w:t>法律服务机构</w:t>
            </w:r>
          </w:p>
        </w:tc>
        <w:tc>
          <w:tcPr>
            <w:tcW w:w="567" w:type="dxa"/>
            <w:noWrap w:val="0"/>
            <w:tcMar>
              <w:left w:w="108" w:type="dxa"/>
              <w:right w:w="108" w:type="dxa"/>
            </w:tcMar>
            <w:vAlign w:val="center"/>
          </w:tcPr>
          <w:p>
            <w:pPr>
              <w:widowControl/>
              <w:spacing w:line="360" w:lineRule="exact"/>
              <w:ind w:left="-63" w:leftChars="-30" w:right="-134" w:rightChars="-64"/>
              <w:jc w:val="center"/>
              <w:rPr>
                <w:rFonts w:ascii="Times New Roman" w:hAnsi="Times New Roman" w:eastAsia="黑体"/>
                <w:b/>
                <w:bCs/>
                <w:szCs w:val="21"/>
              </w:rPr>
            </w:pPr>
            <w:r>
              <w:rPr>
                <w:rFonts w:hint="eastAsia" w:ascii="Times New Roman" w:hAnsi="Times New Roman" w:eastAsia="黑体"/>
                <w:b/>
                <w:bCs/>
                <w:kern w:val="0"/>
                <w:szCs w:val="21"/>
              </w:rPr>
              <w:t>其他</w:t>
            </w:r>
          </w:p>
        </w:tc>
        <w:tc>
          <w:tcPr>
            <w:tcW w:w="851" w:type="dxa"/>
            <w:vMerge w:val="continue"/>
            <w:noWrap w:val="0"/>
            <w:tcMar>
              <w:left w:w="108" w:type="dxa"/>
              <w:right w:w="108" w:type="dxa"/>
            </w:tcMar>
            <w:vAlign w:val="center"/>
          </w:tcPr>
          <w:p>
            <w:pPr>
              <w:jc w:val="center"/>
              <w:rPr>
                <w:rFonts w:ascii="Times New Roman" w:hAnsi="Times New Roman" w:eastAsia="仿宋_GB2312"/>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99" w:hRule="atLeast"/>
          <w:jc w:val="center"/>
        </w:trPr>
        <w:tc>
          <w:tcPr>
            <w:tcW w:w="5093" w:type="dxa"/>
            <w:gridSpan w:val="3"/>
            <w:noWrap w:val="0"/>
            <w:tcMar>
              <w:left w:w="108" w:type="dxa"/>
              <w:right w:w="108" w:type="dxa"/>
            </w:tcMar>
            <w:vAlign w:val="center"/>
          </w:tcPr>
          <w:p>
            <w:pPr>
              <w:widowControl/>
              <w:rPr>
                <w:rFonts w:ascii="Times New Roman" w:hAnsi="Times New Roman" w:eastAsia="黑体"/>
                <w:b/>
                <w:bCs/>
                <w:szCs w:val="21"/>
              </w:rPr>
            </w:pPr>
            <w:r>
              <w:rPr>
                <w:rFonts w:hint="eastAsia" w:ascii="Times New Roman" w:hAnsi="Times New Roman" w:eastAsia="黑体"/>
                <w:b/>
                <w:bCs/>
                <w:kern w:val="0"/>
                <w:szCs w:val="21"/>
              </w:rPr>
              <w:t>一、本年新收政府信息公开申请数量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Times New Roman" w:hAnsi="Times New Roman" w:eastAsia="黑体"/>
                <w:b/>
                <w:bCs/>
                <w:szCs w:val="21"/>
              </w:rPr>
            </w:pPr>
            <w:r>
              <w:rPr>
                <w:rFonts w:hint="eastAsia" w:ascii="Times New Roman" w:hAnsi="Times New Roman" w:eastAsia="黑体"/>
                <w:b/>
                <w:bCs/>
                <w:kern w:val="0"/>
                <w:szCs w:val="21"/>
              </w:rPr>
              <w:t>二、上年结转政府信息公开申请数量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Times New Roman" w:hAnsi="Times New Roman" w:eastAsia="黑体"/>
                <w:b/>
                <w:bCs/>
                <w:szCs w:val="21"/>
              </w:rPr>
            </w:pPr>
            <w:r>
              <w:rPr>
                <w:rFonts w:hint="eastAsia" w:ascii="Times New Roman" w:hAnsi="Times New Roman" w:eastAsia="黑体"/>
                <w:b/>
                <w:bCs/>
                <w:kern w:val="0"/>
                <w:szCs w:val="21"/>
              </w:rPr>
              <w:t>三、本年度办理结果</w:t>
            </w:r>
          </w:p>
        </w:tc>
        <w:tc>
          <w:tcPr>
            <w:tcW w:w="4677" w:type="dxa"/>
            <w:gridSpan w:val="2"/>
            <w:noWrap w:val="0"/>
            <w:tcMar>
              <w:left w:w="108" w:type="dxa"/>
              <w:right w:w="108" w:type="dxa"/>
            </w:tcMar>
            <w:vAlign w:val="center"/>
          </w:tcPr>
          <w:p>
            <w:pPr>
              <w:widowControl/>
              <w:rPr>
                <w:rFonts w:ascii="Times New Roman" w:hAnsi="Times New Roman" w:eastAsia="黑体"/>
                <w:b/>
                <w:bCs/>
                <w:szCs w:val="21"/>
              </w:rPr>
            </w:pPr>
            <w:r>
              <w:rPr>
                <w:rFonts w:hint="eastAsia" w:ascii="Times New Roman" w:hAnsi="Times New Roman" w:eastAsia="黑体"/>
                <w:b/>
                <w:bCs/>
                <w:kern w:val="0"/>
                <w:szCs w:val="21"/>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4677" w:type="dxa"/>
            <w:gridSpan w:val="2"/>
            <w:noWrap w:val="0"/>
            <w:tcMar>
              <w:left w:w="108" w:type="dxa"/>
              <w:right w:w="108" w:type="dxa"/>
            </w:tcMar>
            <w:vAlign w:val="center"/>
          </w:tcPr>
          <w:p>
            <w:pPr>
              <w:widowControl/>
              <w:rPr>
                <w:rFonts w:ascii="Times New Roman" w:hAnsi="Times New Roman" w:eastAsia="黑体"/>
                <w:b/>
                <w:bCs/>
                <w:szCs w:val="21"/>
              </w:rPr>
            </w:pPr>
            <w:r>
              <w:rPr>
                <w:rFonts w:hint="eastAsia" w:ascii="Times New Roman" w:hAnsi="Times New Roman" w:eastAsia="黑体"/>
                <w:b/>
                <w:bCs/>
                <w:kern w:val="0"/>
                <w:szCs w:val="21"/>
              </w:rPr>
              <w:t>（二）部分公开（区分处理的，只计这一情形，不计其他情形）</w:t>
            </w:r>
            <w:bookmarkStart w:id="0" w:name="_GoBack"/>
            <w:bookmarkEnd w:id="0"/>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Times New Roman" w:hAnsi="Times New Roman" w:eastAsia="黑体"/>
                <w:b/>
                <w:bCs/>
                <w:szCs w:val="21"/>
              </w:rPr>
            </w:pPr>
            <w:r>
              <w:rPr>
                <w:rFonts w:hint="eastAsia" w:ascii="Times New Roman" w:hAnsi="Times New Roman" w:eastAsia="黑体"/>
                <w:b/>
                <w:bCs/>
                <w:kern w:val="0"/>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2.其他法律行政法规禁止公开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4.保护第三方合法权益</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6.属于四类过程性信息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8.属于行政查询事项</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Times New Roman" w:hAnsi="Times New Roman" w:eastAsia="黑体"/>
                <w:b/>
                <w:bCs/>
                <w:szCs w:val="21"/>
              </w:rPr>
            </w:pPr>
            <w:r>
              <w:rPr>
                <w:rFonts w:hint="eastAsia" w:ascii="Times New Roman" w:hAnsi="Times New Roman" w:eastAsia="黑体"/>
                <w:b/>
                <w:bCs/>
                <w:kern w:val="0"/>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7" w:leftChars="-51"/>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2.没有现成信息需要另行制作</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7" w:leftChars="-51"/>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3.补正后申请内容仍不明确</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Times New Roman" w:hAnsi="Times New Roman" w:eastAsia="黑体"/>
                <w:b/>
                <w:bCs/>
                <w:szCs w:val="21"/>
              </w:rPr>
            </w:pPr>
            <w:r>
              <w:rPr>
                <w:rFonts w:hint="eastAsia" w:ascii="Times New Roman" w:hAnsi="Times New Roman" w:eastAsia="黑体"/>
                <w:b/>
                <w:bCs/>
                <w:kern w:val="0"/>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1.信访举报投诉类申请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szCs w:val="21"/>
              </w:rPr>
            </w:pPr>
            <w:r>
              <w:rPr>
                <w:rFonts w:hint="eastAsia" w:ascii="Times New Roman" w:hAnsi="Times New Roman" w:eastAsia="仿宋_GB2312"/>
                <w:b/>
                <w:bCs/>
                <w:kern w:val="0"/>
                <w:szCs w:val="21"/>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szCs w:val="21"/>
              </w:rPr>
            </w:pPr>
            <w:r>
              <w:rPr>
                <w:rFonts w:hint="eastAsia" w:ascii="Times New Roman" w:hAnsi="Times New Roman" w:eastAsia="仿宋_GB2312"/>
                <w:b/>
                <w:bCs/>
                <w:kern w:val="0"/>
                <w:szCs w:val="21"/>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b/>
                <w:bCs/>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211" w:firstLineChars="100"/>
              <w:textAlignment w:val="auto"/>
              <w:rPr>
                <w:rFonts w:ascii="Times New Roman" w:hAnsi="Times New Roman" w:eastAsia="仿宋_GB2312"/>
                <w:b/>
                <w:bCs/>
                <w:szCs w:val="21"/>
              </w:rPr>
            </w:pPr>
            <w:r>
              <w:rPr>
                <w:rFonts w:hint="eastAsia" w:ascii="Times New Roman" w:hAnsi="Times New Roman" w:eastAsia="仿宋_GB2312"/>
                <w:b/>
                <w:bCs/>
                <w:kern w:val="0"/>
                <w:szCs w:val="21"/>
              </w:rPr>
              <w:t>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b/>
                <w:bCs/>
                <w:kern w:val="0"/>
                <w:szCs w:val="21"/>
              </w:rPr>
            </w:pPr>
            <w:r>
              <w:rPr>
                <w:rFonts w:hint="eastAsia" w:ascii="Times New Roman" w:hAnsi="Times New Roman" w:eastAsia="黑体"/>
                <w:b/>
                <w:bCs/>
                <w:kern w:val="0"/>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rPr>
            </w:pPr>
            <w:r>
              <w:rPr>
                <w:rFonts w:hint="eastAsia" w:ascii="Times New Roman" w:hAnsi="Times New Roman" w:eastAsia="仿宋_GB2312"/>
                <w:b/>
                <w:bCs/>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widowControl/>
              <w:spacing w:line="300" w:lineRule="exact"/>
              <w:rPr>
                <w:rFonts w:ascii="Times New Roman" w:hAnsi="Times New Roman" w:eastAsia="黑体"/>
                <w:b/>
                <w:bCs/>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1701" w:type="dxa"/>
            <w:vMerge w:val="continue"/>
            <w:noWrap w:val="0"/>
            <w:tcMar>
              <w:left w:w="108" w:type="dxa"/>
              <w:right w:w="108" w:type="dxa"/>
            </w:tcMar>
            <w:vAlign w:val="center"/>
          </w:tcPr>
          <w:p>
            <w:pPr>
              <w:widowControl/>
              <w:spacing w:line="300" w:lineRule="exact"/>
              <w:rPr>
                <w:rFonts w:ascii="Times New Roman" w:hAnsi="Times New Roman" w:eastAsia="黑体"/>
                <w:b/>
                <w:bCs/>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b/>
                <w:bCs/>
                <w:kern w:val="0"/>
                <w:szCs w:val="21"/>
              </w:rPr>
            </w:pPr>
            <w:r>
              <w:rPr>
                <w:rFonts w:hint="eastAsia" w:ascii="Times New Roman" w:hAnsi="Times New Roman" w:eastAsia="仿宋_GB2312"/>
                <w:b/>
                <w:bCs/>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Times New Roman" w:hAnsi="Times New Roman" w:eastAsia="黑体"/>
                <w:b/>
                <w:bCs/>
                <w:szCs w:val="21"/>
              </w:rPr>
            </w:pPr>
          </w:p>
        </w:tc>
        <w:tc>
          <w:tcPr>
            <w:tcW w:w="4677" w:type="dxa"/>
            <w:gridSpan w:val="2"/>
            <w:noWrap w:val="0"/>
            <w:tcMar>
              <w:left w:w="108" w:type="dxa"/>
              <w:right w:w="108" w:type="dxa"/>
            </w:tcMar>
            <w:vAlign w:val="center"/>
          </w:tcPr>
          <w:p>
            <w:pPr>
              <w:widowControl/>
              <w:spacing w:line="300" w:lineRule="exact"/>
              <w:rPr>
                <w:rFonts w:ascii="Times New Roman" w:hAnsi="Times New Roman" w:eastAsia="黑体"/>
                <w:b/>
                <w:bCs/>
                <w:kern w:val="0"/>
                <w:szCs w:val="21"/>
              </w:rPr>
            </w:pPr>
            <w:r>
              <w:rPr>
                <w:rFonts w:hint="eastAsia" w:ascii="Times New Roman" w:hAnsi="Times New Roman" w:eastAsia="黑体"/>
                <w:b/>
                <w:bCs/>
                <w:kern w:val="0"/>
                <w:szCs w:val="21"/>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Times New Roman" w:hAnsi="Times New Roman" w:eastAsia="黑体"/>
                <w:b/>
                <w:bCs/>
                <w:kern w:val="0"/>
                <w:szCs w:val="21"/>
              </w:rPr>
            </w:pPr>
            <w:r>
              <w:rPr>
                <w:rFonts w:hint="eastAsia" w:ascii="Times New Roman" w:hAnsi="Times New Roman" w:eastAsia="黑体"/>
                <w:b/>
                <w:bCs/>
                <w:kern w:val="0"/>
                <w:szCs w:val="21"/>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r>
    </w:tbl>
    <w:p>
      <w:pPr>
        <w:spacing w:line="610" w:lineRule="exact"/>
        <w:ind w:right="-105" w:rightChars="-50" w:firstLine="643" w:firstLineChars="200"/>
        <w:rPr>
          <w:rFonts w:ascii="Times New Roman" w:hAnsi="Times New Roman" w:eastAsia="方正黑体简体" w:cs="Times New Roman"/>
          <w:b/>
          <w:bCs w:val="0"/>
          <w:color w:val="000000"/>
          <w:kern w:val="0"/>
          <w:sz w:val="32"/>
          <w:szCs w:val="32"/>
        </w:rPr>
      </w:pPr>
      <w:r>
        <w:rPr>
          <w:rFonts w:ascii="Times New Roman" w:hAnsi="Times New Roman" w:eastAsia="方正黑体简体" w:cs="Times New Roman"/>
          <w:b/>
          <w:bCs w:val="0"/>
          <w:color w:val="000000"/>
          <w:kern w:val="0"/>
          <w:sz w:val="32"/>
          <w:szCs w:val="32"/>
        </w:rPr>
        <w:t>四、政府信息公开行政复议、行政诉讼情况</w:t>
      </w:r>
    </w:p>
    <w:tbl>
      <w:tblPr>
        <w:tblStyle w:val="7"/>
        <w:tblW w:w="8670" w:type="dxa"/>
        <w:tblInd w:w="0" w:type="dxa"/>
        <w:tblLayout w:type="autofit"/>
        <w:tblCellMar>
          <w:top w:w="15" w:type="dxa"/>
          <w:left w:w="15" w:type="dxa"/>
          <w:bottom w:w="15" w:type="dxa"/>
          <w:right w:w="15" w:type="dxa"/>
        </w:tblCellMar>
      </w:tblPr>
      <w:tblGrid>
        <w:gridCol w:w="658"/>
        <w:gridCol w:w="613"/>
        <w:gridCol w:w="614"/>
        <w:gridCol w:w="599"/>
        <w:gridCol w:w="420"/>
        <w:gridCol w:w="614"/>
        <w:gridCol w:w="629"/>
        <w:gridCol w:w="599"/>
        <w:gridCol w:w="584"/>
        <w:gridCol w:w="405"/>
        <w:gridCol w:w="584"/>
        <w:gridCol w:w="584"/>
        <w:gridCol w:w="584"/>
        <w:gridCol w:w="584"/>
        <w:gridCol w:w="584"/>
        <w:gridCol w:w="15"/>
      </w:tblGrid>
      <w:tr>
        <w:tblPrEx>
          <w:tblCellMar>
            <w:top w:w="15" w:type="dxa"/>
            <w:left w:w="15" w:type="dxa"/>
            <w:bottom w:w="15" w:type="dxa"/>
            <w:right w:w="15" w:type="dxa"/>
          </w:tblCellMar>
        </w:tblPrEx>
        <w:trPr>
          <w:trHeight w:val="315" w:hRule="atLeast"/>
        </w:trPr>
        <w:tc>
          <w:tcPr>
            <w:tcW w:w="2904"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行政复议</w:t>
            </w:r>
          </w:p>
        </w:tc>
        <w:tc>
          <w:tcPr>
            <w:tcW w:w="5766" w:type="dxa"/>
            <w:gridSpan w:val="11"/>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行政诉讼</w:t>
            </w:r>
          </w:p>
        </w:tc>
      </w:tr>
      <w:tr>
        <w:tblPrEx>
          <w:tblCellMar>
            <w:top w:w="15" w:type="dxa"/>
            <w:left w:w="15" w:type="dxa"/>
            <w:bottom w:w="15" w:type="dxa"/>
            <w:right w:w="15" w:type="dxa"/>
          </w:tblCellMar>
        </w:tblPrEx>
        <w:trPr>
          <w:trHeight w:val="375" w:hRule="atLeast"/>
        </w:trPr>
        <w:tc>
          <w:tcPr>
            <w:tcW w:w="658"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结果维持</w:t>
            </w:r>
          </w:p>
        </w:tc>
        <w:tc>
          <w:tcPr>
            <w:tcW w:w="613"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结果纠正</w:t>
            </w:r>
          </w:p>
        </w:tc>
        <w:tc>
          <w:tcPr>
            <w:tcW w:w="61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其他结果</w:t>
            </w:r>
          </w:p>
        </w:tc>
        <w:tc>
          <w:tcPr>
            <w:tcW w:w="599"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尚未审结</w:t>
            </w:r>
          </w:p>
        </w:tc>
        <w:tc>
          <w:tcPr>
            <w:tcW w:w="42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总计</w:t>
            </w:r>
          </w:p>
        </w:tc>
        <w:tc>
          <w:tcPr>
            <w:tcW w:w="2831" w:type="dxa"/>
            <w:gridSpan w:val="5"/>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未经复议直接起诉</w:t>
            </w:r>
          </w:p>
        </w:tc>
        <w:tc>
          <w:tcPr>
            <w:tcW w:w="2935" w:type="dxa"/>
            <w:gridSpan w:val="6"/>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复议后起诉</w:t>
            </w:r>
          </w:p>
        </w:tc>
      </w:tr>
      <w:tr>
        <w:tblPrEx>
          <w:tblCellMar>
            <w:top w:w="15" w:type="dxa"/>
            <w:left w:w="15" w:type="dxa"/>
            <w:bottom w:w="15" w:type="dxa"/>
            <w:right w:w="15" w:type="dxa"/>
          </w:tblCellMar>
        </w:tblPrEx>
        <w:trPr>
          <w:trHeight w:val="420" w:hRule="atLeast"/>
        </w:trPr>
        <w:tc>
          <w:tcPr>
            <w:tcW w:w="658"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p>
        </w:tc>
        <w:tc>
          <w:tcPr>
            <w:tcW w:w="613"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p>
        </w:tc>
        <w:tc>
          <w:tcPr>
            <w:tcW w:w="61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p>
        </w:tc>
        <w:tc>
          <w:tcPr>
            <w:tcW w:w="599"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p>
        </w:tc>
        <w:tc>
          <w:tcPr>
            <w:tcW w:w="42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结果维持</w:t>
            </w:r>
          </w:p>
        </w:tc>
        <w:tc>
          <w:tcPr>
            <w:tcW w:w="62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结果纠正</w:t>
            </w:r>
          </w:p>
        </w:tc>
        <w:tc>
          <w:tcPr>
            <w:tcW w:w="59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其他结果</w:t>
            </w:r>
          </w:p>
        </w:tc>
        <w:tc>
          <w:tcPr>
            <w:tcW w:w="5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尚未审结</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总计</w:t>
            </w:r>
          </w:p>
        </w:tc>
        <w:tc>
          <w:tcPr>
            <w:tcW w:w="5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结果维持</w:t>
            </w:r>
          </w:p>
        </w:tc>
        <w:tc>
          <w:tcPr>
            <w:tcW w:w="5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结果纠正</w:t>
            </w:r>
          </w:p>
        </w:tc>
        <w:tc>
          <w:tcPr>
            <w:tcW w:w="5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其他结果</w:t>
            </w:r>
          </w:p>
        </w:tc>
        <w:tc>
          <w:tcPr>
            <w:tcW w:w="5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尚未审结</w:t>
            </w:r>
          </w:p>
        </w:tc>
        <w:tc>
          <w:tcPr>
            <w:tcW w:w="5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总计</w:t>
            </w:r>
          </w:p>
        </w:tc>
        <w:tc>
          <w:tcPr>
            <w:tcW w:w="15" w:type="dxa"/>
            <w:tcBorders>
              <w:top w:val="nil"/>
              <w:left w:val="nil"/>
              <w:bottom w:val="nil"/>
              <w:right w:val="nil"/>
            </w:tcBorders>
            <w:shd w:val="clear" w:color="auto" w:fill="auto"/>
            <w:tcMar>
              <w:top w:w="0" w:type="dxa"/>
              <w:left w:w="0" w:type="dxa"/>
              <w:bottom w:w="0" w:type="dxa"/>
              <w:right w:w="0" w:type="dxa"/>
            </w:tcMar>
            <w:vAlign w:val="center"/>
          </w:tcPr>
          <w:p>
            <w:pPr>
              <w:widowControl/>
              <w:ind w:right="-105" w:rightChars="-50" w:firstLine="422" w:firstLineChars="200"/>
              <w:jc w:val="center"/>
              <w:rPr>
                <w:rFonts w:ascii="Times New Roman" w:hAnsi="Times New Roman" w:cs="Times New Roman"/>
                <w:b/>
                <w:bCs w:val="0"/>
              </w:rPr>
            </w:pPr>
          </w:p>
        </w:tc>
      </w:tr>
      <w:tr>
        <w:tblPrEx>
          <w:tblCellMar>
            <w:top w:w="15" w:type="dxa"/>
            <w:left w:w="15" w:type="dxa"/>
            <w:bottom w:w="15" w:type="dxa"/>
            <w:right w:w="15" w:type="dxa"/>
          </w:tblCellMar>
        </w:tblPrEx>
        <w:trPr>
          <w:trHeight w:val="405" w:hRule="atLeast"/>
        </w:trPr>
        <w:tc>
          <w:tcPr>
            <w:tcW w:w="658"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61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59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4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62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59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5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5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5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5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5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58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340" w:lineRule="exact"/>
              <w:ind w:left="-42" w:leftChars="-20" w:right="-42" w:rightChars="-20"/>
              <w:jc w:val="center"/>
              <w:rPr>
                <w:rFonts w:ascii="Times New Roman" w:hAnsi="Times New Roman" w:eastAsia="方正黑体简体" w:cs="Times New Roman"/>
                <w:b/>
                <w:bCs w:val="0"/>
                <w:kern w:val="0"/>
                <w:szCs w:val="21"/>
                <w:lang w:bidi="ar"/>
              </w:rPr>
            </w:pPr>
            <w:r>
              <w:rPr>
                <w:rFonts w:ascii="Times New Roman" w:hAnsi="Times New Roman" w:eastAsia="方正黑体简体" w:cs="Times New Roman"/>
                <w:b/>
                <w:bCs w:val="0"/>
                <w:kern w:val="0"/>
                <w:szCs w:val="21"/>
                <w:lang w:bidi="ar"/>
              </w:rPr>
              <w:t>0</w:t>
            </w:r>
          </w:p>
        </w:tc>
        <w:tc>
          <w:tcPr>
            <w:tcW w:w="15" w:type="dxa"/>
            <w:tcBorders>
              <w:top w:val="nil"/>
              <w:left w:val="nil"/>
              <w:bottom w:val="nil"/>
              <w:right w:val="nil"/>
            </w:tcBorders>
            <w:shd w:val="clear" w:color="auto" w:fill="auto"/>
            <w:tcMar>
              <w:top w:w="0" w:type="dxa"/>
              <w:left w:w="0" w:type="dxa"/>
              <w:bottom w:w="0" w:type="dxa"/>
              <w:right w:w="0" w:type="dxa"/>
            </w:tcMar>
            <w:vAlign w:val="center"/>
          </w:tcPr>
          <w:p>
            <w:pPr>
              <w:widowControl/>
              <w:ind w:right="-105" w:rightChars="-50" w:firstLine="422" w:firstLineChars="200"/>
              <w:jc w:val="center"/>
              <w:rPr>
                <w:rFonts w:ascii="Times New Roman" w:hAnsi="Times New Roman" w:cs="Times New Roman"/>
                <w:b/>
                <w:bCs w:val="0"/>
              </w:rPr>
            </w:pPr>
          </w:p>
        </w:tc>
      </w:tr>
    </w:tbl>
    <w:p>
      <w:pPr>
        <w:spacing w:line="610" w:lineRule="exact"/>
        <w:ind w:right="-105" w:rightChars="-50" w:firstLine="643" w:firstLineChars="200"/>
        <w:rPr>
          <w:rFonts w:ascii="Times New Roman" w:hAnsi="Times New Roman" w:eastAsia="方正黑体简体" w:cs="Times New Roman"/>
          <w:b/>
          <w:bCs w:val="0"/>
          <w:color w:val="000000"/>
          <w:kern w:val="0"/>
          <w:sz w:val="32"/>
          <w:szCs w:val="32"/>
        </w:rPr>
      </w:pPr>
      <w:r>
        <w:rPr>
          <w:rFonts w:ascii="Times New Roman" w:hAnsi="Times New Roman" w:eastAsia="方正黑体简体" w:cs="Times New Roman"/>
          <w:b/>
          <w:bCs w:val="0"/>
          <w:color w:val="000000"/>
          <w:kern w:val="0"/>
          <w:sz w:val="32"/>
          <w:szCs w:val="32"/>
        </w:rPr>
        <w:t>五、存在的主要问题及改进情况</w:t>
      </w:r>
    </w:p>
    <w:p>
      <w:pPr>
        <w:spacing w:line="610" w:lineRule="exact"/>
        <w:ind w:right="-105" w:rightChars="-50" w:firstLine="643" w:firstLineChars="200"/>
        <w:rPr>
          <w:rFonts w:ascii="Times New Roman" w:hAnsi="Times New Roman" w:eastAsia="方正仿宋简体" w:cs="Times New Roman"/>
          <w:b/>
          <w:bCs w:val="0"/>
          <w:color w:val="000000"/>
          <w:kern w:val="0"/>
          <w:sz w:val="32"/>
          <w:szCs w:val="32"/>
        </w:rPr>
      </w:pPr>
      <w:r>
        <w:rPr>
          <w:rFonts w:ascii="Times New Roman" w:hAnsi="Times New Roman" w:eastAsia="方正仿宋简体" w:cs="Times New Roman"/>
          <w:b/>
          <w:bCs w:val="0"/>
          <w:color w:val="000000"/>
          <w:kern w:val="0"/>
          <w:sz w:val="32"/>
          <w:szCs w:val="32"/>
        </w:rPr>
        <w:t>2023年，从总体上看，我镇在政务公开工作中进行了一些积极的探索，各阶段工作抓得紧，要求严，取得了一定的实效。但与区政府的要求相比还存在一定的差距和不足，主要存在问题有：一是对政务公开的界定还不够明确，并存在公开不及时的情况；二是对所属单位的检查指导较少；三是配套制度还有待于进一步健全。针对存在的问题，下一步，我们将抓好以下几个方面的工作：一是进一步规范和完善政务公开的内容、形式，对涉及人民群众关心的重大问题、重大决策应及时公开，同时有区别地抓好对内与对外公开，提高公开针对性。二是组织业务培训，进一步提升政务公开工作人员的业务能力和工作水平。三是建立依申请公开的审批流程，进一步方便人民群众查阅相关信息。 </w:t>
      </w:r>
    </w:p>
    <w:p>
      <w:pPr>
        <w:spacing w:line="610" w:lineRule="exact"/>
        <w:ind w:right="-105" w:rightChars="-50" w:firstLine="643" w:firstLineChars="200"/>
        <w:rPr>
          <w:rFonts w:ascii="Times New Roman" w:hAnsi="Times New Roman" w:eastAsia="方正黑体简体" w:cs="Times New Roman"/>
          <w:b/>
          <w:bCs w:val="0"/>
          <w:color w:val="000000"/>
          <w:kern w:val="0"/>
          <w:sz w:val="32"/>
          <w:szCs w:val="32"/>
        </w:rPr>
      </w:pPr>
      <w:r>
        <w:rPr>
          <w:rFonts w:ascii="Times New Roman" w:hAnsi="Times New Roman" w:eastAsia="方正黑体简体" w:cs="Times New Roman"/>
          <w:b/>
          <w:bCs w:val="0"/>
          <w:color w:val="000000"/>
          <w:kern w:val="0"/>
          <w:sz w:val="32"/>
          <w:szCs w:val="32"/>
        </w:rPr>
        <w:t>六、其他需要报告的事项</w:t>
      </w:r>
    </w:p>
    <w:p>
      <w:pPr>
        <w:pStyle w:val="6"/>
        <w:widowControl/>
        <w:spacing w:beforeAutospacing="0" w:afterAutospacing="0" w:line="420" w:lineRule="atLeast"/>
        <w:ind w:right="-105" w:rightChars="-50" w:firstLine="643" w:firstLineChars="200"/>
        <w:rPr>
          <w:rFonts w:ascii="Times New Roman" w:hAnsi="Times New Roman" w:eastAsia="方正楷体简体"/>
          <w:b/>
          <w:bCs w:val="0"/>
          <w:color w:val="000000"/>
          <w:sz w:val="32"/>
          <w:szCs w:val="32"/>
        </w:rPr>
      </w:pPr>
      <w:r>
        <w:rPr>
          <w:rFonts w:ascii="Times New Roman" w:hAnsi="Times New Roman" w:eastAsia="方正楷体简体"/>
          <w:b/>
          <w:bCs w:val="0"/>
          <w:color w:val="000000"/>
          <w:sz w:val="32"/>
          <w:szCs w:val="32"/>
        </w:rPr>
        <w:t>（一）依据《政府公开信息处理费管理办法》收取信息处理费的情况。</w:t>
      </w:r>
    </w:p>
    <w:p>
      <w:pPr>
        <w:pStyle w:val="6"/>
        <w:widowControl/>
        <w:spacing w:beforeAutospacing="0" w:afterAutospacing="0" w:line="420" w:lineRule="atLeast"/>
        <w:ind w:right="-105" w:rightChars="-50" w:firstLine="643" w:firstLineChars="200"/>
        <w:rPr>
          <w:rFonts w:ascii="Times New Roman" w:hAnsi="Times New Roman" w:eastAsia="方正仿宋简体" w:cs="Times New Roman"/>
          <w:b/>
          <w:bCs w:val="0"/>
          <w:color w:val="000000"/>
          <w:kern w:val="0"/>
          <w:sz w:val="32"/>
          <w:szCs w:val="32"/>
          <w:lang w:val="en-US" w:eastAsia="zh-CN" w:bidi="ar-SA"/>
        </w:rPr>
      </w:pPr>
      <w:r>
        <w:rPr>
          <w:rFonts w:ascii="Times New Roman" w:hAnsi="Times New Roman" w:eastAsia="方正仿宋简体" w:cs="Times New Roman"/>
          <w:b/>
          <w:bCs w:val="0"/>
          <w:color w:val="000000"/>
          <w:kern w:val="0"/>
          <w:sz w:val="32"/>
          <w:szCs w:val="32"/>
          <w:lang w:val="en-US" w:eastAsia="zh-CN" w:bidi="ar-SA"/>
        </w:rPr>
        <w:t>本年度</w:t>
      </w:r>
      <w:r>
        <w:rPr>
          <w:rFonts w:hint="eastAsia" w:ascii="Times New Roman" w:hAnsi="Times New Roman" w:eastAsia="方正仿宋简体" w:cs="Times New Roman"/>
          <w:b/>
          <w:bCs w:val="0"/>
          <w:color w:val="000000"/>
          <w:kern w:val="0"/>
          <w:sz w:val="32"/>
          <w:szCs w:val="32"/>
          <w:lang w:val="en-US" w:eastAsia="zh-CN" w:bidi="ar-SA"/>
        </w:rPr>
        <w:t>颜店镇</w:t>
      </w:r>
      <w:r>
        <w:rPr>
          <w:rFonts w:ascii="Times New Roman" w:hAnsi="Times New Roman" w:eastAsia="方正仿宋简体" w:cs="Times New Roman"/>
          <w:b/>
          <w:bCs w:val="0"/>
          <w:color w:val="000000"/>
          <w:kern w:val="0"/>
          <w:sz w:val="32"/>
          <w:szCs w:val="32"/>
          <w:lang w:val="en-US" w:eastAsia="zh-CN" w:bidi="ar-SA"/>
        </w:rPr>
        <w:t>无收取信息处理费的情况。</w:t>
      </w:r>
    </w:p>
    <w:p>
      <w:pPr>
        <w:pStyle w:val="6"/>
        <w:widowControl/>
        <w:spacing w:beforeAutospacing="0" w:afterAutospacing="0" w:line="420" w:lineRule="atLeast"/>
        <w:ind w:right="-105" w:rightChars="-50" w:firstLine="643" w:firstLineChars="200"/>
        <w:rPr>
          <w:rFonts w:ascii="Times New Roman" w:hAnsi="Times New Roman" w:eastAsia="方正楷体简体"/>
          <w:b/>
          <w:bCs w:val="0"/>
          <w:color w:val="000000"/>
          <w:sz w:val="32"/>
          <w:szCs w:val="32"/>
        </w:rPr>
      </w:pPr>
      <w:r>
        <w:rPr>
          <w:rFonts w:ascii="Times New Roman" w:hAnsi="Times New Roman" w:eastAsia="方正楷体简体"/>
          <w:b/>
          <w:bCs w:val="0"/>
          <w:color w:val="000000"/>
          <w:sz w:val="32"/>
          <w:szCs w:val="32"/>
        </w:rPr>
        <w:t>（二）落实上级年度政务公开工作要点情况</w:t>
      </w:r>
    </w:p>
    <w:p>
      <w:pPr>
        <w:spacing w:line="610" w:lineRule="exact"/>
        <w:ind w:right="-105" w:rightChars="-50" w:firstLine="643" w:firstLineChars="200"/>
        <w:rPr>
          <w:rFonts w:ascii="Times New Roman" w:hAnsi="Times New Roman" w:eastAsia="方正仿宋简体" w:cs="Times New Roman"/>
          <w:b/>
          <w:bCs w:val="0"/>
          <w:color w:val="000000"/>
          <w:kern w:val="0"/>
          <w:sz w:val="32"/>
          <w:szCs w:val="32"/>
        </w:rPr>
      </w:pPr>
      <w:r>
        <w:rPr>
          <w:rFonts w:ascii="Times New Roman" w:hAnsi="Times New Roman" w:eastAsia="方正仿宋简体" w:cs="Times New Roman"/>
          <w:b/>
          <w:bCs w:val="0"/>
          <w:color w:val="000000"/>
          <w:kern w:val="0"/>
          <w:sz w:val="32"/>
          <w:szCs w:val="32"/>
        </w:rPr>
        <w:t>2023年，我镇全面贯彻党的二十大精神，认真贯彻落实中央和省委、市委、县委关于全面推进政务公开工作决策部署，坚持“以公开促落实、以公开促规范、以公开促服务”的宗旨，以高度的政治责任感和务实严谨的工作作风，不断提高政务公开标准化、规范化水平，使政务公开工作迈上新台阶。</w:t>
      </w:r>
    </w:p>
    <w:p>
      <w:pPr>
        <w:pStyle w:val="6"/>
        <w:widowControl/>
        <w:spacing w:beforeAutospacing="0" w:afterAutospacing="0" w:line="420" w:lineRule="atLeast"/>
        <w:ind w:right="-105" w:rightChars="-50" w:firstLine="643" w:firstLineChars="200"/>
        <w:rPr>
          <w:rFonts w:ascii="Times New Roman" w:hAnsi="Times New Roman" w:eastAsia="方正楷体简体"/>
          <w:b/>
          <w:bCs w:val="0"/>
          <w:color w:val="000000"/>
          <w:sz w:val="32"/>
          <w:szCs w:val="32"/>
        </w:rPr>
      </w:pPr>
      <w:r>
        <w:rPr>
          <w:rFonts w:ascii="Times New Roman" w:hAnsi="Times New Roman" w:eastAsia="方正楷体简体"/>
          <w:b/>
          <w:bCs w:val="0"/>
          <w:color w:val="000000"/>
          <w:sz w:val="32"/>
          <w:szCs w:val="32"/>
        </w:rPr>
        <w:t>（三）承办区级人大代表建议、政协提案情况</w:t>
      </w:r>
    </w:p>
    <w:p>
      <w:pPr>
        <w:pStyle w:val="6"/>
        <w:widowControl/>
        <w:spacing w:beforeAutospacing="0" w:afterAutospacing="0" w:line="420" w:lineRule="atLeast"/>
        <w:ind w:right="-105" w:rightChars="-50" w:firstLine="643" w:firstLineChars="200"/>
        <w:rPr>
          <w:rFonts w:ascii="Times New Roman" w:hAnsi="Times New Roman" w:eastAsia="方正仿宋简体"/>
          <w:b/>
          <w:bCs w:val="0"/>
          <w:sz w:val="32"/>
          <w:szCs w:val="32"/>
        </w:rPr>
      </w:pPr>
      <w:r>
        <w:rPr>
          <w:rFonts w:ascii="Times New Roman" w:hAnsi="Times New Roman" w:eastAsia="方正仿宋简体"/>
          <w:b/>
          <w:bCs w:val="0"/>
          <w:sz w:val="32"/>
          <w:szCs w:val="32"/>
        </w:rPr>
        <w:t>今年以来，颜店镇共承办区级人大代表建议0件、政协提案0件。</w:t>
      </w:r>
    </w:p>
    <w:p>
      <w:pPr>
        <w:pStyle w:val="6"/>
        <w:widowControl/>
        <w:spacing w:beforeAutospacing="0" w:afterAutospacing="0" w:line="420" w:lineRule="atLeast"/>
        <w:ind w:right="-105" w:rightChars="-50" w:firstLine="643" w:firstLineChars="200"/>
        <w:rPr>
          <w:rFonts w:ascii="Times New Roman" w:hAnsi="Times New Roman" w:eastAsia="方正楷体简体"/>
          <w:b/>
          <w:bCs w:val="0"/>
          <w:color w:val="000000"/>
          <w:sz w:val="32"/>
          <w:szCs w:val="32"/>
        </w:rPr>
      </w:pPr>
      <w:r>
        <w:rPr>
          <w:rFonts w:ascii="Times New Roman" w:hAnsi="Times New Roman" w:eastAsia="方正楷体简体"/>
          <w:b/>
          <w:bCs w:val="0"/>
          <w:color w:val="000000"/>
          <w:sz w:val="32"/>
          <w:szCs w:val="32"/>
        </w:rPr>
        <w:t>（四）政务公开工作创新情况</w:t>
      </w:r>
    </w:p>
    <w:p>
      <w:pPr>
        <w:pStyle w:val="6"/>
        <w:widowControl/>
        <w:spacing w:beforeAutospacing="0" w:afterAutospacing="0" w:line="420" w:lineRule="atLeast"/>
        <w:ind w:right="-105" w:rightChars="-50" w:firstLine="643" w:firstLineChars="200"/>
        <w:rPr>
          <w:rFonts w:ascii="Times New Roman" w:hAnsi="Times New Roman" w:eastAsia="方正仿宋简体"/>
          <w:b/>
          <w:bCs w:val="0"/>
          <w:sz w:val="32"/>
          <w:szCs w:val="32"/>
        </w:rPr>
      </w:pPr>
      <w:r>
        <w:rPr>
          <w:rFonts w:ascii="Times New Roman" w:hAnsi="Times New Roman" w:eastAsia="方正仿宋简体"/>
          <w:b/>
          <w:bCs w:val="0"/>
          <w:color w:val="000000"/>
          <w:sz w:val="32"/>
          <w:szCs w:val="32"/>
        </w:rPr>
        <w:t>今年以来，我镇将政务公开与“12345”政务服务便民热线有机结合，以“12345”热线问题为导向，定期梳理企业群众关心关注的热点、难点问题，整理归纳形成共性问题台账。镇主要领导定期主持召开政务公开工作推进调度会议，对群众反映和日常咨询度高的问题，在调度的同时及时纳入公开清单目录，切实保障群众知情权、参与权、监督权，践行好政务公开为民宗旨。</w:t>
      </w:r>
    </w:p>
    <w:p>
      <w:pPr>
        <w:pStyle w:val="6"/>
        <w:widowControl/>
        <w:numPr>
          <w:ilvl w:val="0"/>
          <w:numId w:val="2"/>
        </w:numPr>
        <w:spacing w:beforeAutospacing="0" w:afterAutospacing="0" w:line="420" w:lineRule="atLeast"/>
        <w:ind w:right="-105" w:rightChars="-50" w:firstLine="643" w:firstLineChars="200"/>
        <w:rPr>
          <w:rFonts w:ascii="Times New Roman" w:hAnsi="Times New Roman" w:eastAsia="方正楷体简体"/>
          <w:b/>
          <w:bCs w:val="0"/>
          <w:color w:val="000000"/>
          <w:sz w:val="32"/>
          <w:szCs w:val="32"/>
        </w:rPr>
      </w:pPr>
      <w:r>
        <w:rPr>
          <w:rFonts w:ascii="Times New Roman" w:hAnsi="Times New Roman" w:eastAsia="方正楷体简体"/>
          <w:b/>
          <w:bCs w:val="0"/>
          <w:color w:val="000000"/>
          <w:sz w:val="32"/>
          <w:szCs w:val="32"/>
        </w:rPr>
        <w:t>政府信息公开工作年度报告数据统计需要说明的事项。</w:t>
      </w:r>
    </w:p>
    <w:p>
      <w:pPr>
        <w:pStyle w:val="6"/>
        <w:widowControl/>
        <w:spacing w:beforeAutospacing="0" w:afterAutospacing="0" w:line="420" w:lineRule="atLeast"/>
        <w:ind w:right="-105" w:rightChars="-50" w:firstLine="643" w:firstLineChars="200"/>
        <w:rPr>
          <w:rFonts w:hint="eastAsia" w:ascii="Times New Roman" w:hAnsi="Times New Roman" w:eastAsia="方正仿宋简体"/>
          <w:b/>
          <w:bCs w:val="0"/>
          <w:color w:val="000000"/>
          <w:sz w:val="32"/>
          <w:szCs w:val="32"/>
          <w:lang w:val="en-US" w:eastAsia="zh-CN"/>
        </w:rPr>
      </w:pPr>
      <w:r>
        <w:rPr>
          <w:rFonts w:hint="eastAsia" w:ascii="Times New Roman" w:hAnsi="Times New Roman" w:eastAsia="方正仿宋简体"/>
          <w:b/>
          <w:bCs w:val="0"/>
          <w:color w:val="000000"/>
          <w:sz w:val="32"/>
          <w:szCs w:val="32"/>
          <w:lang w:val="en-US" w:eastAsia="zh-CN"/>
        </w:rPr>
        <w:t>无</w:t>
      </w:r>
    </w:p>
    <w:p>
      <w:pPr>
        <w:pStyle w:val="6"/>
        <w:widowControl/>
        <w:numPr>
          <w:ilvl w:val="0"/>
          <w:numId w:val="2"/>
        </w:numPr>
        <w:spacing w:beforeAutospacing="0" w:afterAutospacing="0" w:line="420" w:lineRule="atLeast"/>
        <w:ind w:left="0" w:leftChars="0" w:right="-105" w:rightChars="-50" w:firstLine="643" w:firstLineChars="200"/>
        <w:rPr>
          <w:rFonts w:ascii="Times New Roman" w:hAnsi="Times New Roman" w:eastAsia="方正楷体简体"/>
          <w:b/>
          <w:bCs w:val="0"/>
          <w:color w:val="000000"/>
          <w:sz w:val="32"/>
          <w:szCs w:val="32"/>
        </w:rPr>
      </w:pPr>
      <w:r>
        <w:rPr>
          <w:rFonts w:ascii="Times New Roman" w:hAnsi="Times New Roman" w:eastAsia="方正楷体简体"/>
          <w:b/>
          <w:bCs w:val="0"/>
          <w:color w:val="000000"/>
          <w:sz w:val="32"/>
          <w:szCs w:val="32"/>
        </w:rPr>
        <w:t>其他需要报告的事项。</w:t>
      </w:r>
    </w:p>
    <w:p>
      <w:pPr>
        <w:pStyle w:val="6"/>
        <w:widowControl/>
        <w:numPr>
          <w:numId w:val="0"/>
        </w:numPr>
        <w:spacing w:beforeAutospacing="0" w:afterAutospacing="0" w:line="420" w:lineRule="atLeast"/>
        <w:ind w:leftChars="200" w:right="-105" w:rightChars="-50"/>
        <w:rPr>
          <w:rFonts w:hint="default" w:ascii="Times New Roman" w:hAnsi="Times New Roman" w:eastAsia="方正仿宋简体"/>
          <w:b/>
          <w:bCs w:val="0"/>
          <w:color w:val="000000"/>
          <w:sz w:val="32"/>
          <w:szCs w:val="32"/>
          <w:lang w:val="en-US" w:eastAsia="zh-CN"/>
        </w:rPr>
      </w:pPr>
      <w:r>
        <w:rPr>
          <w:rFonts w:hint="eastAsia" w:ascii="Times New Roman" w:hAnsi="Times New Roman" w:eastAsia="方正楷体简体"/>
          <w:b/>
          <w:bCs w:val="0"/>
          <w:color w:val="000000"/>
          <w:sz w:val="32"/>
          <w:szCs w:val="32"/>
          <w:lang w:val="en-US" w:eastAsia="zh-CN"/>
        </w:rPr>
        <w:t xml:space="preserve"> </w:t>
      </w:r>
      <w:r>
        <w:rPr>
          <w:rFonts w:hint="eastAsia" w:ascii="Times New Roman" w:hAnsi="Times New Roman" w:eastAsia="方正仿宋简体"/>
          <w:b/>
          <w:bCs w:val="0"/>
          <w:color w:val="000000"/>
          <w:sz w:val="32"/>
          <w:szCs w:val="32"/>
          <w:lang w:val="en-US" w:eastAsia="zh-CN"/>
        </w:rPr>
        <w:t xml:space="preserve"> 无</w:t>
      </w:r>
    </w:p>
    <w:p>
      <w:pPr>
        <w:pStyle w:val="6"/>
        <w:widowControl/>
        <w:numPr>
          <w:ilvl w:val="0"/>
          <w:numId w:val="2"/>
        </w:numPr>
        <w:spacing w:beforeAutospacing="0" w:afterAutospacing="0" w:line="420" w:lineRule="atLeast"/>
        <w:ind w:left="0" w:leftChars="0" w:right="-105" w:rightChars="-50" w:firstLine="643" w:firstLineChars="200"/>
        <w:rPr>
          <w:rFonts w:ascii="Times New Roman" w:hAnsi="Times New Roman" w:eastAsia="方正楷体简体"/>
          <w:b/>
          <w:bCs w:val="0"/>
          <w:color w:val="000000"/>
          <w:sz w:val="32"/>
          <w:szCs w:val="32"/>
        </w:rPr>
      </w:pPr>
      <w:r>
        <w:rPr>
          <w:rFonts w:ascii="Times New Roman" w:hAnsi="Times New Roman" w:eastAsia="方正楷体简体"/>
          <w:b/>
          <w:bCs w:val="0"/>
          <w:color w:val="000000"/>
          <w:sz w:val="32"/>
          <w:szCs w:val="32"/>
        </w:rPr>
        <w:t>其他有关文件专门要求通过政府信息公开工作年度报告予以报告的事项。</w:t>
      </w:r>
    </w:p>
    <w:p>
      <w:pPr>
        <w:pStyle w:val="6"/>
        <w:widowControl/>
        <w:spacing w:beforeAutospacing="0" w:afterAutospacing="0" w:line="420" w:lineRule="atLeast"/>
        <w:ind w:right="-105" w:rightChars="-50" w:firstLine="643" w:firstLineChars="200"/>
        <w:rPr>
          <w:rFonts w:hint="eastAsia" w:ascii="Times New Roman" w:hAnsi="Times New Roman" w:eastAsia="方正仿宋简体"/>
          <w:b/>
          <w:bCs w:val="0"/>
          <w:color w:val="000000"/>
          <w:sz w:val="32"/>
          <w:szCs w:val="32"/>
          <w:lang w:val="en-US" w:eastAsia="zh-CN"/>
        </w:rPr>
      </w:pPr>
      <w:r>
        <w:rPr>
          <w:rFonts w:hint="eastAsia" w:ascii="Times New Roman" w:hAnsi="Times New Roman" w:eastAsia="方正仿宋简体"/>
          <w:b/>
          <w:bCs w:val="0"/>
          <w:color w:val="000000"/>
          <w:sz w:val="32"/>
          <w:szCs w:val="32"/>
          <w:lang w:val="en-US" w:eastAsia="zh-CN"/>
        </w:rPr>
        <w:t>无</w:t>
      </w:r>
    </w:p>
    <w:p>
      <w:pPr>
        <w:pStyle w:val="6"/>
        <w:widowControl/>
        <w:spacing w:beforeAutospacing="0" w:afterAutospacing="0" w:line="420" w:lineRule="atLeast"/>
        <w:ind w:right="-105" w:rightChars="-50" w:firstLine="675" w:firstLineChars="200"/>
        <w:rPr>
          <w:rFonts w:ascii="Times New Roman" w:hAnsi="Times New Roman" w:eastAsia="方正仿宋简体"/>
          <w:b/>
          <w:bCs w:val="0"/>
          <w:spacing w:val="8"/>
          <w:kern w:val="2"/>
          <w:sz w:val="32"/>
          <w:szCs w:val="32"/>
          <w:shd w:val="clear" w:color="auto" w:fill="FFFFFF"/>
        </w:rPr>
      </w:pPr>
    </w:p>
    <w:sectPr>
      <w:pgSz w:w="11906" w:h="16838"/>
      <w:pgMar w:top="1984" w:right="1587" w:bottom="1559"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script"/>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767DD"/>
    <w:multiLevelType w:val="singleLevel"/>
    <w:tmpl w:val="8AD767DD"/>
    <w:lvl w:ilvl="0" w:tentative="0">
      <w:start w:val="5"/>
      <w:numFmt w:val="chineseCounting"/>
      <w:suff w:val="nothing"/>
      <w:lvlText w:val="（%1）"/>
      <w:lvlJc w:val="left"/>
      <w:rPr>
        <w:rFonts w:hint="eastAsia"/>
      </w:rPr>
    </w:lvl>
  </w:abstractNum>
  <w:abstractNum w:abstractNumId="1">
    <w:nsid w:val="4EA843B7"/>
    <w:multiLevelType w:val="singleLevel"/>
    <w:tmpl w:val="4EA843B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hNzlkMjliMTYxNTk2OWIzNTllODgyMjQzMmIzMzgifQ=="/>
  </w:docVars>
  <w:rsids>
    <w:rsidRoot w:val="00C021E8"/>
    <w:rsid w:val="003372C2"/>
    <w:rsid w:val="00C021E8"/>
    <w:rsid w:val="00E0678F"/>
    <w:rsid w:val="029B6176"/>
    <w:rsid w:val="03A2514E"/>
    <w:rsid w:val="086504F8"/>
    <w:rsid w:val="08BF40AC"/>
    <w:rsid w:val="0EAF2944"/>
    <w:rsid w:val="0F194CB3"/>
    <w:rsid w:val="0F4946D0"/>
    <w:rsid w:val="12614426"/>
    <w:rsid w:val="15EF62F8"/>
    <w:rsid w:val="198C4157"/>
    <w:rsid w:val="214D44F3"/>
    <w:rsid w:val="21B26995"/>
    <w:rsid w:val="2DBC018C"/>
    <w:rsid w:val="347B0F20"/>
    <w:rsid w:val="38BF587F"/>
    <w:rsid w:val="425A2175"/>
    <w:rsid w:val="43C2266A"/>
    <w:rsid w:val="49C34AA3"/>
    <w:rsid w:val="53D77AC9"/>
    <w:rsid w:val="552E259D"/>
    <w:rsid w:val="58E56B4C"/>
    <w:rsid w:val="598168C3"/>
    <w:rsid w:val="5FC943B4"/>
    <w:rsid w:val="6C225795"/>
    <w:rsid w:val="6E8D7D3A"/>
    <w:rsid w:val="741E09A4"/>
    <w:rsid w:val="7DD03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firstLineChars="200"/>
    </w:pPr>
  </w:style>
  <w:style w:type="paragraph" w:styleId="3">
    <w:name w:val="footer"/>
    <w:basedOn w:val="1"/>
    <w:link w:val="11"/>
    <w:autoRedefine/>
    <w:qFormat/>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style>
  <w:style w:type="paragraph" w:styleId="6">
    <w:name w:val="Normal (Web)"/>
    <w:basedOn w:val="1"/>
    <w:autoRedefine/>
    <w:qFormat/>
    <w:uiPriority w:val="0"/>
    <w:pPr>
      <w:spacing w:beforeAutospacing="1" w:afterAutospacing="1"/>
      <w:jc w:val="left"/>
    </w:pPr>
    <w:rPr>
      <w:rFonts w:cs="Times New Roman"/>
      <w:kern w:val="0"/>
      <w:sz w:val="24"/>
    </w:rPr>
  </w:style>
  <w:style w:type="character" w:styleId="9">
    <w:name w:val="Strong"/>
    <w:basedOn w:val="8"/>
    <w:autoRedefine/>
    <w:qFormat/>
    <w:uiPriority w:val="22"/>
    <w:rPr>
      <w:b/>
      <w:bCs/>
    </w:rPr>
  </w:style>
  <w:style w:type="character" w:customStyle="1" w:styleId="10">
    <w:name w:val="页眉 Char"/>
    <w:basedOn w:val="8"/>
    <w:link w:val="4"/>
    <w:autoRedefine/>
    <w:qFormat/>
    <w:uiPriority w:val="0"/>
    <w:rPr>
      <w:rFonts w:asciiTheme="minorHAnsi" w:hAnsiTheme="minorHAnsi" w:eastAsiaTheme="minorEastAsia" w:cstheme="minorBidi"/>
      <w:kern w:val="2"/>
      <w:sz w:val="18"/>
      <w:szCs w:val="18"/>
    </w:rPr>
  </w:style>
  <w:style w:type="character" w:customStyle="1" w:styleId="11">
    <w:name w:val="页脚 Char"/>
    <w:basedOn w:val="8"/>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mn-lt"/>
                <a:ea typeface="+mn-ea"/>
                <a:cs typeface="+mn-cs"/>
              </a:defRPr>
            </a:pPr>
            <a:r>
              <a:t>主动公开情况</a:t>
            </a:r>
          </a:p>
        </c:rich>
      </c:tx>
      <c:layout/>
      <c:overlay val="0"/>
      <c:spPr>
        <a:noFill/>
        <a:ln>
          <a:noFill/>
        </a:ln>
        <a:effectLst/>
      </c:spPr>
    </c:title>
    <c:autoTitleDeleted val="0"/>
    <c:plotArea>
      <c:layout/>
      <c:pieChart>
        <c:varyColors val="1"/>
        <c:ser>
          <c:idx val="0"/>
          <c:order val="0"/>
          <c:tx>
            <c:strRef>
              <c:f>Sheet1!$B$1</c:f>
              <c:strCache>
                <c:ptCount val="1"/>
                <c:pt idx="0">
                  <c:v>主动公开情况</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forceAA="0"/>
              <a:lstStyle/>
              <a:p>
                <a:pPr>
                  <a:defRPr lang="zh-CN" sz="1000" b="1" i="0" u="none" strike="noStrike" kern="1200" baseline="0">
                    <a:solidFill>
                      <a:schemeClr val="bg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Sheet1!$A$2:$A$8</c:f>
              <c:strCache>
                <c:ptCount val="7"/>
                <c:pt idx="0">
                  <c:v>非政策性文件</c:v>
                </c:pt>
                <c:pt idx="1">
                  <c:v>应急管理类信息</c:v>
                </c:pt>
                <c:pt idx="2">
                  <c:v>招考录用信息</c:v>
                </c:pt>
                <c:pt idx="3">
                  <c:v>公共服务信息</c:v>
                </c:pt>
                <c:pt idx="4">
                  <c:v>组织管理类信息</c:v>
                </c:pt>
                <c:pt idx="5">
                  <c:v>公告公示</c:v>
                </c:pt>
                <c:pt idx="6">
                  <c:v>主动公开基本项目</c:v>
                </c:pt>
              </c:strCache>
            </c:strRef>
          </c:cat>
          <c:val>
            <c:numRef>
              <c:f>Sheet1!$B$2:$B$8</c:f>
              <c:numCache>
                <c:formatCode>General</c:formatCode>
                <c:ptCount val="7"/>
                <c:pt idx="0">
                  <c:v>12</c:v>
                </c:pt>
                <c:pt idx="1">
                  <c:v>4</c:v>
                </c:pt>
                <c:pt idx="2">
                  <c:v>1</c:v>
                </c:pt>
                <c:pt idx="3">
                  <c:v>1</c:v>
                </c:pt>
                <c:pt idx="4">
                  <c:v>5</c:v>
                </c:pt>
                <c:pt idx="5">
                  <c:v>2</c:v>
                </c:pt>
                <c:pt idx="6">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1】">
    <a:dk1>
      <a:srgbClr val="000000"/>
    </a:dk1>
    <a:lt1>
      <a:srgbClr val="FFFFFF"/>
    </a:lt1>
    <a:dk2>
      <a:srgbClr val="0C0E1F"/>
    </a:dk2>
    <a:lt2>
      <a:srgbClr val="FEFFFF"/>
    </a:lt2>
    <a:accent1>
      <a:srgbClr val="4F81FF"/>
    </a:accent1>
    <a:accent2>
      <a:srgbClr val="16CC8A"/>
    </a:accent2>
    <a:accent3>
      <a:srgbClr val="FFC619"/>
    </a:accent3>
    <a:accent4>
      <a:srgbClr val="FF8041"/>
    </a:accent4>
    <a:accent5>
      <a:srgbClr val="F95F5F"/>
    </a:accent5>
    <a:accent6>
      <a:srgbClr val="A15CFF"/>
    </a:accent6>
    <a:hlink>
      <a:srgbClr val="304FFE"/>
    </a:hlink>
    <a:folHlink>
      <a:srgbClr val="492067"/>
    </a:folHlink>
  </a:clrScheme>
  <a:fontScheme name="自定义 2">
    <a:majorFont>
      <a:latin typeface="微软雅黑"/>
      <a:ea typeface="微软雅黑"/>
      <a:cs typeface=""/>
    </a:majorFont>
    <a:minorFont>
      <a:latin typeface="微软雅黑"/>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Pages>7</Pages>
  <Words>2962</Words>
  <Characters>3051</Characters>
  <Lines>23</Lines>
  <Paragraphs>6</Paragraphs>
  <TotalTime>1</TotalTime>
  <ScaleCrop>false</ScaleCrop>
  <LinksUpToDate>false</LinksUpToDate>
  <CharactersWithSpaces>3055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2024-01-22T06:52:00Z</dcterms:created>
  <dc:creator>Administrator</dc:creator>
  <cp:lastModifiedBy>憬</cp:lastModifiedBy>
  <dcterms:modified xsi:type="dcterms:W3CDTF">2024-01-25T09:10:11Z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CBD3FD93E0C64FA69195B75CBF7E9843_13</vt:lpwstr>
  </property>
</Properties>
</file>