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ascii="Times New Roman" w:hAnsi="Times New Roman" w:eastAsia="方正小标宋简体" w:cs="Times New Roman"/>
          <w:b/>
          <w:bCs w:val="0"/>
          <w:color w:val="000000"/>
          <w:kern w:val="0"/>
          <w:sz w:val="44"/>
          <w:szCs w:val="44"/>
        </w:rPr>
      </w:pPr>
      <w:r>
        <w:rPr>
          <w:rFonts w:ascii="Times New Roman" w:hAnsi="Times New Roman" w:eastAsia="方正小标宋简体" w:cs="Times New Roman"/>
          <w:b/>
          <w:bCs w:val="0"/>
          <w:color w:val="000000"/>
          <w:kern w:val="0"/>
          <w:sz w:val="44"/>
          <w:szCs w:val="44"/>
        </w:rPr>
        <w:t>济宁市兖州区颜店镇人民政府2023年政府</w:t>
      </w:r>
    </w:p>
    <w:p>
      <w:pPr>
        <w:spacing w:line="590" w:lineRule="exact"/>
        <w:ind w:right="-105" w:rightChars="-50"/>
        <w:jc w:val="center"/>
        <w:rPr>
          <w:rFonts w:ascii="Times New Roman" w:hAnsi="Times New Roman" w:eastAsia="方正小标宋简体" w:cs="Times New Roman"/>
          <w:b/>
          <w:bCs w:val="0"/>
          <w:color w:val="000000"/>
          <w:kern w:val="0"/>
          <w:sz w:val="44"/>
          <w:szCs w:val="44"/>
        </w:rPr>
      </w:pPr>
      <w:r>
        <w:rPr>
          <w:rFonts w:ascii="Times New Roman" w:hAnsi="Times New Roman" w:eastAsia="方正小标宋简体" w:cs="Times New Roman"/>
          <w:b/>
          <w:bCs w:val="0"/>
          <w:color w:val="000000"/>
          <w:kern w:val="0"/>
          <w:sz w:val="44"/>
          <w:szCs w:val="44"/>
        </w:rPr>
        <w:t>信息公开工作年度报告</w:t>
      </w:r>
    </w:p>
    <w:p>
      <w:pPr>
        <w:spacing w:line="590" w:lineRule="exact"/>
        <w:ind w:right="-105" w:rightChars="-50"/>
        <w:jc w:val="center"/>
        <w:rPr>
          <w:rFonts w:ascii="Times New Roman" w:hAnsi="Times New Roman" w:eastAsia="方正小标宋简体" w:cs="Times New Roman"/>
          <w:b/>
          <w:bCs w:val="0"/>
          <w:color w:val="000000"/>
          <w:kern w:val="0"/>
          <w:sz w:val="44"/>
          <w:szCs w:val="44"/>
        </w:rPr>
      </w:pP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本报告由济宁市兖州区颜店镇人民政府按照《中华人民共和国政府信息公开条例》（以下简称《条例》）和《中华人民共和国政府信息公开工作年度报告格式》（国办公开办函〔2021〕30号）要求编制。</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本报告所列数据的统计期限自2023年1月1日起至2023年12月31日止。本报告电子版可在“中国·兖州”政府门户网站（</w:t>
      </w:r>
      <w:r>
        <w:rPr>
          <w:rFonts w:hint="eastAsia" w:ascii="Times New Roman" w:hAnsi="Times New Roman" w:eastAsia="方正仿宋简体" w:cs="Times New Roman"/>
          <w:b/>
          <w:bCs w:val="0"/>
          <w:color w:val="000000"/>
          <w:kern w:val="0"/>
          <w:sz w:val="32"/>
          <w:szCs w:val="32"/>
          <w:lang w:val="en-US" w:eastAsia="zh-CN"/>
        </w:rPr>
        <w:t>www.yanzhou.gov.cn</w:t>
      </w:r>
      <w:r>
        <w:rPr>
          <w:rFonts w:ascii="Times New Roman" w:hAnsi="Times New Roman" w:eastAsia="方正仿宋简体" w:cs="Times New Roman"/>
          <w:b/>
          <w:bCs w:val="0"/>
          <w:color w:val="000000"/>
          <w:kern w:val="0"/>
          <w:sz w:val="32"/>
          <w:szCs w:val="32"/>
        </w:rPr>
        <w:t>）查阅或下载。如对本报告有疑问，请与颜店镇党政办联系（地址：兖州区颜店镇府前路9号，联系电话：0537</w:t>
      </w:r>
      <w:r>
        <w:rPr>
          <w:rFonts w:hint="eastAsia" w:ascii="Times New Roman" w:hAnsi="Times New Roman" w:eastAsia="方正仿宋简体" w:cs="Times New Roman"/>
          <w:b/>
          <w:bCs w:val="0"/>
          <w:color w:val="000000"/>
          <w:kern w:val="0"/>
          <w:sz w:val="32"/>
          <w:szCs w:val="32"/>
          <w:lang w:eastAsia="zh-CN"/>
        </w:rPr>
        <w:t>—</w:t>
      </w:r>
      <w:r>
        <w:rPr>
          <w:rFonts w:ascii="Times New Roman" w:hAnsi="Times New Roman" w:eastAsia="方正仿宋简体" w:cs="Times New Roman"/>
          <w:b/>
          <w:bCs w:val="0"/>
          <w:color w:val="000000"/>
          <w:kern w:val="0"/>
          <w:sz w:val="32"/>
          <w:szCs w:val="32"/>
        </w:rPr>
        <w:t>3792211）。</w:t>
      </w:r>
    </w:p>
    <w:p>
      <w:pPr>
        <w:spacing w:line="610" w:lineRule="exact"/>
        <w:ind w:right="-105" w:rightChars="-50" w:firstLine="643" w:firstLineChars="200"/>
        <w:rPr>
          <w:rFonts w:ascii="Times New Roman" w:hAnsi="Times New Roman" w:eastAsia="方正黑体简体" w:cs="Times New Roman"/>
          <w:b/>
          <w:bCs w:val="0"/>
          <w:color w:val="000000"/>
          <w:kern w:val="0"/>
          <w:sz w:val="32"/>
          <w:szCs w:val="32"/>
        </w:rPr>
      </w:pPr>
      <w:r>
        <w:rPr>
          <w:rFonts w:ascii="Times New Roman" w:hAnsi="Times New Roman" w:eastAsia="方正黑体简体" w:cs="Times New Roman"/>
          <w:b/>
          <w:bCs w:val="0"/>
          <w:color w:val="000000"/>
          <w:kern w:val="0"/>
          <w:sz w:val="32"/>
          <w:szCs w:val="32"/>
        </w:rPr>
        <w:t>一、总体情况</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2023年，在兖州区委、区政府的正确领导下，颜店镇政府高度重视政务公开工作，牢固树立以人民为中心的公开理念，认真贯彻落实政府信息公开条例和上级决策部署，强化工作部署，创新公开方式，全年各项工作任务扎实开展、稳步推进。</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（一）</w:t>
      </w:r>
      <w:r>
        <w:rPr>
          <w:rFonts w:ascii="Times New Roman" w:hAnsi="Times New Roman" w:eastAsia="方正楷体简体"/>
          <w:b/>
          <w:bCs w:val="0"/>
          <w:color w:val="000000"/>
          <w:sz w:val="32"/>
          <w:szCs w:val="32"/>
        </w:rPr>
        <w:t>做好主动公开信息情况</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2023年度，我镇在兖州区人民政府门户网站发布主动公开非政策性文件12条；应急管理类信息4条；招考录用信息1条；公共服务信息1条；组织管理类信息5条；公告公示2条；主动公开基本项目1条；基层政务公开标准化规范化工作2条。</w:t>
      </w:r>
    </w:p>
    <w:p>
      <w:pPr>
        <w:pStyle w:val="6"/>
        <w:widowControl/>
        <w:spacing w:beforeAutospacing="0" w:afterAutospacing="0" w:line="420" w:lineRule="atLeast"/>
        <w:ind w:right="-105" w:rightChars="-50" w:firstLine="675" w:firstLineChars="200"/>
        <w:rPr>
          <w:rFonts w:ascii="Times New Roman" w:hAnsi="Times New Roman" w:eastAsia="方正仿宋简体"/>
          <w:b/>
          <w:bCs w:val="0"/>
          <w:spacing w:val="8"/>
          <w:kern w:val="2"/>
          <w:sz w:val="32"/>
          <w:szCs w:val="32"/>
          <w:shd w:val="clear" w:color="auto" w:fill="FFFFFF"/>
        </w:rPr>
      </w:pPr>
      <w:r>
        <w:rPr>
          <w:rFonts w:ascii="Times New Roman" w:hAnsi="Times New Roman" w:eastAsia="方正仿宋简体"/>
          <w:b/>
          <w:bCs w:val="0"/>
          <w:spacing w:val="8"/>
          <w:kern w:val="2"/>
          <w:sz w:val="32"/>
          <w:szCs w:val="32"/>
          <w:shd w:val="clear" w:color="auto" w:fill="FFFFFF"/>
        </w:rPr>
        <w:drawing>
          <wp:inline distT="0" distB="0" distL="114300" distR="114300">
            <wp:extent cx="5256530" cy="2988310"/>
            <wp:effectExtent l="5080" t="4445" r="15240" b="55245"/>
            <wp:docPr id="3" name="图表 3" descr="7b0a202020202263686172745265734964223a20223230343736313232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（二）</w:t>
      </w:r>
      <w:r>
        <w:rPr>
          <w:rFonts w:ascii="Times New Roman" w:hAnsi="Times New Roman" w:eastAsia="方正楷体简体"/>
          <w:b/>
          <w:bCs w:val="0"/>
          <w:color w:val="000000"/>
          <w:sz w:val="32"/>
          <w:szCs w:val="32"/>
        </w:rPr>
        <w:t>依法办理信息公开</w:t>
      </w:r>
    </w:p>
    <w:p>
      <w:pPr>
        <w:pStyle w:val="6"/>
        <w:widowControl/>
        <w:spacing w:beforeAutospacing="0" w:afterAutospacing="0" w:line="420" w:lineRule="atLeast"/>
        <w:ind w:right="-105" w:rightChars="-50" w:firstLine="643" w:firstLineChars="200"/>
        <w:rPr>
          <w:rFonts w:ascii="Times New Roman" w:hAnsi="Times New Roman" w:eastAsia="方正仿宋简体"/>
          <w:b/>
          <w:bCs w:val="0"/>
          <w:color w:val="000000"/>
          <w:sz w:val="32"/>
          <w:szCs w:val="32"/>
        </w:rPr>
      </w:pPr>
      <w:r>
        <w:rPr>
          <w:rFonts w:ascii="Times New Roman" w:hAnsi="Times New Roman" w:eastAsia="方正仿宋简体"/>
          <w:b/>
          <w:bCs w:val="0"/>
          <w:color w:val="000000"/>
          <w:sz w:val="32"/>
          <w:szCs w:val="32"/>
        </w:rPr>
        <w:t>2023年度，</w:t>
      </w:r>
      <w:r>
        <w:rPr>
          <w:rFonts w:hint="eastAsia" w:ascii="Times New Roman" w:hAnsi="Times New Roman" w:eastAsia="方正仿宋简体"/>
          <w:b/>
          <w:bCs w:val="0"/>
          <w:color w:val="000000"/>
          <w:sz w:val="32"/>
          <w:szCs w:val="32"/>
        </w:rPr>
        <w:t>申请人通过信函、网络、当面提交等方式向我</w:t>
      </w:r>
      <w:r>
        <w:rPr>
          <w:rFonts w:hint="eastAsia" w:ascii="Times New Roman" w:hAnsi="Times New Roman" w:eastAsia="方正仿宋简体"/>
          <w:b/>
          <w:bCs w:val="0"/>
          <w:color w:val="000000"/>
          <w:sz w:val="32"/>
          <w:szCs w:val="32"/>
          <w:lang w:val="en-US" w:eastAsia="zh-CN"/>
        </w:rPr>
        <w:t>镇</w:t>
      </w:r>
      <w:r>
        <w:rPr>
          <w:rFonts w:hint="eastAsia" w:ascii="Times New Roman" w:hAnsi="Times New Roman" w:eastAsia="方正仿宋简体"/>
          <w:b/>
          <w:bCs w:val="0"/>
          <w:color w:val="000000"/>
          <w:sz w:val="32"/>
          <w:szCs w:val="32"/>
        </w:rPr>
        <w:t>申请政府信息公开共</w:t>
      </w:r>
      <w:r>
        <w:rPr>
          <w:rFonts w:hint="eastAsia" w:ascii="Times New Roman" w:hAnsi="Times New Roman" w:eastAsia="方正仿宋简体"/>
          <w:b/>
          <w:bCs w:val="0"/>
          <w:color w:val="000000"/>
          <w:sz w:val="32"/>
          <w:szCs w:val="32"/>
          <w:lang w:val="en-US" w:eastAsia="zh-CN"/>
        </w:rPr>
        <w:t>1</w:t>
      </w:r>
      <w:r>
        <w:rPr>
          <w:rFonts w:hint="eastAsia" w:ascii="Times New Roman" w:hAnsi="Times New Roman" w:eastAsia="方正仿宋简体"/>
          <w:b/>
          <w:bCs w:val="0"/>
          <w:color w:val="000000"/>
          <w:sz w:val="32"/>
          <w:szCs w:val="32"/>
        </w:rPr>
        <w:t>件，申请内容主要</w:t>
      </w:r>
      <w:r>
        <w:rPr>
          <w:rFonts w:hint="eastAsia" w:ascii="Times New Roman" w:hAnsi="Times New Roman" w:eastAsia="方正仿宋简体"/>
          <w:b/>
          <w:bCs w:val="0"/>
          <w:color w:val="000000"/>
          <w:sz w:val="32"/>
          <w:szCs w:val="32"/>
          <w:lang w:val="en-US" w:eastAsia="zh-CN"/>
        </w:rPr>
        <w:t>房屋拆迁搬迁</w:t>
      </w:r>
      <w:r>
        <w:rPr>
          <w:rFonts w:hint="eastAsia" w:ascii="Times New Roman" w:hAnsi="Times New Roman" w:eastAsia="方正仿宋简体"/>
          <w:b/>
          <w:bCs w:val="0"/>
          <w:color w:val="000000"/>
          <w:sz w:val="32"/>
          <w:szCs w:val="32"/>
        </w:rPr>
        <w:t>方面，我</w:t>
      </w:r>
      <w:r>
        <w:rPr>
          <w:rFonts w:hint="eastAsia" w:ascii="Times New Roman" w:hAnsi="Times New Roman" w:eastAsia="方正仿宋简体"/>
          <w:b/>
          <w:bCs w:val="0"/>
          <w:color w:val="000000"/>
          <w:sz w:val="32"/>
          <w:szCs w:val="32"/>
          <w:lang w:val="en-US" w:eastAsia="zh-CN"/>
        </w:rPr>
        <w:t>镇</w:t>
      </w:r>
      <w:r>
        <w:rPr>
          <w:rFonts w:hint="eastAsia" w:ascii="Times New Roman" w:hAnsi="Times New Roman" w:eastAsia="方正仿宋简体"/>
          <w:b/>
          <w:bCs w:val="0"/>
          <w:color w:val="000000"/>
          <w:sz w:val="32"/>
          <w:szCs w:val="32"/>
        </w:rPr>
        <w:t>依法按时完成答复，做到政府信息依申请公开件件有落实、有回应，未收取任何费用。</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（三）</w:t>
      </w:r>
      <w:r>
        <w:rPr>
          <w:rFonts w:ascii="Times New Roman" w:hAnsi="Times New Roman" w:eastAsia="方正楷体简体"/>
          <w:b/>
          <w:bCs w:val="0"/>
          <w:color w:val="000000"/>
          <w:sz w:val="32"/>
          <w:szCs w:val="32"/>
        </w:rPr>
        <w:t>加强政府网站运维监管</w:t>
      </w:r>
    </w:p>
    <w:p>
      <w:pPr>
        <w:pStyle w:val="6"/>
        <w:widowControl/>
        <w:spacing w:beforeAutospacing="0" w:afterAutospacing="0" w:line="420" w:lineRule="atLeas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加强政府网站运维监管。确保政务信息发布标准化、规范化。打造特色政务公开</w:t>
      </w:r>
      <w:r>
        <w:rPr>
          <w:rFonts w:ascii="Times New Roman" w:hAnsi="Times New Roman" w:eastAsia="方正仿宋简体" w:cs="Times New Roman"/>
          <w:b/>
          <w:bCs w:val="0"/>
          <w:color w:val="000000"/>
          <w:kern w:val="0"/>
          <w:sz w:val="32"/>
          <w:szCs w:val="32"/>
        </w:rPr>
        <w:t>专区。在原有为民服务大厅的基础上，因地制宜，合理利用空间，构建独具特色的政务公开专区，设置政府信息办理区、休息区，并配备1名工作人员，提供全程免费帮办代办服务，及时妥善处理群众各类申请和诉求，打通政务公开服务群众“最后一公里”。</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（四）</w:t>
      </w:r>
      <w:r>
        <w:rPr>
          <w:rFonts w:ascii="Times New Roman" w:hAnsi="Times New Roman" w:eastAsia="方正楷体简体"/>
          <w:b/>
          <w:bCs w:val="0"/>
          <w:color w:val="000000"/>
          <w:sz w:val="32"/>
          <w:szCs w:val="32"/>
        </w:rPr>
        <w:t>规范化</w:t>
      </w:r>
      <w:r>
        <w:rPr>
          <w:rFonts w:hint="default" w:ascii="Times New Roman" w:hAnsi="Times New Roman" w:eastAsia="方正楷体简体"/>
          <w:b/>
          <w:bCs w:val="0"/>
          <w:color w:val="000000"/>
          <w:sz w:val="32"/>
          <w:szCs w:val="32"/>
        </w:rPr>
        <w:t>建设政府信息公开平台</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以基层政务公开标准化规范化工作为引领，在坚持和完善政务公开专栏基础上，积极创新政务公开新载体、新形式。利用为民服务大厅集中打造政务公开专区，积极推进政务公开专区建设，在派出所、人社所、司法所、医保办等窗口设置政务公开公示牌，主动向群众公开各所工作人员、工作职责和公开办事指南。鼓励各所主动依法依规加大信息公开力度，并借助政府门户网站、政务新媒体“线上线下”齐发力，进一步推动基层办事服务公开标准化规范化向农村延伸，实现利企便民服务“零距离”。</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（五）</w:t>
      </w:r>
      <w:r>
        <w:rPr>
          <w:rFonts w:ascii="Times New Roman" w:hAnsi="Times New Roman" w:eastAsia="方正楷体简体"/>
          <w:b/>
          <w:bCs w:val="0"/>
          <w:color w:val="000000"/>
          <w:sz w:val="32"/>
          <w:szCs w:val="32"/>
        </w:rPr>
        <w:t>深化提升监督保障工作</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加强对我镇信息公开工作的组织领导，调整政府信息公开工作领导小组，积极畅通渠道，广泛接受社会监督。在门户网站上公开咨询和投诉渠道，及时回复社会关切，充分发挥社会监督作用。为提高政务公开水平，我镇在推进政府信息公开工作的过程中，严格依法管理，加强督促检查, 强化监督，使政府信息公开工作制度化和规范化。严格把握公开程序，广泛接受服务对象的监督，切实做好政府信息公开工作。镇明确专人负责政府信息公开工作，各科室、社区均配备了政务公开信息员。今年以来，镇召开政务信息培训1次，培训人员60余人次。</w:t>
      </w:r>
    </w:p>
    <w:p>
      <w:pPr>
        <w:numPr>
          <w:ilvl w:val="0"/>
          <w:numId w:val="1"/>
        </w:numPr>
        <w:spacing w:line="610" w:lineRule="exact"/>
        <w:ind w:right="-105" w:rightChars="-50" w:firstLine="643" w:firstLineChars="200"/>
        <w:rPr>
          <w:rFonts w:ascii="Times New Roman" w:hAnsi="Times New Roman" w:eastAsia="方正黑体简体" w:cs="Times New Roman"/>
          <w:b/>
          <w:bCs w:val="0"/>
          <w:color w:val="000000"/>
          <w:kern w:val="0"/>
          <w:sz w:val="32"/>
          <w:szCs w:val="32"/>
        </w:rPr>
      </w:pPr>
      <w:r>
        <w:rPr>
          <w:rFonts w:ascii="Times New Roman" w:hAnsi="Times New Roman" w:eastAsia="方正黑体简体" w:cs="Times New Roman"/>
          <w:b/>
          <w:bCs w:val="0"/>
          <w:color w:val="000000"/>
          <w:kern w:val="0"/>
          <w:sz w:val="32"/>
          <w:szCs w:val="32"/>
        </w:rPr>
        <w:t>主动公开政府信息情况</w:t>
      </w:r>
    </w:p>
    <w:tbl>
      <w:tblPr>
        <w:tblStyle w:val="7"/>
        <w:tblW w:w="5000" w:type="pct"/>
        <w:tblInd w:w="0" w:type="dxa"/>
        <w:tblLayout w:type="autofit"/>
        <w:tblCellMar>
          <w:top w:w="0" w:type="dxa"/>
          <w:left w:w="108" w:type="dxa"/>
          <w:bottom w:w="0" w:type="dxa"/>
          <w:right w:w="108" w:type="dxa"/>
        </w:tblCellMar>
      </w:tblPr>
      <w:tblGrid>
        <w:gridCol w:w="2237"/>
        <w:gridCol w:w="2237"/>
        <w:gridCol w:w="2237"/>
        <w:gridCol w:w="2237"/>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b/>
                <w:bCs w:val="0"/>
                <w:color w:val="000000"/>
                <w:kern w:val="0"/>
                <w:szCs w:val="21"/>
              </w:rPr>
            </w:pPr>
            <w:r>
              <w:rPr>
                <w:rFonts w:hint="eastAsia" w:ascii="Times New Roman" w:hAnsi="Times New Roman" w:eastAsia="黑体" w:cs="宋体"/>
                <w:b/>
                <w:bCs w:val="0"/>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规章</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b/>
                <w:bCs w:val="0"/>
                <w:color w:val="000000"/>
                <w:kern w:val="0"/>
                <w:szCs w:val="21"/>
                <w:lang w:val="en-US" w:eastAsia="zh-CN"/>
              </w:rPr>
            </w:pPr>
            <w:r>
              <w:rPr>
                <w:rFonts w:hint="eastAsia" w:ascii="Times New Roman" w:hAnsi="Times New Roman" w:eastAsia="仿宋_GB2312" w:cs="宋体"/>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b/>
                <w:bCs w:val="0"/>
                <w:color w:val="000000"/>
                <w:kern w:val="0"/>
                <w:szCs w:val="21"/>
                <w:lang w:val="en-US" w:eastAsia="zh-CN"/>
              </w:rPr>
            </w:pPr>
            <w:r>
              <w:rPr>
                <w:rFonts w:hint="eastAsia" w:ascii="Times New Roman" w:hAnsi="Times New Roman" w:eastAsia="仿宋_GB2312" w:cs="宋体"/>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b/>
                <w:bCs w:val="0"/>
                <w:color w:val="000000"/>
                <w:kern w:val="0"/>
                <w:szCs w:val="21"/>
                <w:lang w:val="en-US" w:eastAsia="zh-CN"/>
              </w:rPr>
            </w:pPr>
            <w:r>
              <w:rPr>
                <w:rFonts w:hint="eastAsia" w:ascii="Times New Roman" w:hAnsi="Times New Roman" w:eastAsia="仿宋_GB2312" w:cs="Calibri"/>
                <w:b/>
                <w:b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b/>
                <w:bCs w:val="0"/>
                <w:color w:val="000000"/>
                <w:kern w:val="0"/>
                <w:szCs w:val="21"/>
                <w:lang w:val="en-US" w:eastAsia="zh-CN"/>
              </w:rPr>
            </w:pPr>
            <w:r>
              <w:rPr>
                <w:rFonts w:hint="eastAsia" w:ascii="Times New Roman" w:hAnsi="Times New Roman" w:eastAsia="仿宋_GB2312" w:cs="宋体"/>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宋体"/>
                <w:b/>
                <w:bCs w:val="0"/>
                <w:color w:val="000000"/>
                <w:kern w:val="0"/>
                <w:szCs w:val="21"/>
                <w:lang w:val="en-US" w:eastAsia="zh-CN"/>
              </w:rPr>
            </w:pPr>
            <w:r>
              <w:rPr>
                <w:rFonts w:hint="eastAsia" w:ascii="Times New Roman" w:hAnsi="Times New Roman" w:eastAsia="仿宋_GB2312" w:cs="宋体"/>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pPr>
              <w:widowControl/>
              <w:jc w:val="center"/>
              <w:rPr>
                <w:rFonts w:hint="eastAsia" w:ascii="Times New Roman" w:hAnsi="Times New Roman" w:eastAsia="仿宋_GB2312" w:cs="Calibri"/>
                <w:b/>
                <w:bCs w:val="0"/>
                <w:color w:val="000000"/>
                <w:kern w:val="0"/>
                <w:szCs w:val="21"/>
                <w:lang w:val="en-US" w:eastAsia="zh-CN"/>
              </w:rPr>
            </w:pPr>
            <w:r>
              <w:rPr>
                <w:rFonts w:hint="eastAsia" w:ascii="Times New Roman" w:hAnsi="Times New Roman" w:eastAsia="仿宋_GB2312" w:cs="Calibri"/>
                <w:b/>
                <w:b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b/>
                <w:bCs w:val="0"/>
                <w:color w:val="000000"/>
                <w:kern w:val="0"/>
                <w:szCs w:val="21"/>
              </w:rPr>
            </w:pPr>
            <w:r>
              <w:rPr>
                <w:rFonts w:hint="eastAsia" w:ascii="Times New Roman" w:hAnsi="Times New Roman" w:eastAsia="黑体" w:cs="宋体"/>
                <w:b/>
                <w:bCs w:val="0"/>
                <w:color w:val="000000"/>
                <w:kern w:val="0"/>
                <w:szCs w:val="21"/>
              </w:rPr>
              <w:t>第二十条第（五）项</w:t>
            </w:r>
          </w:p>
        </w:tc>
      </w:tr>
      <w:tr>
        <w:tblPrEx>
          <w:tblCellMar>
            <w:top w:w="0" w:type="dxa"/>
            <w:left w:w="108" w:type="dxa"/>
            <w:bottom w:w="0" w:type="dxa"/>
            <w:right w:w="108" w:type="dxa"/>
          </w:tblCellMar>
        </w:tblPrEx>
        <w:trPr>
          <w:trHeight w:val="586"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仿宋_GB2312" w:cs="Calibri"/>
                <w:b/>
                <w:bCs w:val="0"/>
                <w:color w:val="000000"/>
                <w:kern w:val="0"/>
                <w:szCs w:val="21"/>
                <w:lang w:val="en-US" w:eastAsia="zh-CN"/>
              </w:rPr>
            </w:pPr>
            <w:r>
              <w:rPr>
                <w:rFonts w:hint="eastAsia" w:ascii="Times New Roman" w:hAnsi="Times New Roman" w:eastAsia="仿宋_GB2312" w:cs="Calibri"/>
                <w:b/>
                <w:b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b/>
                <w:bCs w:val="0"/>
                <w:color w:val="000000"/>
                <w:kern w:val="0"/>
                <w:szCs w:val="21"/>
              </w:rPr>
            </w:pPr>
            <w:r>
              <w:rPr>
                <w:rFonts w:hint="eastAsia" w:ascii="Times New Roman" w:hAnsi="Times New Roman" w:eastAsia="黑体" w:cs="宋体"/>
                <w:b/>
                <w:bCs w:val="0"/>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tabs>
                <w:tab w:val="center" w:pos="3247"/>
              </w:tabs>
              <w:jc w:val="center"/>
              <w:rPr>
                <w:rFonts w:hint="default" w:ascii="Times New Roman" w:hAnsi="Times New Roman" w:eastAsia="仿宋_GB2312" w:cs="宋体"/>
                <w:b/>
                <w:bCs w:val="0"/>
                <w:color w:val="000000"/>
                <w:kern w:val="0"/>
                <w:szCs w:val="21"/>
                <w:lang w:val="en-US" w:eastAsia="zh-CN"/>
              </w:rPr>
            </w:pPr>
            <w:r>
              <w:rPr>
                <w:rFonts w:hint="eastAsia" w:ascii="Times New Roman" w:hAnsi="Times New Roman" w:eastAsia="仿宋_GB2312" w:cs="宋体"/>
                <w:b/>
                <w:b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仿宋_GB2312" w:cs="宋体"/>
                <w:b/>
                <w:bCs w:val="0"/>
                <w:color w:val="000000"/>
                <w:kern w:val="0"/>
                <w:szCs w:val="21"/>
                <w:lang w:val="en-US" w:eastAsia="zh-CN"/>
              </w:rPr>
            </w:pPr>
            <w:r>
              <w:rPr>
                <w:rFonts w:hint="eastAsia" w:ascii="Times New Roman" w:hAnsi="Times New Roman" w:eastAsia="仿宋_GB2312" w:cs="宋体"/>
                <w:b/>
                <w:bCs w:val="0"/>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Times New Roman" w:hAnsi="Times New Roman" w:eastAsia="黑体" w:cs="宋体"/>
                <w:b/>
                <w:bCs w:val="0"/>
                <w:color w:val="000000"/>
                <w:kern w:val="0"/>
                <w:szCs w:val="21"/>
              </w:rPr>
            </w:pPr>
            <w:r>
              <w:rPr>
                <w:rFonts w:hint="eastAsia" w:ascii="Times New Roman" w:hAnsi="Times New Roman" w:eastAsia="黑体" w:cs="宋体"/>
                <w:b/>
                <w:bCs w:val="0"/>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pPr>
              <w:widowControl/>
              <w:jc w:val="left"/>
              <w:rPr>
                <w:rFonts w:ascii="Times New Roman" w:hAnsi="Times New Roman" w:eastAsia="仿宋_GB2312" w:cs="宋体"/>
                <w:b/>
                <w:bCs w:val="0"/>
                <w:color w:val="000000"/>
                <w:kern w:val="0"/>
                <w:szCs w:val="21"/>
              </w:rPr>
            </w:pPr>
            <w:r>
              <w:rPr>
                <w:rFonts w:hint="eastAsia" w:ascii="Times New Roman" w:hAnsi="Times New Roman" w:eastAsia="仿宋_GB2312" w:cs="宋体"/>
                <w:b/>
                <w:bCs w:val="0"/>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Times New Roman" w:hAnsi="Times New Roman" w:eastAsia="仿宋_GB2312" w:cs="Calibri"/>
                <w:b/>
                <w:bCs w:val="0"/>
                <w:color w:val="000000"/>
                <w:kern w:val="0"/>
                <w:szCs w:val="21"/>
                <w:lang w:val="en-US" w:eastAsia="zh-CN"/>
              </w:rPr>
            </w:pPr>
            <w:r>
              <w:rPr>
                <w:rFonts w:hint="eastAsia" w:ascii="Times New Roman" w:hAnsi="Times New Roman" w:eastAsia="仿宋_GB2312" w:cs="Calibri"/>
                <w:b/>
                <w:bCs w:val="0"/>
                <w:color w:val="000000"/>
                <w:kern w:val="0"/>
                <w:szCs w:val="21"/>
                <w:lang w:val="en-US" w:eastAsia="zh-CN"/>
              </w:rPr>
              <w:t>0</w:t>
            </w:r>
          </w:p>
        </w:tc>
      </w:tr>
    </w:tbl>
    <w:p>
      <w:pPr>
        <w:numPr>
          <w:ilvl w:val="0"/>
          <w:numId w:val="1"/>
        </w:numPr>
        <w:spacing w:line="610" w:lineRule="exact"/>
        <w:ind w:left="0" w:leftChars="0" w:right="-105" w:rightChars="-50" w:firstLine="643" w:firstLineChars="200"/>
        <w:rPr>
          <w:rFonts w:ascii="Times New Roman" w:hAnsi="Times New Roman" w:eastAsia="方正黑体简体" w:cs="Times New Roman"/>
          <w:b/>
          <w:bCs w:val="0"/>
          <w:color w:val="000000"/>
          <w:kern w:val="0"/>
          <w:sz w:val="32"/>
          <w:szCs w:val="32"/>
        </w:rPr>
      </w:pPr>
      <w:r>
        <w:rPr>
          <w:rFonts w:ascii="Times New Roman" w:hAnsi="Times New Roman" w:eastAsia="方正黑体简体" w:cs="Times New Roman"/>
          <w:b/>
          <w:bCs w:val="0"/>
          <w:color w:val="000000"/>
          <w:kern w:val="0"/>
          <w:sz w:val="32"/>
          <w:szCs w:val="32"/>
        </w:rPr>
        <w:t>收到和处理政府信息公开申请情况</w:t>
      </w:r>
    </w:p>
    <w:tbl>
      <w:tblPr>
        <w:tblStyle w:val="7"/>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Times New Roman" w:hAnsi="Times New Roman" w:eastAsia="楷体_GB2312"/>
                <w:b/>
                <w:bCs/>
                <w:kern w:val="0"/>
                <w:szCs w:val="21"/>
              </w:rPr>
            </w:pPr>
            <w:r>
              <w:rPr>
                <w:rFonts w:hint="eastAsia" w:ascii="Times New Roman" w:hAnsi="Times New Roman" w:eastAsia="楷体_GB2312"/>
                <w:b/>
                <w:bCs/>
                <w:kern w:val="0"/>
                <w:szCs w:val="21"/>
              </w:rPr>
              <w:t>（本列数据的勾稽关系为：第一项加第二项之和，</w:t>
            </w:r>
          </w:p>
          <w:p>
            <w:pPr>
              <w:widowControl/>
              <w:jc w:val="center"/>
              <w:rPr>
                <w:rFonts w:ascii="Times New Roman" w:hAnsi="Times New Roman" w:eastAsia="仿宋_GB2312"/>
                <w:b/>
                <w:bCs/>
                <w:szCs w:val="21"/>
              </w:rPr>
            </w:pPr>
            <w:r>
              <w:rPr>
                <w:rFonts w:hint="eastAsia" w:ascii="Times New Roman" w:hAnsi="Times New Roman" w:eastAsia="楷体_GB2312"/>
                <w:b/>
                <w:bCs/>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Times New Roman" w:hAnsi="Times New Roman" w:eastAsia="黑体"/>
                <w:b/>
                <w:bCs/>
                <w:szCs w:val="21"/>
              </w:rPr>
            </w:pPr>
            <w:r>
              <w:rPr>
                <w:rFonts w:hint="eastAsia" w:ascii="Times New Roman" w:hAnsi="Times New Roman"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Times New Roman" w:hAnsi="Times New Roman" w:eastAsia="仿宋_GB2312"/>
                <w:b/>
                <w:bCs/>
                <w:szCs w:val="21"/>
              </w:rPr>
            </w:pPr>
          </w:p>
        </w:tc>
        <w:tc>
          <w:tcPr>
            <w:tcW w:w="829" w:type="dxa"/>
            <w:vMerge w:val="restart"/>
            <w:noWrap w:val="0"/>
            <w:tcMar>
              <w:left w:w="108" w:type="dxa"/>
              <w:right w:w="108" w:type="dxa"/>
            </w:tcMar>
            <w:vAlign w:val="center"/>
          </w:tcPr>
          <w:p>
            <w:pPr>
              <w:widowControl/>
              <w:jc w:val="center"/>
              <w:rPr>
                <w:rFonts w:ascii="Times New Roman" w:hAnsi="Times New Roman" w:eastAsia="黑体"/>
                <w:b/>
                <w:bCs/>
                <w:szCs w:val="21"/>
              </w:rPr>
            </w:pPr>
            <w:r>
              <w:rPr>
                <w:rFonts w:hint="eastAsia" w:ascii="Times New Roman" w:hAnsi="Times New Roman" w:eastAsia="黑体"/>
                <w:b/>
                <w:bCs/>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Times New Roman" w:hAnsi="Times New Roman" w:eastAsia="黑体"/>
                <w:b/>
                <w:bCs/>
                <w:szCs w:val="21"/>
              </w:rPr>
            </w:pPr>
            <w:r>
              <w:rPr>
                <w:rFonts w:hint="eastAsia" w:ascii="Times New Roman" w:hAnsi="Times New Roman" w:eastAsia="黑体"/>
                <w:b/>
                <w:bCs/>
                <w:kern w:val="0"/>
                <w:szCs w:val="21"/>
              </w:rPr>
              <w:t>法人或其他组织</w:t>
            </w:r>
          </w:p>
        </w:tc>
        <w:tc>
          <w:tcPr>
            <w:tcW w:w="851" w:type="dxa"/>
            <w:vMerge w:val="restart"/>
            <w:noWrap w:val="0"/>
            <w:tcMar>
              <w:left w:w="108" w:type="dxa"/>
              <w:right w:w="108" w:type="dxa"/>
            </w:tcMar>
            <w:vAlign w:val="center"/>
          </w:tcPr>
          <w:p>
            <w:pPr>
              <w:widowControl/>
              <w:jc w:val="center"/>
              <w:rPr>
                <w:rFonts w:ascii="Times New Roman" w:hAnsi="Times New Roman" w:eastAsia="黑体"/>
                <w:b/>
                <w:bCs/>
                <w:szCs w:val="21"/>
              </w:rPr>
            </w:pPr>
            <w:r>
              <w:rPr>
                <w:rFonts w:hint="eastAsia" w:ascii="Times New Roman" w:hAnsi="Times New Roman"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Times New Roman" w:hAnsi="Times New Roman" w:eastAsia="仿宋_GB2312"/>
                <w:b/>
                <w:bCs/>
                <w:szCs w:val="21"/>
              </w:rPr>
            </w:pPr>
          </w:p>
        </w:tc>
        <w:tc>
          <w:tcPr>
            <w:tcW w:w="829" w:type="dxa"/>
            <w:vMerge w:val="continue"/>
            <w:noWrap w:val="0"/>
            <w:tcMar>
              <w:left w:w="108" w:type="dxa"/>
              <w:right w:w="108" w:type="dxa"/>
            </w:tcMar>
            <w:vAlign w:val="center"/>
          </w:tcPr>
          <w:p>
            <w:pPr>
              <w:jc w:val="center"/>
              <w:rPr>
                <w:rFonts w:ascii="Times New Roman" w:hAnsi="Times New Roman" w:eastAsia="黑体"/>
                <w:b/>
                <w:bCs/>
                <w:szCs w:val="21"/>
              </w:rPr>
            </w:pPr>
          </w:p>
        </w:tc>
        <w:tc>
          <w:tcPr>
            <w:tcW w:w="567" w:type="dxa"/>
            <w:noWrap w:val="0"/>
            <w:tcMar>
              <w:left w:w="108" w:type="dxa"/>
              <w:right w:w="108" w:type="dxa"/>
            </w:tcMar>
            <w:vAlign w:val="center"/>
          </w:tcPr>
          <w:p>
            <w:pPr>
              <w:widowControl/>
              <w:spacing w:line="320" w:lineRule="exact"/>
              <w:ind w:left="-106" w:leftChars="-51" w:right="-107" w:rightChars="-51" w:hanging="1" w:firstLineChars="0"/>
              <w:jc w:val="center"/>
              <w:rPr>
                <w:rFonts w:ascii="Times New Roman" w:hAnsi="Times New Roman" w:eastAsia="黑体"/>
                <w:b/>
                <w:bCs/>
                <w:szCs w:val="21"/>
              </w:rPr>
            </w:pPr>
            <w:r>
              <w:rPr>
                <w:rFonts w:hint="eastAsia" w:ascii="Times New Roman" w:hAnsi="Times New Roman" w:eastAsia="黑体"/>
                <w:b/>
                <w:bCs/>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Times New Roman" w:hAnsi="Times New Roman" w:eastAsia="黑体"/>
                <w:b/>
                <w:bCs/>
                <w:szCs w:val="21"/>
              </w:rPr>
            </w:pPr>
            <w:r>
              <w:rPr>
                <w:rFonts w:hint="eastAsia" w:ascii="Times New Roman" w:hAnsi="Times New Roman" w:eastAsia="黑体"/>
                <w:b/>
                <w:bCs/>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Times New Roman" w:hAnsi="Times New Roman" w:eastAsia="黑体"/>
                <w:b/>
                <w:bCs/>
                <w:szCs w:val="21"/>
              </w:rPr>
            </w:pPr>
            <w:r>
              <w:rPr>
                <w:rFonts w:hint="eastAsia" w:ascii="Times New Roman" w:hAnsi="Times New Roman" w:eastAsia="黑体"/>
                <w:b/>
                <w:bCs/>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firstLineChars="0"/>
              <w:jc w:val="center"/>
              <w:rPr>
                <w:rFonts w:ascii="Times New Roman" w:hAnsi="Times New Roman" w:eastAsia="黑体"/>
                <w:b/>
                <w:bCs/>
                <w:szCs w:val="21"/>
              </w:rPr>
            </w:pPr>
            <w:r>
              <w:rPr>
                <w:rFonts w:hint="eastAsia" w:ascii="Times New Roman" w:hAnsi="Times New Roman" w:eastAsia="黑体"/>
                <w:b/>
                <w:bCs/>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Times New Roman" w:hAnsi="Times New Roman" w:eastAsia="黑体"/>
                <w:b/>
                <w:bCs/>
                <w:szCs w:val="21"/>
              </w:rPr>
            </w:pPr>
            <w:r>
              <w:rPr>
                <w:rFonts w:hint="eastAsia" w:ascii="Times New Roman" w:hAnsi="Times New Roman" w:eastAsia="黑体"/>
                <w:b/>
                <w:bCs/>
                <w:kern w:val="0"/>
                <w:szCs w:val="21"/>
              </w:rPr>
              <w:t>其他</w:t>
            </w:r>
          </w:p>
        </w:tc>
        <w:tc>
          <w:tcPr>
            <w:tcW w:w="851" w:type="dxa"/>
            <w:vMerge w:val="continue"/>
            <w:noWrap w:val="0"/>
            <w:tcMar>
              <w:left w:w="108" w:type="dxa"/>
              <w:right w:w="108" w:type="dxa"/>
            </w:tcMar>
            <w:vAlign w:val="center"/>
          </w:tcPr>
          <w:p>
            <w:pPr>
              <w:jc w:val="center"/>
              <w:rPr>
                <w:rFonts w:ascii="Times New Roman" w:hAnsi="Times New Roman" w:eastAsia="仿宋_GB2312"/>
                <w:b/>
                <w:bCs/>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9" w:hRule="atLeast"/>
          <w:jc w:val="center"/>
        </w:trPr>
        <w:tc>
          <w:tcPr>
            <w:tcW w:w="5093" w:type="dxa"/>
            <w:gridSpan w:val="3"/>
            <w:noWrap w:val="0"/>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一、本年新收政府信息公开申请数量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二、上年结转政府信息公开申请数量</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Times New Roman" w:hAnsi="Times New Roman" w:eastAsia="黑体"/>
                <w:b/>
                <w:bCs/>
                <w:szCs w:val="21"/>
              </w:rPr>
            </w:pPr>
            <w:r>
              <w:rPr>
                <w:rFonts w:hint="eastAsia" w:ascii="Times New Roman" w:hAnsi="Times New Roman" w:eastAsia="黑体"/>
                <w:b/>
                <w:bCs/>
                <w:kern w:val="0"/>
                <w:szCs w:val="21"/>
              </w:rPr>
              <w:t>三、本年度办理结果</w:t>
            </w:r>
          </w:p>
        </w:tc>
        <w:tc>
          <w:tcPr>
            <w:tcW w:w="4677" w:type="dxa"/>
            <w:gridSpan w:val="2"/>
            <w:noWrap w:val="0"/>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（一）予以公开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4677" w:type="dxa"/>
            <w:gridSpan w:val="2"/>
            <w:noWrap w:val="0"/>
            <w:tcMar>
              <w:left w:w="108" w:type="dxa"/>
              <w:right w:w="108" w:type="dxa"/>
            </w:tcMar>
            <w:vAlign w:val="center"/>
          </w:tcPr>
          <w:p>
            <w:pPr>
              <w:widowControl/>
              <w:rPr>
                <w:rFonts w:ascii="Times New Roman" w:hAnsi="Times New Roman" w:eastAsia="黑体"/>
                <w:b/>
                <w:bCs/>
                <w:szCs w:val="21"/>
              </w:rPr>
            </w:pPr>
            <w:r>
              <w:rPr>
                <w:rFonts w:hint="eastAsia" w:ascii="Times New Roman" w:hAnsi="Times New Roman" w:eastAsia="黑体"/>
                <w:b/>
                <w:bCs/>
                <w:kern w:val="0"/>
                <w:szCs w:val="21"/>
              </w:rPr>
              <w:t>（二）部分公开（区分处理的，只计这一情形，不计其他情形）</w:t>
            </w:r>
            <w:bookmarkStart w:id="0" w:name="_GoBack"/>
            <w:bookmarkEnd w:id="0"/>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仿宋_GB2312"/>
                <w:b/>
                <w:bCs/>
                <w:szCs w:val="21"/>
                <w:lang w:val="en-US" w:eastAsia="zh-CN"/>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b/>
                <w:bCs/>
                <w:szCs w:val="21"/>
              </w:rPr>
            </w:pPr>
            <w:r>
              <w:rPr>
                <w:rFonts w:hint="eastAsia" w:ascii="Times New Roman" w:hAnsi="Times New Roman" w:eastAsia="黑体"/>
                <w:b/>
                <w:bCs/>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1.属于国家秘密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2.其他法律行政法规禁止公开</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3.危及“三安全一稳定”</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4.保护第三方合法权益</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5.属于三类内部事务信息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6.属于四类过程性信息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7.属于行政执法案卷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8.属于行政查询事项</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b/>
                <w:bCs/>
                <w:szCs w:val="21"/>
              </w:rPr>
            </w:pPr>
            <w:r>
              <w:rPr>
                <w:rFonts w:hint="eastAsia" w:ascii="Times New Roman" w:hAnsi="Times New Roman" w:eastAsia="黑体"/>
                <w:b/>
                <w:bCs/>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1.本机关不掌握相关政府信息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2.没有现成信息需要另行制作</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107" w:leftChars="-51"/>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3.补正后申请内容仍不明确</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ind w:left="-107" w:leftChars="-51"/>
              <w:textAlignment w:val="auto"/>
              <w:rPr>
                <w:rFonts w:ascii="Times New Roman" w:hAnsi="Times New Roman" w:eastAsia="黑体"/>
                <w:b/>
                <w:bCs/>
                <w:szCs w:val="21"/>
              </w:rPr>
            </w:pPr>
            <w:r>
              <w:rPr>
                <w:rFonts w:hint="eastAsia" w:ascii="Times New Roman" w:hAnsi="Times New Roman" w:eastAsia="黑体"/>
                <w:b/>
                <w:bCs/>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1.信访举报投诉类申请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2.重复申请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szCs w:val="21"/>
              </w:rPr>
            </w:pPr>
            <w:r>
              <w:rPr>
                <w:rFonts w:hint="eastAsia" w:ascii="Times New Roman" w:hAnsi="Times New Roman" w:eastAsia="仿宋_GB2312"/>
                <w:b/>
                <w:bCs/>
                <w:kern w:val="0"/>
                <w:szCs w:val="21"/>
              </w:rPr>
              <w:t>3.要求提供公开出版物</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szCs w:val="21"/>
              </w:rPr>
            </w:pPr>
            <w:r>
              <w:rPr>
                <w:rFonts w:hint="eastAsia" w:ascii="Times New Roman" w:hAnsi="Times New Roman" w:eastAsia="仿宋_GB2312"/>
                <w:b/>
                <w:bCs/>
                <w:kern w:val="0"/>
                <w:szCs w:val="21"/>
              </w:rPr>
              <w:t>4.无正当理由大量反复申请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黑体"/>
                <w:b/>
                <w:bCs/>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300" w:lineRule="exact"/>
              <w:ind w:firstLine="211" w:firstLineChars="100"/>
              <w:textAlignment w:val="auto"/>
              <w:rPr>
                <w:rFonts w:ascii="Times New Roman" w:hAnsi="Times New Roman" w:eastAsia="仿宋_GB2312"/>
                <w:b/>
                <w:bCs/>
                <w:szCs w:val="21"/>
              </w:rPr>
            </w:pPr>
            <w:r>
              <w:rPr>
                <w:rFonts w:hint="eastAsia" w:ascii="Times New Roman" w:hAnsi="Times New Roman" w:eastAsia="仿宋_GB2312"/>
                <w:b/>
                <w:bCs/>
                <w:kern w:val="0"/>
                <w:szCs w:val="21"/>
              </w:rPr>
              <w:t>出具已获取信息</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黑体"/>
                <w:b/>
                <w:bCs/>
                <w:kern w:val="0"/>
                <w:szCs w:val="21"/>
              </w:rPr>
            </w:pPr>
            <w:r>
              <w:rPr>
                <w:rFonts w:hint="eastAsia" w:ascii="Times New Roman" w:hAnsi="Times New Roman" w:eastAsia="黑体"/>
                <w:b/>
                <w:bCs/>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rPr>
            </w:pPr>
            <w:r>
              <w:rPr>
                <w:rFonts w:hint="eastAsia" w:ascii="Times New Roman" w:hAnsi="Times New Roman" w:eastAsia="仿宋_GB2312"/>
                <w:b/>
                <w:bCs/>
              </w:rPr>
              <w:t>1.申请人无正当理由逾期不补正、行政机关不再处理其政府信息公开申请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b/>
                <w:bCs/>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rPr>
              <w:t>2.申请人逾期未按收费通知要求缴纳费用、行政机关不再处理其政府信息公开申请</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1701" w:type="dxa"/>
            <w:vMerge w:val="continue"/>
            <w:noWrap w:val="0"/>
            <w:tcMar>
              <w:left w:w="108" w:type="dxa"/>
              <w:right w:w="108" w:type="dxa"/>
            </w:tcMar>
            <w:vAlign w:val="center"/>
          </w:tcPr>
          <w:p>
            <w:pPr>
              <w:widowControl/>
              <w:spacing w:line="300" w:lineRule="exact"/>
              <w:rPr>
                <w:rFonts w:ascii="Times New Roman" w:hAnsi="Times New Roman" w:eastAsia="黑体"/>
                <w:b/>
                <w:bCs/>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ascii="Times New Roman" w:hAnsi="Times New Roman" w:eastAsia="仿宋_GB2312"/>
                <w:b/>
                <w:bCs/>
                <w:kern w:val="0"/>
                <w:szCs w:val="21"/>
              </w:rPr>
            </w:pPr>
            <w:r>
              <w:rPr>
                <w:rFonts w:hint="eastAsia" w:ascii="Times New Roman" w:hAnsi="Times New Roman" w:eastAsia="仿宋_GB2312"/>
                <w:b/>
                <w:bCs/>
              </w:rPr>
              <w:t>3.其他</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Times New Roman" w:hAnsi="Times New Roman" w:eastAsia="黑体"/>
                <w:b/>
                <w:bCs/>
                <w:szCs w:val="21"/>
              </w:rPr>
            </w:pPr>
          </w:p>
        </w:tc>
        <w:tc>
          <w:tcPr>
            <w:tcW w:w="4677" w:type="dxa"/>
            <w:gridSpan w:val="2"/>
            <w:noWrap w:val="0"/>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（七）总计</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1</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Times New Roman" w:hAnsi="Times New Roman" w:eastAsia="黑体"/>
                <w:b/>
                <w:bCs/>
                <w:kern w:val="0"/>
                <w:szCs w:val="21"/>
              </w:rPr>
            </w:pPr>
            <w:r>
              <w:rPr>
                <w:rFonts w:hint="eastAsia" w:ascii="Times New Roman" w:hAnsi="Times New Roman" w:eastAsia="黑体"/>
                <w:b/>
                <w:bCs/>
                <w:kern w:val="0"/>
                <w:szCs w:val="21"/>
              </w:rPr>
              <w:t>四、结转下年度继续办理</w:t>
            </w:r>
          </w:p>
        </w:tc>
        <w:tc>
          <w:tcPr>
            <w:tcW w:w="82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3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70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56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c>
          <w:tcPr>
            <w:tcW w:w="85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仿宋_GB2312"/>
                <w:b/>
                <w:bCs/>
                <w:szCs w:val="21"/>
              </w:rPr>
            </w:pPr>
            <w:r>
              <w:rPr>
                <w:rFonts w:hint="eastAsia" w:ascii="Times New Roman" w:hAnsi="Times New Roman" w:eastAsia="仿宋_GB2312"/>
                <w:b/>
                <w:bCs/>
                <w:szCs w:val="21"/>
                <w:lang w:val="en-US" w:eastAsia="zh-CN"/>
              </w:rPr>
              <w:t>0</w:t>
            </w:r>
          </w:p>
        </w:tc>
      </w:tr>
    </w:tbl>
    <w:p>
      <w:pPr>
        <w:spacing w:line="610" w:lineRule="exact"/>
        <w:ind w:right="-105" w:rightChars="-50" w:firstLine="643" w:firstLineChars="200"/>
        <w:rPr>
          <w:rFonts w:ascii="Times New Roman" w:hAnsi="Times New Roman" w:eastAsia="方正黑体简体" w:cs="Times New Roman"/>
          <w:b/>
          <w:bCs w:val="0"/>
          <w:color w:val="000000"/>
          <w:kern w:val="0"/>
          <w:sz w:val="32"/>
          <w:szCs w:val="32"/>
        </w:rPr>
      </w:pPr>
      <w:r>
        <w:rPr>
          <w:rFonts w:ascii="Times New Roman" w:hAnsi="Times New Roman" w:eastAsia="方正黑体简体" w:cs="Times New Roman"/>
          <w:b/>
          <w:bCs w:val="0"/>
          <w:color w:val="000000"/>
          <w:kern w:val="0"/>
          <w:sz w:val="32"/>
          <w:szCs w:val="32"/>
        </w:rPr>
        <w:t>四、政府信息公开行政复议、行政诉讼情况</w:t>
      </w:r>
    </w:p>
    <w:tbl>
      <w:tblPr>
        <w:tblStyle w:val="7"/>
        <w:tblW w:w="8670" w:type="dxa"/>
        <w:tblInd w:w="0" w:type="dxa"/>
        <w:tblLayout w:type="autofit"/>
        <w:tblCellMar>
          <w:top w:w="15" w:type="dxa"/>
          <w:left w:w="15" w:type="dxa"/>
          <w:bottom w:w="15" w:type="dxa"/>
          <w:right w:w="15" w:type="dxa"/>
        </w:tblCellMar>
      </w:tblPr>
      <w:tblGrid>
        <w:gridCol w:w="658"/>
        <w:gridCol w:w="613"/>
        <w:gridCol w:w="614"/>
        <w:gridCol w:w="599"/>
        <w:gridCol w:w="420"/>
        <w:gridCol w:w="614"/>
        <w:gridCol w:w="629"/>
        <w:gridCol w:w="599"/>
        <w:gridCol w:w="584"/>
        <w:gridCol w:w="405"/>
        <w:gridCol w:w="584"/>
        <w:gridCol w:w="584"/>
        <w:gridCol w:w="584"/>
        <w:gridCol w:w="584"/>
        <w:gridCol w:w="584"/>
        <w:gridCol w:w="15"/>
      </w:tblGrid>
      <w:tr>
        <w:tblPrEx>
          <w:tblCellMar>
            <w:top w:w="15" w:type="dxa"/>
            <w:left w:w="15" w:type="dxa"/>
            <w:bottom w:w="15" w:type="dxa"/>
            <w:right w:w="15" w:type="dxa"/>
          </w:tblCellMar>
        </w:tblPrEx>
        <w:trPr>
          <w:trHeight w:val="315" w:hRule="atLeast"/>
        </w:trPr>
        <w:tc>
          <w:tcPr>
            <w:tcW w:w="2904"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行政复议</w:t>
            </w:r>
          </w:p>
        </w:tc>
        <w:tc>
          <w:tcPr>
            <w:tcW w:w="5766" w:type="dxa"/>
            <w:gridSpan w:val="11"/>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行政诉讼</w:t>
            </w:r>
          </w:p>
        </w:tc>
      </w:tr>
      <w:tr>
        <w:tblPrEx>
          <w:tblCellMar>
            <w:top w:w="15" w:type="dxa"/>
            <w:left w:w="15" w:type="dxa"/>
            <w:bottom w:w="15" w:type="dxa"/>
            <w:right w:w="15" w:type="dxa"/>
          </w:tblCellMar>
        </w:tblPrEx>
        <w:trPr>
          <w:trHeight w:val="375" w:hRule="atLeast"/>
        </w:trPr>
        <w:tc>
          <w:tcPr>
            <w:tcW w:w="658"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结果维持</w:t>
            </w:r>
          </w:p>
        </w:tc>
        <w:tc>
          <w:tcPr>
            <w:tcW w:w="613"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结果纠正</w:t>
            </w:r>
          </w:p>
        </w:tc>
        <w:tc>
          <w:tcPr>
            <w:tcW w:w="614"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其他结果</w:t>
            </w:r>
          </w:p>
        </w:tc>
        <w:tc>
          <w:tcPr>
            <w:tcW w:w="599"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尚未审结</w:t>
            </w:r>
          </w:p>
        </w:tc>
        <w:tc>
          <w:tcPr>
            <w:tcW w:w="420"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总计</w:t>
            </w:r>
          </w:p>
        </w:tc>
        <w:tc>
          <w:tcPr>
            <w:tcW w:w="2831" w:type="dxa"/>
            <w:gridSpan w:val="5"/>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未经复议直接起诉</w:t>
            </w:r>
          </w:p>
        </w:tc>
        <w:tc>
          <w:tcPr>
            <w:tcW w:w="2935" w:type="dxa"/>
            <w:gridSpan w:val="6"/>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复议后起诉</w:t>
            </w:r>
          </w:p>
        </w:tc>
      </w:tr>
      <w:tr>
        <w:tblPrEx>
          <w:tblCellMar>
            <w:top w:w="15" w:type="dxa"/>
            <w:left w:w="15" w:type="dxa"/>
            <w:bottom w:w="15" w:type="dxa"/>
            <w:right w:w="15" w:type="dxa"/>
          </w:tblCellMar>
        </w:tblPrEx>
        <w:trPr>
          <w:trHeight w:val="420" w:hRule="atLeast"/>
        </w:trPr>
        <w:tc>
          <w:tcPr>
            <w:tcW w:w="658"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p>
        </w:tc>
        <w:tc>
          <w:tcPr>
            <w:tcW w:w="613"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p>
        </w:tc>
        <w:tc>
          <w:tcPr>
            <w:tcW w:w="614"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p>
        </w:tc>
        <w:tc>
          <w:tcPr>
            <w:tcW w:w="599"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p>
        </w:tc>
        <w:tc>
          <w:tcPr>
            <w:tcW w:w="420"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结果维持</w:t>
            </w:r>
          </w:p>
        </w:tc>
        <w:tc>
          <w:tcPr>
            <w:tcW w:w="6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结果纠正</w:t>
            </w:r>
          </w:p>
        </w:tc>
        <w:tc>
          <w:tcPr>
            <w:tcW w:w="5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其他结果</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尚未审结</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总计</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结果维持</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结果纠正</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其他结果</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尚未审结</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总计</w:t>
            </w:r>
          </w:p>
        </w:tc>
        <w:tc>
          <w:tcPr>
            <w:tcW w:w="15" w:type="dxa"/>
            <w:tcBorders>
              <w:top w:val="nil"/>
              <w:left w:val="nil"/>
              <w:bottom w:val="nil"/>
              <w:right w:val="nil"/>
            </w:tcBorders>
            <w:shd w:val="clear" w:color="auto" w:fill="auto"/>
            <w:tcMar>
              <w:top w:w="0" w:type="dxa"/>
              <w:left w:w="0" w:type="dxa"/>
              <w:bottom w:w="0" w:type="dxa"/>
              <w:right w:w="0" w:type="dxa"/>
            </w:tcMar>
            <w:vAlign w:val="center"/>
          </w:tcPr>
          <w:p>
            <w:pPr>
              <w:widowControl/>
              <w:ind w:right="-105" w:rightChars="-50" w:firstLine="422" w:firstLineChars="200"/>
              <w:jc w:val="center"/>
              <w:rPr>
                <w:rFonts w:ascii="Times New Roman" w:hAnsi="Times New Roman" w:cs="Times New Roman"/>
                <w:b/>
                <w:bCs w:val="0"/>
              </w:rPr>
            </w:pPr>
          </w:p>
        </w:tc>
      </w:tr>
      <w:tr>
        <w:tblPrEx>
          <w:tblCellMar>
            <w:top w:w="15" w:type="dxa"/>
            <w:left w:w="15" w:type="dxa"/>
            <w:bottom w:w="15" w:type="dxa"/>
            <w:right w:w="15" w:type="dxa"/>
          </w:tblCellMar>
        </w:tblPrEx>
        <w:trPr>
          <w:trHeight w:val="405" w:hRule="atLeast"/>
        </w:trPr>
        <w:tc>
          <w:tcPr>
            <w:tcW w:w="658"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613"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4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61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62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99"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4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584"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340" w:lineRule="exact"/>
              <w:ind w:left="-42" w:leftChars="-20" w:right="-42" w:rightChars="-20"/>
              <w:jc w:val="center"/>
              <w:rPr>
                <w:rFonts w:ascii="Times New Roman" w:hAnsi="Times New Roman" w:eastAsia="方正黑体简体" w:cs="Times New Roman"/>
                <w:b/>
                <w:bCs w:val="0"/>
                <w:kern w:val="0"/>
                <w:szCs w:val="21"/>
                <w:lang w:bidi="ar"/>
              </w:rPr>
            </w:pPr>
            <w:r>
              <w:rPr>
                <w:rFonts w:ascii="Times New Roman" w:hAnsi="Times New Roman" w:eastAsia="方正黑体简体" w:cs="Times New Roman"/>
                <w:b/>
                <w:bCs w:val="0"/>
                <w:kern w:val="0"/>
                <w:szCs w:val="21"/>
                <w:lang w:bidi="ar"/>
              </w:rPr>
              <w:t>0</w:t>
            </w:r>
          </w:p>
        </w:tc>
        <w:tc>
          <w:tcPr>
            <w:tcW w:w="15" w:type="dxa"/>
            <w:tcBorders>
              <w:top w:val="nil"/>
              <w:left w:val="nil"/>
              <w:bottom w:val="nil"/>
              <w:right w:val="nil"/>
            </w:tcBorders>
            <w:shd w:val="clear" w:color="auto" w:fill="auto"/>
            <w:tcMar>
              <w:top w:w="0" w:type="dxa"/>
              <w:left w:w="0" w:type="dxa"/>
              <w:bottom w:w="0" w:type="dxa"/>
              <w:right w:w="0" w:type="dxa"/>
            </w:tcMar>
            <w:vAlign w:val="center"/>
          </w:tcPr>
          <w:p>
            <w:pPr>
              <w:widowControl/>
              <w:ind w:right="-105" w:rightChars="-50" w:firstLine="422" w:firstLineChars="200"/>
              <w:jc w:val="center"/>
              <w:rPr>
                <w:rFonts w:ascii="Times New Roman" w:hAnsi="Times New Roman" w:cs="Times New Roman"/>
                <w:b/>
                <w:bCs w:val="0"/>
              </w:rPr>
            </w:pPr>
          </w:p>
        </w:tc>
      </w:tr>
    </w:tbl>
    <w:p>
      <w:pPr>
        <w:spacing w:line="610" w:lineRule="exact"/>
        <w:ind w:right="-105" w:rightChars="-50" w:firstLine="643" w:firstLineChars="200"/>
        <w:rPr>
          <w:rFonts w:ascii="Times New Roman" w:hAnsi="Times New Roman" w:eastAsia="方正黑体简体" w:cs="Times New Roman"/>
          <w:b/>
          <w:bCs w:val="0"/>
          <w:color w:val="000000"/>
          <w:kern w:val="0"/>
          <w:sz w:val="32"/>
          <w:szCs w:val="32"/>
        </w:rPr>
      </w:pPr>
      <w:r>
        <w:rPr>
          <w:rFonts w:ascii="Times New Roman" w:hAnsi="Times New Roman" w:eastAsia="方正黑体简体" w:cs="Times New Roman"/>
          <w:b/>
          <w:bCs w:val="0"/>
          <w:color w:val="000000"/>
          <w:kern w:val="0"/>
          <w:sz w:val="32"/>
          <w:szCs w:val="32"/>
        </w:rPr>
        <w:t>五、存在的主要问题及改进情况</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2023年，从总体上看，我镇在政务公开工作中进行了一些积极的探索，各阶段工作抓得紧，要求严，取得了一定的实效。但与区政府的要求相比还存在一定的差距和不足，主要存在问题有：一是对政务公开的界定还不够明确，并存在公开不及时的情况；二是对所属单位的检查指导较少；三是配套制度还有待于进一步健全。针对存在的问题，下一步，我们将抓好以下几个方面的工作：一是进一步规范和完善政务公开的内容、形式，对涉及人民群众关心的重大问题、重大决策应及时公开，同时有区别地抓好对内与对外公开，提高公开针对性。二是组织业务培训，进一步提升政务公开工作人员的业务能力和工作水平。三是建立依申请公开的审批流程，进一步方便人民群众查阅相关信息。 </w:t>
      </w:r>
    </w:p>
    <w:p>
      <w:pPr>
        <w:spacing w:line="610" w:lineRule="exact"/>
        <w:ind w:right="-105" w:rightChars="-50" w:firstLine="643" w:firstLineChars="200"/>
        <w:rPr>
          <w:rFonts w:ascii="Times New Roman" w:hAnsi="Times New Roman" w:eastAsia="方正黑体简体" w:cs="Times New Roman"/>
          <w:b/>
          <w:bCs w:val="0"/>
          <w:color w:val="000000"/>
          <w:kern w:val="0"/>
          <w:sz w:val="32"/>
          <w:szCs w:val="32"/>
        </w:rPr>
      </w:pPr>
      <w:r>
        <w:rPr>
          <w:rFonts w:ascii="Times New Roman" w:hAnsi="Times New Roman" w:eastAsia="方正黑体简体" w:cs="Times New Roman"/>
          <w:b/>
          <w:bCs w:val="0"/>
          <w:color w:val="000000"/>
          <w:kern w:val="0"/>
          <w:sz w:val="32"/>
          <w:szCs w:val="32"/>
        </w:rPr>
        <w:t>六、其他需要报告的事项</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（一）依据《政府公开信息处理费管理办法》收取信息处理费的情况。</w:t>
      </w:r>
    </w:p>
    <w:p>
      <w:pPr>
        <w:pStyle w:val="6"/>
        <w:widowControl/>
        <w:spacing w:beforeAutospacing="0" w:afterAutospacing="0" w:line="420" w:lineRule="atLeast"/>
        <w:ind w:right="-105" w:rightChars="-50" w:firstLine="643" w:firstLineChars="200"/>
        <w:rPr>
          <w:rFonts w:ascii="Times New Roman" w:hAnsi="Times New Roman" w:eastAsia="方正仿宋简体" w:cs="Times New Roman"/>
          <w:b/>
          <w:bCs w:val="0"/>
          <w:color w:val="000000"/>
          <w:kern w:val="0"/>
          <w:sz w:val="32"/>
          <w:szCs w:val="32"/>
          <w:lang w:val="en-US" w:eastAsia="zh-CN" w:bidi="ar-SA"/>
        </w:rPr>
      </w:pPr>
      <w:r>
        <w:rPr>
          <w:rFonts w:ascii="Times New Roman" w:hAnsi="Times New Roman" w:eastAsia="方正仿宋简体" w:cs="Times New Roman"/>
          <w:b/>
          <w:bCs w:val="0"/>
          <w:color w:val="000000"/>
          <w:kern w:val="0"/>
          <w:sz w:val="32"/>
          <w:szCs w:val="32"/>
          <w:lang w:val="en-US" w:eastAsia="zh-CN" w:bidi="ar-SA"/>
        </w:rPr>
        <w:t>本年度</w:t>
      </w:r>
      <w:r>
        <w:rPr>
          <w:rFonts w:hint="eastAsia" w:ascii="Times New Roman" w:hAnsi="Times New Roman" w:eastAsia="方正仿宋简体" w:cs="Times New Roman"/>
          <w:b/>
          <w:bCs w:val="0"/>
          <w:color w:val="000000"/>
          <w:kern w:val="0"/>
          <w:sz w:val="32"/>
          <w:szCs w:val="32"/>
          <w:lang w:val="en-US" w:eastAsia="zh-CN" w:bidi="ar-SA"/>
        </w:rPr>
        <w:t>颜店镇</w:t>
      </w:r>
      <w:r>
        <w:rPr>
          <w:rFonts w:ascii="Times New Roman" w:hAnsi="Times New Roman" w:eastAsia="方正仿宋简体" w:cs="Times New Roman"/>
          <w:b/>
          <w:bCs w:val="0"/>
          <w:color w:val="000000"/>
          <w:kern w:val="0"/>
          <w:sz w:val="32"/>
          <w:szCs w:val="32"/>
          <w:lang w:val="en-US" w:eastAsia="zh-CN" w:bidi="ar-SA"/>
        </w:rPr>
        <w:t>无收取信息处理费的情况。</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（二）落实上级年度政务公开工作要点情况</w:t>
      </w:r>
    </w:p>
    <w:p>
      <w:pPr>
        <w:spacing w:line="610" w:lineRule="exact"/>
        <w:ind w:right="-105" w:rightChars="-50" w:firstLine="643" w:firstLineChars="200"/>
        <w:rPr>
          <w:rFonts w:ascii="Times New Roman" w:hAnsi="Times New Roman" w:eastAsia="方正仿宋简体" w:cs="Times New Roman"/>
          <w:b/>
          <w:bCs w:val="0"/>
          <w:color w:val="000000"/>
          <w:kern w:val="0"/>
          <w:sz w:val="32"/>
          <w:szCs w:val="32"/>
        </w:rPr>
      </w:pPr>
      <w:r>
        <w:rPr>
          <w:rFonts w:ascii="Times New Roman" w:hAnsi="Times New Roman" w:eastAsia="方正仿宋简体" w:cs="Times New Roman"/>
          <w:b/>
          <w:bCs w:val="0"/>
          <w:color w:val="000000"/>
          <w:kern w:val="0"/>
          <w:sz w:val="32"/>
          <w:szCs w:val="32"/>
        </w:rPr>
        <w:t>2023年，我镇全面贯彻党的二十大精神，认真贯彻落实中央和省委、市委、县委关于全面推进政务公开工作决策部署，坚持“以公开促落实、以公开促规范、以公开促服务”的宗旨，以高度的政治责任感和务实严谨的工作作风，不断提高政务公开标准化、规范化水平，使政务公开工作迈上新台阶。</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（三）承办区级人大代表建议、政协提案情况</w:t>
      </w:r>
    </w:p>
    <w:p>
      <w:pPr>
        <w:pStyle w:val="6"/>
        <w:widowControl/>
        <w:spacing w:beforeAutospacing="0" w:afterAutospacing="0" w:line="420" w:lineRule="atLeast"/>
        <w:ind w:right="-105" w:rightChars="-50" w:firstLine="643" w:firstLineChars="200"/>
        <w:rPr>
          <w:rFonts w:ascii="Times New Roman" w:hAnsi="Times New Roman" w:eastAsia="方正仿宋简体"/>
          <w:b/>
          <w:bCs w:val="0"/>
          <w:sz w:val="32"/>
          <w:szCs w:val="32"/>
        </w:rPr>
      </w:pPr>
      <w:r>
        <w:rPr>
          <w:rFonts w:ascii="Times New Roman" w:hAnsi="Times New Roman" w:eastAsia="方正仿宋简体"/>
          <w:b/>
          <w:bCs w:val="0"/>
          <w:sz w:val="32"/>
          <w:szCs w:val="32"/>
        </w:rPr>
        <w:t>今年以来，颜店镇共承办区级人大代表建议0件、政协提案0件。</w:t>
      </w:r>
    </w:p>
    <w:p>
      <w:pPr>
        <w:pStyle w:val="6"/>
        <w:widowControl/>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（四）政务公开工作创新情况</w:t>
      </w:r>
    </w:p>
    <w:p>
      <w:pPr>
        <w:pStyle w:val="6"/>
        <w:widowControl/>
        <w:spacing w:beforeAutospacing="0" w:afterAutospacing="0" w:line="420" w:lineRule="atLeast"/>
        <w:ind w:right="-105" w:rightChars="-50" w:firstLine="643" w:firstLineChars="200"/>
        <w:rPr>
          <w:rFonts w:ascii="Times New Roman" w:hAnsi="Times New Roman" w:eastAsia="方正仿宋简体"/>
          <w:b/>
          <w:bCs w:val="0"/>
          <w:sz w:val="32"/>
          <w:szCs w:val="32"/>
        </w:rPr>
      </w:pPr>
      <w:r>
        <w:rPr>
          <w:rFonts w:ascii="Times New Roman" w:hAnsi="Times New Roman" w:eastAsia="方正仿宋简体"/>
          <w:b/>
          <w:bCs w:val="0"/>
          <w:color w:val="000000"/>
          <w:sz w:val="32"/>
          <w:szCs w:val="32"/>
        </w:rPr>
        <w:t>今年以来，我镇将政务公开与“12345”政务服务便民热线有机结合，以“12345”热线问题为导向，定期梳理企业群众关心关注的热点、难点问题，整理归纳形成共性问题台账。镇主要领导定期主持召开政务公开工作推进调度会议，对群众反映和日常咨询度高的问题，在调度的同时及时纳入公开清单目录，切实保障群众知情权、参与权、监督权，践行好政务公开为民宗旨。</w:t>
      </w:r>
    </w:p>
    <w:p>
      <w:pPr>
        <w:pStyle w:val="6"/>
        <w:widowControl/>
        <w:numPr>
          <w:ilvl w:val="0"/>
          <w:numId w:val="2"/>
        </w:numPr>
        <w:spacing w:beforeAutospacing="0" w:afterAutospacing="0" w:line="420" w:lineRule="atLeast"/>
        <w:ind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政府信息公开工作年度报告数据统计需要说明的事项。</w:t>
      </w:r>
    </w:p>
    <w:p>
      <w:pPr>
        <w:pStyle w:val="6"/>
        <w:widowControl/>
        <w:spacing w:beforeAutospacing="0" w:afterAutospacing="0" w:line="420" w:lineRule="atLeast"/>
        <w:ind w:right="-105" w:rightChars="-50" w:firstLine="643" w:firstLineChars="200"/>
        <w:rPr>
          <w:rFonts w:hint="eastAsia" w:ascii="Times New Roman" w:hAnsi="Times New Roman" w:eastAsia="方正仿宋简体"/>
          <w:b/>
          <w:bCs w:val="0"/>
          <w:color w:val="000000"/>
          <w:sz w:val="32"/>
          <w:szCs w:val="32"/>
          <w:lang w:val="en-US" w:eastAsia="zh-CN"/>
        </w:rPr>
      </w:pPr>
      <w:r>
        <w:rPr>
          <w:rFonts w:hint="eastAsia" w:ascii="Times New Roman" w:hAnsi="Times New Roman" w:eastAsia="方正仿宋简体"/>
          <w:b/>
          <w:bCs w:val="0"/>
          <w:color w:val="000000"/>
          <w:sz w:val="32"/>
          <w:szCs w:val="32"/>
          <w:lang w:val="en-US" w:eastAsia="zh-CN"/>
        </w:rPr>
        <w:t>无</w:t>
      </w:r>
    </w:p>
    <w:p>
      <w:pPr>
        <w:pStyle w:val="6"/>
        <w:widowControl/>
        <w:numPr>
          <w:ilvl w:val="0"/>
          <w:numId w:val="2"/>
        </w:numPr>
        <w:spacing w:beforeAutospacing="0" w:afterAutospacing="0" w:line="420" w:lineRule="atLeast"/>
        <w:ind w:left="0" w:leftChars="0"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其他需要报告的事项。</w:t>
      </w:r>
    </w:p>
    <w:p>
      <w:pPr>
        <w:pStyle w:val="6"/>
        <w:widowControl/>
        <w:numPr>
          <w:numId w:val="0"/>
        </w:numPr>
        <w:spacing w:beforeAutospacing="0" w:afterAutospacing="0" w:line="420" w:lineRule="atLeast"/>
        <w:ind w:leftChars="200" w:right="-105" w:rightChars="-50"/>
        <w:rPr>
          <w:rFonts w:hint="default" w:ascii="Times New Roman" w:hAnsi="Times New Roman" w:eastAsia="方正仿宋简体"/>
          <w:b/>
          <w:bCs w:val="0"/>
          <w:color w:val="000000"/>
          <w:sz w:val="32"/>
          <w:szCs w:val="32"/>
          <w:lang w:val="en-US" w:eastAsia="zh-CN"/>
        </w:rPr>
      </w:pPr>
      <w:r>
        <w:rPr>
          <w:rFonts w:hint="eastAsia" w:ascii="Times New Roman" w:hAnsi="Times New Roman" w:eastAsia="方正楷体简体"/>
          <w:b/>
          <w:bCs w:val="0"/>
          <w:color w:val="000000"/>
          <w:sz w:val="32"/>
          <w:szCs w:val="32"/>
          <w:lang w:val="en-US" w:eastAsia="zh-CN"/>
        </w:rPr>
        <w:t xml:space="preserve"> </w:t>
      </w:r>
      <w:r>
        <w:rPr>
          <w:rFonts w:hint="eastAsia" w:ascii="Times New Roman" w:hAnsi="Times New Roman" w:eastAsia="方正仿宋简体"/>
          <w:b/>
          <w:bCs w:val="0"/>
          <w:color w:val="000000"/>
          <w:sz w:val="32"/>
          <w:szCs w:val="32"/>
          <w:lang w:val="en-US" w:eastAsia="zh-CN"/>
        </w:rPr>
        <w:t xml:space="preserve"> 无</w:t>
      </w:r>
    </w:p>
    <w:p>
      <w:pPr>
        <w:pStyle w:val="6"/>
        <w:widowControl/>
        <w:numPr>
          <w:ilvl w:val="0"/>
          <w:numId w:val="2"/>
        </w:numPr>
        <w:spacing w:beforeAutospacing="0" w:afterAutospacing="0" w:line="420" w:lineRule="atLeast"/>
        <w:ind w:left="0" w:leftChars="0" w:right="-105" w:rightChars="-50" w:firstLine="643" w:firstLineChars="200"/>
        <w:rPr>
          <w:rFonts w:ascii="Times New Roman" w:hAnsi="Times New Roman" w:eastAsia="方正楷体简体"/>
          <w:b/>
          <w:bCs w:val="0"/>
          <w:color w:val="000000"/>
          <w:sz w:val="32"/>
          <w:szCs w:val="32"/>
        </w:rPr>
      </w:pPr>
      <w:r>
        <w:rPr>
          <w:rFonts w:ascii="Times New Roman" w:hAnsi="Times New Roman" w:eastAsia="方正楷体简体"/>
          <w:b/>
          <w:bCs w:val="0"/>
          <w:color w:val="000000"/>
          <w:sz w:val="32"/>
          <w:szCs w:val="32"/>
        </w:rPr>
        <w:t>其他有关文件专门要求通过政府信息公开工作年度报告予以报告的事项。</w:t>
      </w:r>
    </w:p>
    <w:p>
      <w:pPr>
        <w:pStyle w:val="6"/>
        <w:widowControl/>
        <w:spacing w:beforeAutospacing="0" w:afterAutospacing="0" w:line="420" w:lineRule="atLeast"/>
        <w:ind w:right="-105" w:rightChars="-50" w:firstLine="643" w:firstLineChars="200"/>
        <w:rPr>
          <w:rFonts w:hint="eastAsia" w:ascii="Times New Roman" w:hAnsi="Times New Roman" w:eastAsia="方正仿宋简体"/>
          <w:b/>
          <w:bCs w:val="0"/>
          <w:color w:val="000000"/>
          <w:sz w:val="32"/>
          <w:szCs w:val="32"/>
          <w:lang w:val="en-US" w:eastAsia="zh-CN"/>
        </w:rPr>
      </w:pPr>
      <w:r>
        <w:rPr>
          <w:rFonts w:hint="eastAsia" w:ascii="Times New Roman" w:hAnsi="Times New Roman" w:eastAsia="方正仿宋简体"/>
          <w:b/>
          <w:bCs w:val="0"/>
          <w:color w:val="000000"/>
          <w:sz w:val="32"/>
          <w:szCs w:val="32"/>
          <w:lang w:val="en-US" w:eastAsia="zh-CN"/>
        </w:rPr>
        <w:t>无</w:t>
      </w:r>
    </w:p>
    <w:p>
      <w:pPr>
        <w:pStyle w:val="6"/>
        <w:widowControl/>
        <w:spacing w:beforeAutospacing="0" w:afterAutospacing="0" w:line="420" w:lineRule="atLeast"/>
        <w:ind w:right="-105" w:rightChars="-50" w:firstLine="675" w:firstLineChars="200"/>
        <w:rPr>
          <w:rFonts w:ascii="Times New Roman" w:hAnsi="Times New Roman" w:eastAsia="方正仿宋简体"/>
          <w:b/>
          <w:bCs w:val="0"/>
          <w:spacing w:val="8"/>
          <w:kern w:val="2"/>
          <w:sz w:val="32"/>
          <w:szCs w:val="32"/>
          <w:shd w:val="clear" w:color="auto" w:fill="FFFFFF"/>
        </w:rPr>
      </w:pPr>
    </w:p>
    <w:sectPr>
      <w:pgSz w:w="11906" w:h="16838"/>
      <w:pgMar w:top="1984" w:right="1587" w:bottom="1559"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767DD"/>
    <w:multiLevelType w:val="singleLevel"/>
    <w:tmpl w:val="8AD767DD"/>
    <w:lvl w:ilvl="0" w:tentative="0">
      <w:start w:val="5"/>
      <w:numFmt w:val="chineseCounting"/>
      <w:suff w:val="nothing"/>
      <w:lvlText w:val="（%1）"/>
      <w:lvlJc w:val="left"/>
      <w:rPr>
        <w:rFonts w:hint="eastAsia"/>
      </w:rPr>
    </w:lvl>
  </w:abstractNum>
  <w:abstractNum w:abstractNumId="1">
    <w:nsid w:val="4EA843B7"/>
    <w:multiLevelType w:val="singleLevel"/>
    <w:tmpl w:val="4EA843B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NzlkMjliMTYxNTk2OWIzNTllODgyMjQzMmIzMzgifQ=="/>
  </w:docVars>
  <w:rsids>
    <w:rsidRoot w:val="00C021E8"/>
    <w:rsid w:val="003372C2"/>
    <w:rsid w:val="00C021E8"/>
    <w:rsid w:val="00E0678F"/>
    <w:rsid w:val="029B6176"/>
    <w:rsid w:val="03A2514E"/>
    <w:rsid w:val="086504F8"/>
    <w:rsid w:val="08BF40AC"/>
    <w:rsid w:val="0EAF2944"/>
    <w:rsid w:val="0F194CB3"/>
    <w:rsid w:val="0F4946D0"/>
    <w:rsid w:val="12614426"/>
    <w:rsid w:val="15EF62F8"/>
    <w:rsid w:val="198C4157"/>
    <w:rsid w:val="214D44F3"/>
    <w:rsid w:val="21B26995"/>
    <w:rsid w:val="2DBC018C"/>
    <w:rsid w:val="347B0F20"/>
    <w:rsid w:val="38BF587F"/>
    <w:rsid w:val="425A2175"/>
    <w:rsid w:val="43C2266A"/>
    <w:rsid w:val="49C34AA3"/>
    <w:rsid w:val="53D77AC9"/>
    <w:rsid w:val="552E259D"/>
    <w:rsid w:val="58E56B4C"/>
    <w:rsid w:val="598168C3"/>
    <w:rsid w:val="5FC943B4"/>
    <w:rsid w:val="6C225795"/>
    <w:rsid w:val="6E8D7D3A"/>
    <w:rsid w:val="741E09A4"/>
    <w:rsid w:val="7DD0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qFormat/>
    <w:uiPriority w:val="0"/>
  </w:style>
  <w:style w:type="paragraph" w:styleId="6">
    <w:name w:val="Normal (Web)"/>
    <w:basedOn w:val="1"/>
    <w:autoRedefine/>
    <w:qFormat/>
    <w:uiPriority w:val="0"/>
    <w:pPr>
      <w:spacing w:beforeAutospacing="1" w:afterAutospacing="1"/>
      <w:jc w:val="left"/>
    </w:pPr>
    <w:rPr>
      <w:rFonts w:cs="Times New Roman"/>
      <w:kern w:val="0"/>
      <w:sz w:val="24"/>
    </w:rPr>
  </w:style>
  <w:style w:type="character" w:styleId="9">
    <w:name w:val="Strong"/>
    <w:basedOn w:val="8"/>
    <w:autoRedefine/>
    <w:qFormat/>
    <w:uiPriority w:val="22"/>
    <w:rPr>
      <w:b/>
      <w:bCs/>
    </w:rPr>
  </w:style>
  <w:style w:type="character" w:customStyle="1" w:styleId="10">
    <w:name w:val="页眉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mn-lt"/>
                <a:ea typeface="+mn-ea"/>
                <a:cs typeface="+mn-cs"/>
              </a:defRPr>
            </a:pPr>
            <a:r>
              <a:t>主动公开情况</a:t>
            </a:r>
          </a:p>
        </c:rich>
      </c:tx>
      <c:layout/>
      <c:overlay val="0"/>
      <c:spPr>
        <a:noFill/>
        <a:ln>
          <a:noFill/>
        </a:ln>
        <a:effectLst/>
      </c:spPr>
    </c:title>
    <c:autoTitleDeleted val="0"/>
    <c:plotArea>
      <c:layout/>
      <c:pieChart>
        <c:varyColors val="1"/>
        <c:ser>
          <c:idx val="0"/>
          <c:order val="0"/>
          <c:tx>
            <c:strRef>
              <c:f>Sheet1!$B$1</c:f>
              <c:strCache>
                <c:ptCount val="1"/>
                <c:pt idx="0">
                  <c:v>主动公开情况</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forceAA="0"/>
              <a:lstStyle/>
              <a:p>
                <a:pPr>
                  <a:defRPr lang="zh-CN" sz="1000" b="1" i="0" u="none" strike="noStrike" kern="1200" baseline="0">
                    <a:solidFill>
                      <a:schemeClr val="bg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Sheet1!$A$2:$A$8</c:f>
              <c:strCache>
                <c:ptCount val="7"/>
                <c:pt idx="0">
                  <c:v>非政策性文件</c:v>
                </c:pt>
                <c:pt idx="1">
                  <c:v>应急管理类信息</c:v>
                </c:pt>
                <c:pt idx="2">
                  <c:v>招考录用信息</c:v>
                </c:pt>
                <c:pt idx="3">
                  <c:v>公共服务信息</c:v>
                </c:pt>
                <c:pt idx="4">
                  <c:v>组织管理类信息</c:v>
                </c:pt>
                <c:pt idx="5">
                  <c:v>公告公示</c:v>
                </c:pt>
                <c:pt idx="6">
                  <c:v>主动公开基本项目</c:v>
                </c:pt>
              </c:strCache>
            </c:strRef>
          </c:cat>
          <c:val>
            <c:numRef>
              <c:f>Sheet1!$B$2:$B$8</c:f>
              <c:numCache>
                <c:formatCode>General</c:formatCode>
                <c:ptCount val="7"/>
                <c:pt idx="0">
                  <c:v>12</c:v>
                </c:pt>
                <c:pt idx="1">
                  <c:v>4</c:v>
                </c:pt>
                <c:pt idx="2">
                  <c:v>1</c:v>
                </c:pt>
                <c:pt idx="3">
                  <c:v>1</c:v>
                </c:pt>
                <c:pt idx="4">
                  <c:v>5</c:v>
                </c:pt>
                <c:pt idx="5">
                  <c:v>2</c:v>
                </c:pt>
                <c:pt idx="6">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1】">
    <a:dk1>
      <a:srgbClr val="000000"/>
    </a:dk1>
    <a:lt1>
      <a:srgbClr val="FFFFFF"/>
    </a:lt1>
    <a:dk2>
      <a:srgbClr val="0C0E1F"/>
    </a:dk2>
    <a:lt2>
      <a:srgbClr val="FEFFFF"/>
    </a:lt2>
    <a:accent1>
      <a:srgbClr val="4F81FF"/>
    </a:accent1>
    <a:accent2>
      <a:srgbClr val="16CC8A"/>
    </a:accent2>
    <a:accent3>
      <a:srgbClr val="FFC619"/>
    </a:accent3>
    <a:accent4>
      <a:srgbClr val="FF8041"/>
    </a:accent4>
    <a:accent5>
      <a:srgbClr val="F95F5F"/>
    </a:accent5>
    <a:accent6>
      <a:srgbClr val="A15C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7</Pages>
  <Words>2962</Words>
  <Characters>3051</Characters>
  <Lines>23</Lines>
  <Paragraphs>6</Paragraphs>
  <TotalTime>1</TotalTime>
  <ScaleCrop>false</ScaleCrop>
  <LinksUpToDate>false</LinksUpToDate>
  <CharactersWithSpaces>3055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2024-01-22T06:52:00Z</dcterms:created>
  <dc:creator>Administrator</dc:creator>
  <cp:lastModifiedBy>憬</cp:lastModifiedBy>
  <dcterms:modified xsi:type="dcterms:W3CDTF">2024-01-25T09:10:11Z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CBD3FD93E0C64FA69195B75CBF7E9843_13</vt:lpwstr>
  </property>
</Properties>
</file>