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val="0"/>
          <w:color w:val="auto"/>
          <w:spacing w:val="-20"/>
          <w:w w:val="95"/>
          <w:sz w:val="44"/>
          <w:szCs w:val="44"/>
        </w:rPr>
      </w:pPr>
      <w:bookmarkStart w:id="0" w:name="_GoBack"/>
      <w:bookmarkEnd w:id="0"/>
      <w:r>
        <w:rPr>
          <w:rFonts w:hint="default" w:ascii="Times New Roman" w:hAnsi="Times New Roman" w:eastAsia="方正小标宋简体" w:cs="Times New Roman"/>
          <w:b w:val="0"/>
          <w:bCs w:val="0"/>
          <w:color w:val="auto"/>
          <w:spacing w:val="-20"/>
          <w:w w:val="95"/>
          <w:sz w:val="44"/>
          <w:szCs w:val="44"/>
          <w:lang w:eastAsia="zh-CN"/>
        </w:rPr>
        <w:t>济宁市</w:t>
      </w:r>
      <w:r>
        <w:rPr>
          <w:rFonts w:hint="default" w:ascii="Times New Roman" w:hAnsi="Times New Roman" w:eastAsia="方正小标宋简体" w:cs="Times New Roman"/>
          <w:b w:val="0"/>
          <w:bCs w:val="0"/>
          <w:color w:val="auto"/>
          <w:spacing w:val="-20"/>
          <w:w w:val="95"/>
          <w:sz w:val="44"/>
          <w:szCs w:val="44"/>
          <w:lang w:val="en-US" w:eastAsia="zh-CN"/>
        </w:rPr>
        <w:t>兖州区</w:t>
      </w:r>
      <w:r>
        <w:rPr>
          <w:rFonts w:hint="default" w:ascii="Times New Roman" w:hAnsi="Times New Roman" w:eastAsia="方正小标宋简体" w:cs="Times New Roman"/>
          <w:b w:val="0"/>
          <w:bCs w:val="0"/>
          <w:color w:val="auto"/>
          <w:spacing w:val="-20"/>
          <w:w w:val="95"/>
          <w:sz w:val="44"/>
          <w:szCs w:val="44"/>
        </w:rPr>
        <w:t>安全生产治本攻坚三年行动</w:t>
      </w:r>
      <w:r>
        <w:rPr>
          <w:rFonts w:hint="default" w:ascii="Times New Roman" w:hAnsi="Times New Roman" w:eastAsia="方正小标宋简体" w:cs="Times New Roman"/>
          <w:b w:val="0"/>
          <w:bCs w:val="0"/>
          <w:color w:val="auto"/>
          <w:spacing w:val="-20"/>
          <w:w w:val="95"/>
          <w:sz w:val="44"/>
          <w:szCs w:val="44"/>
          <w:lang w:eastAsia="zh-CN"/>
        </w:rPr>
        <w:t>实施</w:t>
      </w:r>
      <w:r>
        <w:rPr>
          <w:rFonts w:hint="default" w:ascii="Times New Roman" w:hAnsi="Times New Roman" w:eastAsia="方正小标宋简体" w:cs="Times New Roman"/>
          <w:b w:val="0"/>
          <w:bCs w:val="0"/>
          <w:color w:val="auto"/>
          <w:spacing w:val="-20"/>
          <w:w w:val="95"/>
          <w:sz w:val="44"/>
          <w:szCs w:val="44"/>
        </w:rPr>
        <w:t>方案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（2024—2026年）</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val="0"/>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为认真贯彻落实习近平总书记关于安全生产系列重要指示精神，进一步夯实安全生产工作基础，从根本上消除重大事故隐患，坚决杜绝较大事故及重特大事故，防范遏制一般事故，根据国家和省、市方案要求，结合我区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rPr>
        <w:t>（一）指导思想。</w:t>
      </w:r>
      <w:r>
        <w:rPr>
          <w:rFonts w:hint="default" w:ascii="Times New Roman" w:hAnsi="Times New Roman" w:eastAsia="仿宋_GB2312" w:cs="Times New Roman"/>
          <w:b w:val="0"/>
          <w:bCs w:val="0"/>
          <w:color w:val="auto"/>
          <w:sz w:val="32"/>
          <w:szCs w:val="32"/>
          <w:lang w:val="en-US" w:eastAsia="zh-CN"/>
        </w:rPr>
        <w:t>以习近平新时代中国特色社会主义思想为指导，全面贯彻党的二十大精神，坚持人民至上、生命至上，坚持安全第一、预防为主，坚持标本兼治、重在治本，将防范遏制生产安全事故的关口前移到管控风险、整治隐患上来，着力消减重点行业、重点领域容易导致群死群伤的重大风险，着力消除由于重大风险管控措施缺失或执行不到位而形成的重大事故隐患，着力整治群众身边易发多发的突出风险隐患。开展安全生产治本攻坚“八大行动”，持续深化“五项整治”，落细落实安全生产“十五条”硬措施和“八抓20条”创新措施，在安全理念、安全责任、安全规划、安全法治、安全标准、安全科技、安全工程、安全素质等方面补短板、强弱项，把安全发展贯穿全区经济发展各领域和全过程，切实提高风险隐患排查整改质量、切实提升发现问题和解决问题的强烈意愿和能力水平，推动重大事故隐患动态清零，不断提升本质安全水平，加快推进安全生产治理体系和治理能力现代化，加快推进安全生产治理模式向事前预防转型，加快推进高质量发展和高水平安全良性互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方正楷体简体" w:cs="Times New Roman"/>
          <w:b w:val="0"/>
          <w:bCs w:val="0"/>
          <w:color w:val="auto"/>
          <w:sz w:val="32"/>
          <w:szCs w:val="32"/>
        </w:rPr>
        <w:t>（二）主要目标。</w:t>
      </w:r>
      <w:r>
        <w:rPr>
          <w:rFonts w:hint="default" w:ascii="Times New Roman" w:hAnsi="Times New Roman" w:eastAsia="仿宋_GB2312" w:cs="Times New Roman"/>
          <w:b w:val="0"/>
          <w:bCs w:val="0"/>
          <w:color w:val="auto"/>
          <w:sz w:val="32"/>
          <w:szCs w:val="32"/>
          <w:lang w:val="en-US" w:eastAsia="zh-CN"/>
        </w:rPr>
        <w:t>通过三年治本攻坚，全区安全生产治理体系和治理能力建设取得重大进展，隐患排查整改质量明显提高，重大安全风险得到有效管控，本质安全水平持续提升，安全生产形势持续稳定向好，杜绝发生较大及以上生产安全事故，有效防范发生生产安全一般事故。实现“四个转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安全发展理念向事前预防转型。各镇（街）党（工）委政府（办事处）、部门和生产经营单位统筹发展和安全的理念进一步强化，坚守安全红线的意识更加强烈，消减重大安全风险、消除重大事故隐患的积极性主动性显著增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安全监管体制机制向事前预防转型。“党政同责、一岗双责、齐抓共管、失职追责”安全生产责任制进一步健全，涉及安全生产的所有领域、所有事项都有部门主管和监管，重点行业领域建立健全“一件事”由牵头部门组织推动、各相关部门齐抓共管，全链条排查整治重大事故隐患的责任体系，安全监管能力显著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风险防控手段向事前预防转型。针对重大安全风险的一批“人防、技防、工程防、管理防”措施落地见效，法规制度和标准体系健全完善，源头管控和安全准入制度体系进一步健全，安全风险分析和监测预警机制逐步完善，本质安全水平大幅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隐患排查治理模式向事前预防转型。重大事故隐患得到系统治理，2024年全部消除2023年及以前排查发现的重大事故隐患存量，2025年底前有效遏制重大事故隐患增量，2026年底前形成重大事故隐患动态清零的常态化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二、聚力实施“八大行动”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聚焦人员素质、基层基础、重大事故隐患、监管执法、重点行业领域五个方面，从安全培训、警示教育、技术设备、应急处置等方面强化提升，加大安全生产落后工艺、材料、设备等淘汰退出力度，不断完善</w:t>
      </w:r>
      <w:r>
        <w:rPr>
          <w:rFonts w:hint="default" w:ascii="Times New Roman" w:hAnsi="Times New Roman" w:eastAsia="仿宋_GB2312" w:cs="Times New Roman"/>
          <w:b w:val="0"/>
          <w:bCs w:val="0"/>
          <w:color w:val="auto"/>
          <w:sz w:val="32"/>
          <w:szCs w:val="32"/>
          <w:lang w:val="en-US" w:eastAsia="zh-CN"/>
        </w:rPr>
        <w:t>各园区</w:t>
      </w:r>
      <w:r>
        <w:rPr>
          <w:rFonts w:hint="default" w:ascii="Times New Roman" w:hAnsi="Times New Roman" w:eastAsia="仿宋_GB2312" w:cs="Times New Roman"/>
          <w:b w:val="0"/>
          <w:bCs w:val="0"/>
          <w:color w:val="auto"/>
          <w:sz w:val="32"/>
          <w:szCs w:val="32"/>
        </w:rPr>
        <w:t>安全监管，建立健全重大事故隐患排查治理体系和督办制度，突出重点区域、重点部位、重点环节、重点事项，大力开展安全生产治本攻坚</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八大行动</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（一）开展生产经营单位主要负责人安全教育培训行动。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highlight w:val="none"/>
          <w:lang w:val="en-US" w:eastAsia="zh-CN"/>
        </w:rPr>
        <w:t>1.根据国家和省、市统一部署，</w:t>
      </w:r>
      <w:r>
        <w:rPr>
          <w:rFonts w:hint="default" w:ascii="Times New Roman" w:hAnsi="Times New Roman" w:eastAsia="仿宋_GB2312" w:cs="Times New Roman"/>
          <w:b w:val="0"/>
          <w:bCs w:val="0"/>
          <w:color w:val="auto"/>
          <w:sz w:val="32"/>
          <w:szCs w:val="32"/>
          <w:lang w:val="en-US" w:eastAsia="zh-CN"/>
        </w:rPr>
        <w:t>集中开展重点行业领域生产经营单位主要负责人专题安全教育培训，推动相关重点行业领域生产经营单位主要负责人教育培训全覆盖，并同步请有关安全监管人员跟班参加培训。2024年，重点开展煤矿、工贸行业涉有限空间、粉尘涉爆、建筑施工、市政工程、燃气经营、规模以上道路运输等企业主要负责人、二级三级医院消防安全责任人集中培训；2025年，重点开展涉氨制冷、危化品生产、经营、储存、运输等企业和民政养老机构主要负责人、寄宿制学校、重点文物保护等单位消防安全责任人集中培训；2026年，重点开展工贸行业劳动密集型企业、污水处理、粮食储备库、大型仓储物流基地、电力企业主要负责人和大型商超消防安全责任人集中培训。各镇（街道）、园区及区安委会有关成员单位要结合实际，组织对未覆盖到的有关重点行业领域生产经营单位主要负责人开展安全教育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（二）开展重大事故隐患判定标准</w:t>
      </w:r>
      <w:r>
        <w:rPr>
          <w:rFonts w:hint="default" w:ascii="Times New Roman" w:hAnsi="Times New Roman" w:eastAsia="楷体_GB2312" w:cs="Times New Roman"/>
          <w:b w:val="0"/>
          <w:bCs w:val="0"/>
          <w:color w:val="auto"/>
          <w:sz w:val="32"/>
          <w:szCs w:val="32"/>
          <w:lang w:eastAsia="zh-CN"/>
        </w:rPr>
        <w:t>落地行动</w:t>
      </w:r>
      <w:r>
        <w:rPr>
          <w:rFonts w:hint="default" w:ascii="Times New Roman" w:hAnsi="Times New Roman" w:eastAsia="楷体_GB2312" w:cs="Times New Roman"/>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根据国家重大事故隐患判定标准制修订情况，分行业领域组织有关专家对重大事故隐患判定标准等进行解读，督促企业利用“学习强安”“济宁应急”公众号等平台，通过参加普法竞赛、在线学习测试、典型经验推广、收看判定标准解读视频等形式，引导企业主动学习贯彻，确保所有生产经营单位全覆盖。指导督促企业在真学真用上下功夫，定期开展本行业领域重大事故隐患判定标准专题学习，要求企业主要负责人领学带学，并纳入企业“晨会”必学内容，纳入本单位安全生产培训必学必考内容。区安全监管部门和行业主管部门要分行业领域建立执法检查、安全监管重点事项清单，企业建立落实重大事故隐患排查重点事项清单。各安全监管部门和行业主管部门要坚持凡监管必宣讲、凡执法必宣讲，将重大事故隐患判定标准贯彻落实情况作为安全生产执法监管的必查内容，加大企业一线从业人员学习掌握情况的抽查检查力度，采取现场询问、现场测试等形式，核查真实情况。不断深化标准建设成果运用，制修订有关制度文件时，将重大事故隐患判定标准纳入重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（三）开展重大事故隐患动态清零行动。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健全完善生产经营单位重大事故隐患自查自改常态化机制，生产经营单位主要负责人要每季度带队对本单位重大事故隐患排查整治情况至少开展1次检查（高危行业领域每月至少1次），完善并落实生产经营单位全员安全生产岗位责任制。完善行业领域专家、企业退休技安人员以及专业技术服务机构参与排查整治工作的长效机制，加大支撑保障力度，提高排查整治专业性。对于未开展排查、明明有问题却查不出或者查出后拒不整改等导致重大事故隐患长期存在的，参照事故调查处理，查清问题并依法依规严肃责任追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完善重大事故隐患治理的督办制度，区级及以上查处的重大事故隐患一律实行挂牌督办，建立负有安全监管和行业主管职责的有关部门审核把关销号机制，加大专业指导力度，确保重大隐患闭环整改到位。2024年底前，建立健全分镇街、分行业重大事故隐患统计分析机制，对进展缓慢的及时采取函告、通报、约谈、曝光等措施。深入贯彻实施《山东省生产经营单位安全生产主体责任规定》，进一步落实事故隐患排查治理规定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健全重大事故隐患数据库，2024年底前加强数据库运用管理，实现企业自查上报、督导检查发现、群众举报查实等各渠道排查的重大事故隐患全量汇总，推动重大事故隐患信息共享集中。及时将重大事故隐患信息通知到相关生产经营单位的主要负责人、实际控制人，实行清单制管理并动态更新整改落实情况，推动照单逐条整改销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因地制宜建立完善各类发展规划的安全风险评估会商机制，有效衔接国土空间规划和全国自然灾害综合风险普查成果等，按照地区实际制定工业园区、化工园区等重点区域安全生产禁止和限制类产业目录，严格准入，强化重大安全风险源头管控。2024年底前，对山东兖矿国际焦化有限公司、山东华胜能源有限公司、济宁市兖州区银泉精细化工有限公司、山东百盛生物科技有限公司、凯米拉化学品（兖州）有限公司、凯米拉天成万丰化学品（兖州）有限公司六家危险化学品生产企业安全许可条件组织开展“回头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7.突出抓好园区风险隐患排查治理，推动各园区按照规定要求及时开展整体性安全风险评估，化工园区常态化开展风险辨识和评估，落实风险管控措施，实现重大风险可控在控。</w:t>
      </w:r>
      <w:r>
        <w:rPr>
          <w:rFonts w:hint="default" w:ascii="Times New Roman" w:hAnsi="Times New Roman" w:eastAsia="仿宋_GB2312" w:cs="Times New Roman"/>
          <w:b w:val="0"/>
          <w:bCs w:val="0"/>
          <w:color w:val="auto"/>
          <w:sz w:val="32"/>
          <w:szCs w:val="32"/>
          <w:highlight w:val="none"/>
          <w:lang w:val="en-US" w:eastAsia="zh-CN"/>
        </w:rPr>
        <w:t>所有园区按照标准要求配齐安全监管人员</w:t>
      </w:r>
      <w:r>
        <w:rPr>
          <w:rFonts w:hint="default" w:ascii="Times New Roman" w:hAnsi="Times New Roman" w:eastAsia="仿宋_GB2312" w:cs="Times New Roman"/>
          <w:b w:val="0"/>
          <w:bCs w:val="0"/>
          <w:color w:val="auto"/>
          <w:sz w:val="32"/>
          <w:szCs w:val="32"/>
          <w:lang w:val="en-US" w:eastAsia="zh-CN"/>
        </w:rPr>
        <w:t>，组织申报规范化建设试点，总结形成可复制可推广的经验模式。2025年底前，按照上级发布的功能区安全生产规范化建设标准，全面推广规范化建设。2026年底前，全区所有园区完成规范化建设。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强化事故调查追责问责力度，对于发生的生产安全责任事故，从严倒查追究企业主体责任特别是主要负责人第一责任，加大行刑衔接力度，对造成人员死亡的生产安全责任事故，涉嫌刑事犯罪的，按规定启动刑事调查；对性质恶劣、社会影响大、冲击人民安全感的事故以及瞒报谎报事故，按规定严格调查。通过对事故企业的严肃行政处罚和严厉刑事追责，倒逼全区其他企业特别是同行业企业切实落实主体责任，推动企业安全生产管理由事后处置向事前预防转型。2024年底前，进一步提高事故调查质量效率，提升调查人员素质能力。2025年底前，对事故调查实行规范化标准化管理，利用安全生产严重失信主体名单管理体系惩戒安全生产违法违规人员和企业。2026年底前，健全完善事故调查追责问责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（四）开展安全科技支撑和工程治理行动。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9.加快推动安全生产监管模式向事前预防数字化转型，推进人工智能、大数据、物联网等技术与安全生产融合发展，持续加大危化品重大危险源、煤矿、建筑施工、交通运输、水利、能源、消防、粉尘涉爆、烟花爆竹、油气储存等行业领域安全风险监测预警系统建设应用和升级改造力度。2024年底前，推广运用危化品、煤矿等高危企业安全生产电力监测分析系统，涉粉作业10人以上金属粉尘、木粉尘企业全部接入监测预警系统，推进工贸行业分级分类监管系统运用。2025年底前，实现危化品重大危险源、煤矿、重点粉尘涉爆等企业安全风险监测预警全覆盖。基本建成智慧化火灾防控体系，全面推广“智慧工地”建设，实现对房屋建筑在建工程项目全覆盖监管。2026年底前，安全生产风险智能化管控能力显著增强，危化品、重点工贸行业全量纳入电力监测预警系统监测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10</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落实省先进适用技术装备推广及淘汰落后安全生产工艺技术设备目录，严格执行相关在用设备报废标准，</w:t>
      </w:r>
      <w:r>
        <w:rPr>
          <w:rFonts w:hint="default" w:ascii="Times New Roman" w:hAnsi="Times New Roman" w:eastAsia="仿宋_GB2312" w:cs="Times New Roman"/>
          <w:b w:val="0"/>
          <w:bCs w:val="0"/>
          <w:color w:val="auto"/>
          <w:sz w:val="32"/>
          <w:szCs w:val="32"/>
        </w:rPr>
        <w:t>加大危化品、</w:t>
      </w:r>
      <w:r>
        <w:rPr>
          <w:rFonts w:hint="default" w:ascii="Times New Roman" w:hAnsi="Times New Roman" w:eastAsia="仿宋_GB2312" w:cs="Times New Roman"/>
          <w:b w:val="0"/>
          <w:bCs w:val="0"/>
          <w:color w:val="auto"/>
          <w:sz w:val="32"/>
          <w:szCs w:val="32"/>
          <w:lang w:val="en-US" w:eastAsia="zh-CN"/>
        </w:rPr>
        <w:t>煤矿</w:t>
      </w:r>
      <w:r>
        <w:rPr>
          <w:rFonts w:hint="default" w:ascii="Times New Roman" w:hAnsi="Times New Roman" w:eastAsia="仿宋_GB2312" w:cs="Times New Roman"/>
          <w:b w:val="0"/>
          <w:bCs w:val="0"/>
          <w:color w:val="auto"/>
          <w:sz w:val="32"/>
          <w:szCs w:val="32"/>
        </w:rPr>
        <w:t>、工贸、烟花爆竹、建设施工、交通运输、燃气等行业领域淘汰更新力度。依法加快推进</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小散乱</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企业</w:t>
      </w:r>
      <w:r>
        <w:rPr>
          <w:rFonts w:hint="default" w:ascii="Times New Roman" w:hAnsi="Times New Roman" w:eastAsia="仿宋_GB2312" w:cs="Times New Roman"/>
          <w:b w:val="0"/>
          <w:bCs w:val="0"/>
          <w:color w:val="auto"/>
          <w:sz w:val="32"/>
          <w:szCs w:val="32"/>
          <w:lang w:eastAsia="zh-CN"/>
        </w:rPr>
        <w:t>有序关闭</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老旧</w:t>
      </w:r>
      <w:r>
        <w:rPr>
          <w:rFonts w:hint="default" w:ascii="Times New Roman" w:hAnsi="Times New Roman" w:eastAsia="仿宋_GB2312" w:cs="Times New Roman"/>
          <w:b w:val="0"/>
          <w:bCs w:val="0"/>
          <w:color w:val="auto"/>
          <w:sz w:val="32"/>
          <w:szCs w:val="32"/>
        </w:rPr>
        <w:t>化工生产装置改造提升、</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大吨小标</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货车违规生产销售治理</w:t>
      </w:r>
      <w:r>
        <w:rPr>
          <w:rFonts w:hint="default" w:ascii="Times New Roman" w:hAnsi="Times New Roman" w:eastAsia="仿宋_GB2312" w:cs="Times New Roman"/>
          <w:b w:val="0"/>
          <w:bCs w:val="0"/>
          <w:color w:val="auto"/>
          <w:sz w:val="32"/>
          <w:szCs w:val="32"/>
          <w:lang w:eastAsia="zh-CN"/>
        </w:rPr>
        <w:t>、老旧</w:t>
      </w:r>
      <w:r>
        <w:rPr>
          <w:rFonts w:hint="default" w:ascii="Times New Roman" w:hAnsi="Times New Roman" w:eastAsia="仿宋_GB2312" w:cs="Times New Roman"/>
          <w:b w:val="0"/>
          <w:bCs w:val="0"/>
          <w:color w:val="auto"/>
          <w:sz w:val="32"/>
          <w:szCs w:val="32"/>
          <w:lang w:val="en-US" w:eastAsia="zh-CN"/>
        </w:rPr>
        <w:t>长输油气管道改造治理。2024年底前，完成农村公路危桥动态清零工作，三级及以上村道安防工程5公里。2025年6月底前，危险化学品生产企业老旧装置动态问题隐患全部整改销号。2026年底前，本籍“百吨王”货车实现动态清零，危化品生产企业老旧装置关键动静设备、压力容器管线等重点设备设施对标完成改造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聚焦</w:t>
      </w:r>
      <w:r>
        <w:rPr>
          <w:rFonts w:hint="default" w:ascii="Times New Roman" w:hAnsi="Times New Roman" w:eastAsia="仿宋_GB2312" w:cs="Times New Roman"/>
          <w:b w:val="0"/>
          <w:bCs w:val="0"/>
          <w:color w:val="auto"/>
          <w:sz w:val="32"/>
          <w:szCs w:val="32"/>
        </w:rPr>
        <w:t>突出重大风险隐患，加大安全生产科技项目攻关力度</w:t>
      </w:r>
      <w:r>
        <w:rPr>
          <w:rFonts w:hint="default" w:ascii="Times New Roman" w:hAnsi="Times New Roman" w:eastAsia="仿宋_GB2312" w:cs="Times New Roman"/>
          <w:b w:val="0"/>
          <w:bCs w:val="0"/>
          <w:color w:val="auto"/>
          <w:sz w:val="32"/>
          <w:szCs w:val="32"/>
          <w:lang w:eastAsia="zh-CN"/>
        </w:rPr>
        <w:t>，加快突破重要安全生产装备关键核心技术</w:t>
      </w:r>
      <w:r>
        <w:rPr>
          <w:rFonts w:hint="default" w:ascii="Times New Roman" w:hAnsi="Times New Roman" w:eastAsia="仿宋_GB2312" w:cs="Times New Roman"/>
          <w:b w:val="0"/>
          <w:bCs w:val="0"/>
          <w:color w:val="auto"/>
          <w:sz w:val="32"/>
          <w:szCs w:val="32"/>
        </w:rPr>
        <w:t>。大力推进</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机械化换人、自动化减人</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，提升</w:t>
      </w:r>
      <w:r>
        <w:rPr>
          <w:rFonts w:hint="default" w:ascii="Times New Roman" w:hAnsi="Times New Roman" w:eastAsia="仿宋_GB2312" w:cs="Times New Roman"/>
          <w:b w:val="0"/>
          <w:bCs w:val="0"/>
          <w:color w:val="auto"/>
          <w:sz w:val="32"/>
          <w:szCs w:val="32"/>
          <w:lang w:val="en-US" w:eastAsia="zh-CN"/>
        </w:rPr>
        <w:t>煤矿</w:t>
      </w:r>
      <w:r>
        <w:rPr>
          <w:rFonts w:hint="default" w:ascii="Times New Roman" w:hAnsi="Times New Roman" w:eastAsia="仿宋_GB2312" w:cs="Times New Roman"/>
          <w:b w:val="0"/>
          <w:bCs w:val="0"/>
          <w:color w:val="auto"/>
          <w:sz w:val="32"/>
          <w:szCs w:val="32"/>
        </w:rPr>
        <w:t>、危化品、烟花爆竹等行业领域自动化、智能化水平。2024年底前，实现</w:t>
      </w:r>
      <w:r>
        <w:rPr>
          <w:rFonts w:hint="default" w:ascii="Times New Roman" w:hAnsi="Times New Roman" w:eastAsia="仿宋_GB2312" w:cs="Times New Roman"/>
          <w:b w:val="0"/>
          <w:bCs w:val="0"/>
          <w:color w:val="auto"/>
          <w:sz w:val="32"/>
          <w:szCs w:val="32"/>
          <w:lang w:val="en-US" w:eastAsia="zh-CN"/>
        </w:rPr>
        <w:t>兴隆庄煤矿、古城煤矿、新驿煤矿、大统煤矿四家煤矿企业</w:t>
      </w:r>
      <w:r>
        <w:rPr>
          <w:rFonts w:hint="default" w:ascii="Times New Roman" w:hAnsi="Times New Roman" w:eastAsia="仿宋_GB2312" w:cs="Times New Roman"/>
          <w:b w:val="0"/>
          <w:bCs w:val="0"/>
          <w:color w:val="auto"/>
          <w:sz w:val="32"/>
          <w:szCs w:val="32"/>
        </w:rPr>
        <w:t>智能化改造。2025年底前，煤矿智能化开采产量达到90%以上、井下人员减少10%左右。</w:t>
      </w:r>
      <w:r>
        <w:rPr>
          <w:rFonts w:hint="default" w:ascii="Times New Roman" w:hAnsi="Times New Roman" w:eastAsia="仿宋_GB2312" w:cs="Times New Roman"/>
          <w:b w:val="0"/>
          <w:bCs w:val="0"/>
          <w:color w:val="auto"/>
          <w:sz w:val="32"/>
          <w:szCs w:val="32"/>
          <w:u w:val="none"/>
        </w:rPr>
        <w:t>推进小型生产经营场所、经营</w:t>
      </w:r>
      <w:r>
        <w:rPr>
          <w:rFonts w:hint="default" w:ascii="Times New Roman" w:hAnsi="Times New Roman" w:eastAsia="仿宋_GB2312" w:cs="Times New Roman"/>
          <w:b w:val="0"/>
          <w:bCs w:val="0"/>
          <w:color w:val="auto"/>
          <w:sz w:val="32"/>
          <w:szCs w:val="32"/>
        </w:rPr>
        <w:t>性自建房、老旧住宅小区安装早期火灾报警和灭火装置。</w:t>
      </w:r>
      <w:r>
        <w:rPr>
          <w:rFonts w:hint="default" w:ascii="Times New Roman" w:hAnsi="Times New Roman" w:eastAsia="仿宋_GB2312" w:cs="Times New Roman"/>
          <w:b w:val="0"/>
          <w:bCs w:val="0"/>
          <w:color w:val="auto"/>
          <w:sz w:val="32"/>
          <w:szCs w:val="32"/>
          <w:u w:val="none"/>
          <w:lang w:eastAsia="zh-CN"/>
        </w:rPr>
        <w:t>根据国家</w:t>
      </w:r>
      <w:r>
        <w:rPr>
          <w:rFonts w:hint="default" w:ascii="Times New Roman" w:hAnsi="Times New Roman" w:eastAsia="仿宋_GB2312" w:cs="Times New Roman"/>
          <w:b w:val="0"/>
          <w:bCs w:val="0"/>
          <w:color w:val="auto"/>
          <w:sz w:val="32"/>
          <w:szCs w:val="32"/>
          <w:u w:val="none"/>
        </w:rPr>
        <w:t>标准</w:t>
      </w:r>
      <w:r>
        <w:rPr>
          <w:rFonts w:hint="default" w:ascii="Times New Roman" w:hAnsi="Times New Roman" w:eastAsia="仿宋_GB2312" w:cs="Times New Roman"/>
          <w:b w:val="0"/>
          <w:bCs w:val="0"/>
          <w:color w:val="auto"/>
          <w:sz w:val="32"/>
          <w:szCs w:val="32"/>
          <w:u w:val="none"/>
          <w:lang w:eastAsia="zh-CN"/>
        </w:rPr>
        <w:t>修订情况，</w:t>
      </w:r>
      <w:r>
        <w:rPr>
          <w:rFonts w:hint="default" w:ascii="Times New Roman" w:hAnsi="Times New Roman" w:eastAsia="仿宋_GB2312" w:cs="Times New Roman"/>
          <w:b w:val="0"/>
          <w:bCs w:val="0"/>
          <w:color w:val="auto"/>
          <w:sz w:val="32"/>
          <w:szCs w:val="32"/>
          <w:u w:val="none"/>
        </w:rPr>
        <w:t>推进道路运输车辆主动安全装置安装应用。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lang w:val="en-US" w:eastAsia="zh-CN"/>
        </w:rPr>
        <w:t>11.</w:t>
      </w:r>
      <w:r>
        <w:rPr>
          <w:rFonts w:hint="default" w:ascii="Times New Roman" w:hAnsi="Times New Roman" w:eastAsia="仿宋_GB2312" w:cs="Times New Roman"/>
          <w:b w:val="0"/>
          <w:bCs w:val="0"/>
          <w:color w:val="auto"/>
          <w:sz w:val="32"/>
          <w:szCs w:val="32"/>
        </w:rPr>
        <w:t>深入开展老旧场所消防设施升级改造、公路安全生</w:t>
      </w:r>
      <w:r>
        <w:rPr>
          <w:rFonts w:hint="default" w:ascii="Times New Roman" w:hAnsi="Times New Roman" w:eastAsia="仿宋_GB2312" w:cs="Times New Roman"/>
          <w:b w:val="0"/>
          <w:bCs w:val="0"/>
          <w:color w:val="auto"/>
          <w:sz w:val="32"/>
          <w:szCs w:val="32"/>
          <w:u w:val="none"/>
        </w:rPr>
        <w:t>命防护工程建设、电梯安全筑底、应急逃生出口和消防车通道打通等工程治理行动</w:t>
      </w:r>
      <w:r>
        <w:rPr>
          <w:rFonts w:hint="default" w:ascii="Times New Roman" w:hAnsi="Times New Roman" w:eastAsia="仿宋_GB2312" w:cs="Times New Roman"/>
          <w:b w:val="0"/>
          <w:bCs w:val="0"/>
          <w:color w:val="auto"/>
          <w:sz w:val="32"/>
          <w:szCs w:val="32"/>
          <w:u w:val="none"/>
          <w:lang w:eastAsia="zh-CN"/>
        </w:rPr>
        <w:t>。组织开展</w:t>
      </w:r>
      <w:r>
        <w:rPr>
          <w:rFonts w:hint="default" w:ascii="Times New Roman" w:hAnsi="Times New Roman" w:eastAsia="仿宋_GB2312" w:cs="Times New Roman"/>
          <w:b w:val="0"/>
          <w:bCs w:val="0"/>
          <w:color w:val="auto"/>
          <w:sz w:val="32"/>
          <w:szCs w:val="32"/>
          <w:u w:val="none"/>
        </w:rPr>
        <w:t>建设工程消防设计审查验收</w:t>
      </w:r>
      <w:r>
        <w:rPr>
          <w:rFonts w:hint="default" w:ascii="Times New Roman" w:hAnsi="Times New Roman" w:eastAsia="仿宋_GB2312" w:cs="Times New Roman"/>
          <w:b w:val="0"/>
          <w:bCs w:val="0"/>
          <w:strike w:val="0"/>
          <w:dstrike w:val="0"/>
          <w:color w:val="auto"/>
          <w:sz w:val="32"/>
          <w:szCs w:val="32"/>
          <w:u w:val="none"/>
        </w:rPr>
        <w:t>违法违规专项治理</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strike w:val="0"/>
          <w:dstrike w:val="0"/>
          <w:color w:val="auto"/>
          <w:sz w:val="32"/>
          <w:szCs w:val="32"/>
          <w:u w:val="none"/>
        </w:rPr>
        <w:t>2024年</w:t>
      </w:r>
      <w:r>
        <w:rPr>
          <w:rFonts w:hint="default" w:ascii="Times New Roman" w:hAnsi="Times New Roman" w:eastAsia="仿宋_GB2312" w:cs="Times New Roman"/>
          <w:b w:val="0"/>
          <w:bCs w:val="0"/>
          <w:strike w:val="0"/>
          <w:dstrike w:val="0"/>
          <w:color w:val="auto"/>
          <w:sz w:val="32"/>
          <w:szCs w:val="32"/>
          <w:u w:val="none"/>
          <w:lang w:val="en-US" w:eastAsia="zh-CN"/>
        </w:rPr>
        <w:t>底前</w:t>
      </w:r>
      <w:r>
        <w:rPr>
          <w:rFonts w:hint="default" w:ascii="Times New Roman" w:hAnsi="Times New Roman" w:eastAsia="仿宋_GB2312" w:cs="Times New Roman"/>
          <w:b w:val="0"/>
          <w:bCs w:val="0"/>
          <w:strike w:val="0"/>
          <w:dstrike w:val="0"/>
          <w:color w:val="auto"/>
          <w:sz w:val="32"/>
          <w:szCs w:val="32"/>
          <w:u w:val="none"/>
          <w:lang w:eastAsia="zh-CN"/>
        </w:rPr>
        <w:t>，持续推进</w:t>
      </w:r>
      <w:r>
        <w:rPr>
          <w:rFonts w:hint="default" w:ascii="Times New Roman" w:hAnsi="Times New Roman" w:eastAsia="仿宋_GB2312" w:cs="Times New Roman"/>
          <w:b w:val="0"/>
          <w:bCs w:val="0"/>
          <w:strike w:val="0"/>
          <w:dstrike w:val="0"/>
          <w:color w:val="auto"/>
          <w:sz w:val="32"/>
          <w:szCs w:val="32"/>
          <w:u w:val="none"/>
          <w:lang w:val="en-US" w:eastAsia="zh-CN"/>
        </w:rPr>
        <w:t>化工园区整治提升，巩固化工园区现有安全风险等级成果，中国石油天然气股份有限公司山东济宁销售分公司兖州油库</w:t>
      </w:r>
      <w:r>
        <w:rPr>
          <w:rFonts w:hint="default" w:ascii="Times New Roman" w:hAnsi="Times New Roman" w:eastAsia="仿宋_GB2312" w:cs="Times New Roman"/>
          <w:b w:val="0"/>
          <w:bCs w:val="0"/>
          <w:color w:val="auto"/>
          <w:sz w:val="32"/>
          <w:szCs w:val="32"/>
          <w:u w:val="none"/>
        </w:rPr>
        <w:t>全面完成视频监控、气体检测、紧急切断</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三个系统</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配备投用</w:t>
      </w:r>
      <w:r>
        <w:rPr>
          <w:rFonts w:hint="default" w:ascii="Times New Roman" w:hAnsi="Times New Roman" w:eastAsia="仿宋_GB2312" w:cs="Times New Roman"/>
          <w:b w:val="0"/>
          <w:bCs w:val="0"/>
          <w:color w:val="auto"/>
          <w:sz w:val="32"/>
          <w:szCs w:val="32"/>
          <w:u w:val="none"/>
          <w:lang w:eastAsia="zh-CN"/>
        </w:rPr>
        <w:t>，全面启动建设工程消防设计审查验收违法违规专项治理。</w:t>
      </w:r>
      <w:r>
        <w:rPr>
          <w:rFonts w:hint="default" w:ascii="Times New Roman" w:hAnsi="Times New Roman" w:eastAsia="仿宋_GB2312" w:cs="Times New Roman"/>
          <w:b w:val="0"/>
          <w:bCs w:val="0"/>
          <w:color w:val="auto"/>
          <w:sz w:val="32"/>
          <w:szCs w:val="32"/>
          <w:u w:val="none"/>
          <w:lang w:val="en-US" w:eastAsia="zh-CN"/>
        </w:rPr>
        <w:t>2025年6月底前，</w:t>
      </w:r>
      <w:r>
        <w:rPr>
          <w:rFonts w:hint="default" w:ascii="Times New Roman" w:hAnsi="Times New Roman" w:eastAsia="仿宋_GB2312" w:cs="Times New Roman"/>
          <w:b w:val="0"/>
          <w:bCs w:val="0"/>
          <w:color w:val="auto"/>
          <w:sz w:val="32"/>
          <w:szCs w:val="32"/>
          <w:u w:val="none"/>
          <w:lang w:eastAsia="zh-CN"/>
        </w:rPr>
        <w:t>基本掌握建设工程消防设计审查验收违法违规项目底数</w:t>
      </w:r>
      <w:r>
        <w:rPr>
          <w:rFonts w:hint="default" w:ascii="Times New Roman" w:hAnsi="Times New Roman" w:eastAsia="仿宋_GB2312" w:cs="Times New Roman"/>
          <w:b w:val="0"/>
          <w:bCs w:val="0"/>
          <w:color w:val="auto"/>
          <w:sz w:val="32"/>
          <w:szCs w:val="32"/>
          <w:u w:val="none"/>
        </w:rPr>
        <w:t>；</w:t>
      </w:r>
      <w:r>
        <w:rPr>
          <w:rFonts w:hint="default" w:ascii="Times New Roman" w:hAnsi="Times New Roman" w:eastAsia="仿宋_GB2312" w:cs="Times New Roman"/>
          <w:b w:val="0"/>
          <w:bCs w:val="0"/>
          <w:color w:val="auto"/>
          <w:sz w:val="32"/>
          <w:szCs w:val="32"/>
          <w:highlight w:val="none"/>
          <w:u w:val="none"/>
          <w:lang w:val="en-US" w:eastAsia="zh-CN"/>
        </w:rPr>
        <w:t>2025年底前，基本实现存在安全隐患自建房整治全覆盖，</w:t>
      </w:r>
      <w:r>
        <w:rPr>
          <w:rFonts w:hint="default" w:ascii="Times New Roman" w:hAnsi="Times New Roman" w:eastAsia="仿宋_GB2312" w:cs="Times New Roman"/>
          <w:b w:val="0"/>
          <w:bCs w:val="0"/>
          <w:color w:val="auto"/>
          <w:kern w:val="0"/>
          <w:sz w:val="32"/>
          <w:szCs w:val="32"/>
          <w:highlight w:val="none"/>
          <w:lang w:val="en-US" w:eastAsia="zh-CN" w:bidi="ar"/>
        </w:rPr>
        <w:t>“一队一委一站”建设成熟运行，委托执法实现常态化开展，行业部门消防安全标准化建设实现全覆盖</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u w:val="none"/>
          <w:lang w:val="en-US" w:eastAsia="zh-CN"/>
        </w:rPr>
        <w:t>2026年6月底前，</w:t>
      </w:r>
      <w:r>
        <w:rPr>
          <w:rFonts w:hint="default" w:ascii="Times New Roman" w:hAnsi="Times New Roman" w:eastAsia="仿宋_GB2312" w:cs="Times New Roman"/>
          <w:b w:val="0"/>
          <w:bCs w:val="0"/>
          <w:color w:val="auto"/>
          <w:sz w:val="32"/>
          <w:szCs w:val="32"/>
          <w:u w:val="none"/>
          <w:lang w:eastAsia="zh-CN"/>
        </w:rPr>
        <w:t>基本完成建设工程消防设计审查验收违法违规项目处置；</w:t>
      </w:r>
      <w:r>
        <w:rPr>
          <w:rFonts w:hint="default" w:ascii="Times New Roman" w:hAnsi="Times New Roman" w:eastAsia="仿宋_GB2312" w:cs="Times New Roman"/>
          <w:b w:val="0"/>
          <w:bCs w:val="0"/>
          <w:color w:val="auto"/>
          <w:sz w:val="32"/>
          <w:szCs w:val="32"/>
          <w:u w:val="none"/>
          <w:lang w:val="en-US" w:eastAsia="zh-CN"/>
        </w:rPr>
        <w:t>2026年底前，基本实现农村平交路口、穿村过镇路段、临水等险要路段交通安全设施全覆盖，</w:t>
      </w:r>
      <w:r>
        <w:rPr>
          <w:rFonts w:hint="default" w:ascii="Times New Roman" w:hAnsi="Times New Roman" w:eastAsia="仿宋_GB2312" w:cs="Times New Roman"/>
          <w:b w:val="0"/>
          <w:bCs w:val="0"/>
          <w:color w:val="auto"/>
          <w:sz w:val="32"/>
          <w:szCs w:val="32"/>
          <w:u w:val="none"/>
        </w:rPr>
        <w:t>持续推动安全基础设施提质增效</w:t>
      </w:r>
      <w:r>
        <w:rPr>
          <w:rFonts w:hint="default" w:ascii="Times New Roman" w:hAnsi="Times New Roman" w:eastAsia="仿宋_GB2312" w:cs="Times New Roman"/>
          <w:b w:val="0"/>
          <w:bCs w:val="0"/>
          <w:color w:val="auto"/>
          <w:sz w:val="32"/>
          <w:szCs w:val="32"/>
          <w:u w:val="none"/>
          <w:lang w:eastAsia="zh-CN"/>
        </w:rPr>
        <w:t>，强化本质安全</w:t>
      </w:r>
      <w:r>
        <w:rPr>
          <w:rFonts w:hint="default" w:ascii="Times New Roman" w:hAnsi="Times New Roman" w:eastAsia="仿宋_GB2312" w:cs="Times New Roman"/>
          <w:b w:val="0"/>
          <w:b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（五）开展生产经营单位从业人员安全素质能力提升行动。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12.推动危化品、煤矿、烟花爆竹等高危行业生产经营单位从业人员安全技能培训深化提升，严格高危行业生产经营单位主要负责人、安全生产管理人员安全生产知识和管理能力以及特种作业人员安全技术培训，将重大事故隐患排查整治有关要求作为培训的重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开展安全生产培训“走过场”专项整治，严厉查处不培训、假培训、未持证、持假证等违法行为，确保安全培训取得实效，做到真训、真考、真会。推动安全生产培训机构标准化建设，认真执行安全培训机构基本条件和考核标准，对安全生产培训机构进行一轮全覆盖条件复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推动特种作业人员持证上岗，督促生产经营单位严格电气焊作业等用工管理，严格遵守消防安全、生产安全等操作规程。2026年底前，探索利用信息化手段加强和改进特种作业人员培训工作，推广应用国家“互联网+特种作业人员综合管理服务”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13.结合各行业领域实际情况，2024年底前全面细化完善生产经营单位各类从业人员安全生产教育培训的频次、内容、范围、时间等规定要求，健全教育培训效果督导检查机制，强化教育培训动态管理，提升从业人员整体能力水平。推动生产经营单位加强对外包外租等关联单位的安全生产指导、监督，将接受其作业指令的劳务派遣、灵活用工等人员纳入本单位安全生产管理体系，严格安全培训和管理，切实提升有关从业人员的安全素质和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督促企业落实全员培训主体责任，关注安全生产最新方针政策，学习重要制度文件，每年开展“大学习、大培训”专项行动，结合实际组织从业人员自主学习、实施轮岗培训，指导企业加强一线岗位实操培训。实施重点企业工伤预防能力提升培训工程，对煤矿、危险化学品、建材、建筑施工、交通运输、机械制造等行业重点企业的重点人员开展专题培训。2024年10月底前，全面完成危险化学品重点企业人员各项培训任务；2024年底前，全面开展其它五类行业三类人员工伤预防能力提升培训，完成三年培训任务的60%。2025年底前，全面完成各项培训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highlight w:val="none"/>
          <w:lang w:val="en-US" w:eastAsia="zh-CN"/>
        </w:rPr>
        <w:t>14.聚焦从业人员疏散逃生避险意识能力提升</w:t>
      </w:r>
      <w:r>
        <w:rPr>
          <w:rFonts w:hint="default" w:ascii="Times New Roman" w:hAnsi="Times New Roman" w:eastAsia="仿宋_GB2312" w:cs="Times New Roman"/>
          <w:b w:val="0"/>
          <w:bCs w:val="0"/>
          <w:color w:val="auto"/>
          <w:sz w:val="32"/>
          <w:szCs w:val="32"/>
          <w:lang w:val="en-US" w:eastAsia="zh-CN"/>
        </w:rPr>
        <w:t>，推动生产经营单位认真编修综合预案、专项预案和现场方案，突出电气焊、有限空间、高处作业等重点危险作业，编制专项方案，落实先期处置措施。指导企业采取“不提前通知、不设定脚本、不预设场景、不预设地点”的“四不”方式组织开展应急演练，切实提高员工逃生避险意识和自救互救能力。其中，每年至少组织开展一次疏散逃生演练（高危行业领域每半年至少一次），让全体从业人员熟知逃生通道、安全出口及应急处置要求，形成常态化机制。2024年，企业“四不”演练占比达到40%；2025年，企业“四不”演练占比达到50%；2026年，除综合性的演练外，基本实现“四不”演练常态化。推动高危行业生产经营单位全面依法建设安全生产应急救援队伍，满足安全风险防范和事故抢险救援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（六）开展生产经营单位安全管理体系建设行动。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15.落实以安全风险分级管控和隐患排查治理双重预防机制为核心的企业安全生产标准化管理体系，深入推进双重预防机制和安全生产标准化一体建设。严格按照安全生产标准化和双重预防体系创建、评审、抽查全流程管控。各行业大力选树一批安全生产标准化建设标杆企业单位，将企业安全生产标准化建设情况作为差异化监管执法的重要依据，建立安全生产标准化达标企业在减少检查频次、复产验收优先、优化安全生产责任保险和工伤保险费率、信贷信用等级评定等方面的激励政策并严格落实。2024年，兴隆庄煤矿、古城煤矿、新驿煤矿、大统煤矿四家煤矿企业持续巩固安全生产二级以上标准化水平。2025年，根据省企业安全生产标准化管理体系通用规范编制情况，督促指导危险化学品、机械加工等企业落实好行业规范；打造一批安全生产标准化标杆企业单位，推广安全生产管理体系先进经验。2026年，根据省小微企业安全生产标准化管理体系基本规范编订情况，督促指导小微企业做好安全生产标准化工作，分行业领域选树一批示范引领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（七）开展安全生产精准执法和帮扶行动。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16.综合运用“四不两直”、明查暗访等方式，聚焦重大事故隐患排查整治，深入推进精准安全监管执法，集中挂牌、公布、曝光、处理一批重大事故隐患，对“零处罚”“只检查不处罚”等执法“宽松软虚”的部门进行约谈通报。对无需审批备案但具有较大安全风险的生产经营活动，加大现场执法检查力度，完善“双随机”抽查检查工作机制，严防小施工、小作业惹大事。对严重违法行为依法采取停产整顿、关闭取缔、上限处罚、行业禁入、联合惩戒、“一案双罚”等手段，落实行刑衔接机制，严厉打击各类非法违法行为。对发生重特大事故负有责任的生产经营单位的主要负责人，明确终身不得担任本行业生产经营单位的主要负责人。各行业领域严格执行安全生产监管监察执法统计、执法考评和典型案例报送制度，分批开展全员责任制清单落实、外包施工、违规电气焊和违规施工、有限空间、预防高处坠落专项执法，组织开展执法练兵。加大“互联网+执法”推广应用力度，推动现场执法检查和线上巡查执法有机结合，持续提高执法效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17.从严监管企业。聚焦“明确责任、落实责任、追究责任”三个关键环节，推动知责明责、履职尽责、追责问责，坚持从严监管；把制度落实到基层末端，落实到班组车间和一线作业现场，落实到每一名企业职工，真正打通制度落实的“最后一公里”；通过深入推行企业安全生产“晨会”等一系列制度措施，全面实施全员定向安全生产大培训，持续提升基层应急处置能力，增强全员安全意识。2025年底前，所有生产经营单位培养一名安全生产“明白人”。2026年底前，结合小微企业标准化创建，探索实施小微企业安全生产标准化管理实用措施，努力实现本质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18.综合统筹镇（街道）安全生产监管、消防工作、防灾减灾救灾、应急救援等人员力量，强化责任落实，共同做好安全检查、安全宣传、应急救援等工作，推动安全生产监管服务向基层末梢延伸。加强安全生产行政执法人员执法装备配备，推动执法队伍规范化建设。2024年底前，开展执法队伍标准化创建和委托或派驻执法试点。2026年底前，推动具备条件的镇（街道）全部实现委托或派驻执法。认真落实《关于推进省级应急救援队伍健康发展的实施意见》，做好省地质矿产勘查开发局第二地质大队运行管理工作。聚焦危化品、煤矿等重点行业及化工园区、工业园区等重点区域，加大城市安全、涉氨制冷、有限空间等应急救援队伍建设，加强应急救援队伍培训、演练工作，推动队伍深入融合，加深协同配合意识。加大对上争取力度，培育申报省级专业应急救援队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19.聚焦重大事故隐患排查整治，强化安全监管执法人员能力培训。三年内，根据上级统一部署，参加安全监管执法人员开展跟班集中培训。推动开展形式多样的执法业务培训，不断提高培训系统化规范化水平。更好发挥专家作用，为安全生产执法等提供专业化智力支持。2024年底前，区各安全监管部门和行业主管部门要补充完善安全生产专家库，充分利用外部专业力量提高执法检查质效。2025年底前，建立执法骨干网络，围绕重点行业领域、关键设备设施、重要作业环节持续开展专家指导服务。组织对高危行业领域生产经营单位分级开展安全执法指导帮扶。大力选聘执法技术检查员参与安全生产监管执法，完善通过政府购买服务辅助开展监督检查的工作机制，切实提升基层安全监管能力。推动保险机构积极参与高危行业领域企业重大事故隐患排查整治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建立健全各行业领域安全生产举报制度机制，落实奖励资金、完善保密制度，充分发动从业人员和社会公众举报生产经营单位存在的重大事故隐患，及时发现生产经营单位的各类非法违规行为。推动生产经营单位建立健全事故隐患报告奖励机制，完善物质和精神双重奖励措施，对报告重大事故隐患等突出问题的予以重奖，激励从业人员积极向生产经营单位报告身边的事故隐患、提出整改的合理化建议，提升从业人员爱企如家的强烈安全意识。2024年底前，根据省制修订安全生产举报办法情况，进一步完善我区安全生产举报制度。2025年底前，鼓励引导规模以上企业建立内部奖励制度。2026年底前，形成比较完善的举报投诉受理、核查、反馈、奖励等工作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21.切实加强出租屋、闲置院落、废弃厂房的规范管理，强化隐患排查，压实出租屋、闲置院落、废弃厂房所在镇（街道）、村（社区）和所有人责任。行业主管部门、安全监管部门和属地镇（街道）要对出租屋、闲置院落、废弃厂房用水、用电、用气等情况进行检测，一旦发现异常变化，要立即组织检查和现场排查。充分发挥镇（街道）、村（社区）基层干部和网格员作用，对辖区内出租屋、闲置院落、废弃厂房进行不间断监管巡查。积极鼓励企业员工和广大群众，举报利用出租屋、闲置院落、废弃厂房进行违法经营生产、加工和储存的行为，一经查实，一律严肃处理。2024年，对全区所有出租屋、闲置院落、废弃厂房进行调查摸底，建立台账，并坚持动态更新。2025年底前，建立健全出租屋、闲置院落、废弃厂房常态化监管机制，确保始终处于安全可控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（八）开展全民安全素质提升行动。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22.持续推进“素质固安”工程，加强全民安全生产宣传教育，培育公众安全意识，聚焦“人人讲安全</w:t>
      </w:r>
      <w:r>
        <w:rPr>
          <w:rFonts w:hint="default" w:ascii="Times New Roman" w:hAnsi="Times New Roman" w:eastAsia="仿宋_GB2312" w:cs="Times New Roman"/>
          <w:b w:val="0"/>
          <w:bCs w:val="0"/>
          <w:color w:val="auto"/>
          <w:sz w:val="32"/>
          <w:szCs w:val="32"/>
          <w:lang w:val="en-US" w:eastAsia="zh-Hans"/>
        </w:rPr>
        <w:t>，</w:t>
      </w:r>
      <w:r>
        <w:rPr>
          <w:rFonts w:hint="default" w:ascii="Times New Roman" w:hAnsi="Times New Roman" w:eastAsia="仿宋_GB2312" w:cs="Times New Roman"/>
          <w:b w:val="0"/>
          <w:bCs w:val="0"/>
          <w:color w:val="auto"/>
          <w:sz w:val="32"/>
          <w:szCs w:val="32"/>
          <w:lang w:val="en-US" w:eastAsia="zh-CN"/>
        </w:rPr>
        <w:t>个个会应急”</w:t>
      </w:r>
      <w:r>
        <w:rPr>
          <w:rFonts w:hint="default" w:ascii="Times New Roman" w:hAnsi="Times New Roman" w:eastAsia="仿宋_GB2312" w:cs="Times New Roman"/>
          <w:b w:val="0"/>
          <w:bCs w:val="0"/>
          <w:color w:val="auto"/>
          <w:sz w:val="32"/>
          <w:szCs w:val="32"/>
          <w:lang w:val="en-US" w:eastAsia="zh-Hans"/>
        </w:rPr>
        <w:t>这个主题和目标，</w:t>
      </w:r>
      <w:r>
        <w:rPr>
          <w:rFonts w:hint="default" w:ascii="Times New Roman" w:hAnsi="Times New Roman" w:eastAsia="仿宋_GB2312" w:cs="Times New Roman"/>
          <w:b w:val="0"/>
          <w:bCs w:val="0"/>
          <w:color w:val="auto"/>
          <w:sz w:val="32"/>
          <w:szCs w:val="32"/>
          <w:lang w:val="en-US" w:eastAsia="zh-CN"/>
        </w:rPr>
        <w:t>强化“素质固安”品牌建设，持续开展安全生产月、消防宣传月、安全宣传咨询日、“5·12防震减灾日”等活动，将安全教育纳入国民教育体系，引导公众践行安全的生产生活方式，推动安全宣传进企业、进农村、进社区、进学校、进家庭。落实“谁执法谁普法”普法责任制，组织开展安全生产普法知识竞赛，深入开展安全生产法治宣传教育。电视广播等媒体设置安全生产专题栏目，讲解安全生产知识、介绍安全生产典型经验做法、曝光存在的突出问题，制作播放安全警示宣传片强化典型事故教训吸取。因地制宜建设安全科普宣传教育和安全体验基地。深化“平安工地”“平安农机”“平安校园”“安康杯”竞赛、青年安全生产示范岗、“安全文化”示范企业等示范创建工作，常态化组织开展“查保促”等群众性安全生产活动，强化示范引领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val="en-US" w:eastAsia="zh-CN"/>
        </w:rPr>
        <w:t>三</w:t>
      </w:r>
      <w:r>
        <w:rPr>
          <w:rFonts w:hint="default" w:ascii="Times New Roman" w:hAnsi="Times New Roman" w:eastAsia="黑体" w:cs="Times New Roman"/>
          <w:b w:val="0"/>
          <w:bCs w:val="0"/>
          <w:color w:val="auto"/>
          <w:sz w:val="32"/>
          <w:szCs w:val="32"/>
        </w:rPr>
        <w:t>、</w:t>
      </w:r>
      <w:r>
        <w:rPr>
          <w:rFonts w:hint="default" w:ascii="Times New Roman" w:hAnsi="Times New Roman" w:eastAsia="黑体" w:cs="Times New Roman"/>
          <w:b w:val="0"/>
          <w:bCs w:val="0"/>
          <w:color w:val="auto"/>
          <w:sz w:val="32"/>
          <w:szCs w:val="32"/>
          <w:lang w:eastAsia="zh-CN"/>
        </w:rPr>
        <w:t>持续深化“</w:t>
      </w:r>
      <w:r>
        <w:rPr>
          <w:rFonts w:hint="default" w:ascii="Times New Roman" w:hAnsi="Times New Roman" w:eastAsia="黑体" w:cs="Times New Roman"/>
          <w:b w:val="0"/>
          <w:bCs w:val="0"/>
          <w:color w:val="auto"/>
          <w:sz w:val="32"/>
          <w:szCs w:val="32"/>
          <w:lang w:val="en-US" w:eastAsia="zh-CN"/>
        </w:rPr>
        <w:t>五</w:t>
      </w:r>
      <w:r>
        <w:rPr>
          <w:rFonts w:hint="default" w:ascii="Times New Roman" w:hAnsi="Times New Roman" w:eastAsia="黑体" w:cs="Times New Roman"/>
          <w:b w:val="0"/>
          <w:bCs w:val="0"/>
          <w:color w:val="auto"/>
          <w:sz w:val="32"/>
          <w:szCs w:val="32"/>
          <w:lang w:eastAsia="zh-CN"/>
        </w:rPr>
        <w:t>项整治”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着眼事故减量目标，在2023年工作基础上，深入开展全员责任制落实、违规电气焊作业和违规施工、有限空间作业、预防高处坠落和企业外包施工“五项整治”，进一步突出重点、精准发力、靶向施策，抓深化、抓拓展、抓提升，巩固整治成效，强化成果转化。2024年继续开展集中整治，放大整治效应，同步抓好总结提升、建章立制，2025年、2026年常态化推进，健全长效管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23.持续深化全员安全生产责任制落实专项整治。</w:t>
      </w:r>
      <w:r>
        <w:rPr>
          <w:rFonts w:hint="default" w:ascii="Times New Roman" w:hAnsi="Times New Roman" w:eastAsia="仿宋_GB2312" w:cs="Times New Roman"/>
          <w:b w:val="0"/>
          <w:bCs w:val="0"/>
          <w:color w:val="auto"/>
          <w:sz w:val="32"/>
          <w:szCs w:val="32"/>
          <w:lang w:val="en-US" w:eastAsia="zh-CN"/>
        </w:rPr>
        <w:t>2024年底前，所有生产经营单位建立全员安全生产责任制清单。重点聚焦清单制修订规范化、清单职责内容精准化、清单执行落实一体化、清单督导检查常态化。要采取宣传教育、帮扶引导、执法倒逼等多种手段，切实将生产经营单位安全生产主体责任落实到车间、班组、员工。各镇（街道）、园区、各有关部门要把建立和落实全员安全生产责任制情况纳入督导检查的重要内容，加大日常监督检查力度，对因拒不落实企业全员安全生产责任制而造成严重后果的，要纳入安全生产“黑名单”进行管理和联合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24.</w:t>
      </w:r>
      <w:r>
        <w:rPr>
          <w:rFonts w:hint="default" w:ascii="Times New Roman" w:hAnsi="Times New Roman" w:eastAsia="楷体_GB2312" w:cs="Times New Roman"/>
          <w:b w:val="0"/>
          <w:bCs w:val="0"/>
          <w:color w:val="auto"/>
          <w:sz w:val="32"/>
          <w:szCs w:val="32"/>
          <w:lang w:eastAsia="zh-CN"/>
        </w:rPr>
        <w:t>持续深化违规电气焊和违规施工专项整治。</w:t>
      </w:r>
      <w:r>
        <w:rPr>
          <w:rFonts w:hint="default" w:ascii="Times New Roman" w:hAnsi="Times New Roman" w:eastAsia="仿宋_GB2312" w:cs="Times New Roman"/>
          <w:b w:val="0"/>
          <w:bCs w:val="0"/>
          <w:color w:val="auto"/>
          <w:sz w:val="32"/>
          <w:szCs w:val="32"/>
          <w:lang w:val="en-US" w:eastAsia="zh-CN"/>
        </w:rPr>
        <w:t>从电气焊设备安全质量、作业单位监管、违法违规行为查处等环节，强化电气焊作业全链条管理。2024年底前，实现数据实时推送至各行业主管部门，强化监管责任落实，赋能精准执法。2025年底前，按照上级统一部署，及时接入国家层面统一的“互联网+特种作业人员综合管理服务”系统。2026年，依托电焊作业智能监管平台充分发挥监管效能，构建形成电气焊作业全链条、全方位、全覆盖的监管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25.持续深化有限空间作业专项整治。</w:t>
      </w:r>
      <w:r>
        <w:rPr>
          <w:rFonts w:hint="default" w:ascii="Times New Roman" w:hAnsi="Times New Roman" w:eastAsia="仿宋_GB2312" w:cs="Times New Roman"/>
          <w:b w:val="0"/>
          <w:bCs w:val="0"/>
          <w:color w:val="auto"/>
          <w:sz w:val="32"/>
          <w:szCs w:val="32"/>
          <w:lang w:val="en-US" w:eastAsia="zh-CN"/>
        </w:rPr>
        <w:t>督促指导生产经营单位全面开展风险辨识和隐患排查，聚焦教育培训、警示标识、作业审批、个人防护四个重点环节落实安全防范措施，严格执行“先通风、再检测、后作业”规定，有效提升有限空间安全作业能力。强化提升农村各类有限空间作业场所风险辨识和自救能力。全面摸清有限空间作业底数，分镇街、分行业领域建立监管台账，严防失控漏管。夯实基础工作，广泛开展公益宣传、专题培训和专家指导服务，探索挂牌上锁、扫码进入、过程监控、机器人作业等先进技术措施，发挥安全生产举报奖励社会监督作用。加大监管执法力度，严厉打击各类非法违法行为，依法严肃追究主要负责人和相关人员连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26.持续深化预防高处坠落专项整治。</w:t>
      </w:r>
      <w:r>
        <w:rPr>
          <w:rFonts w:hint="default" w:ascii="Times New Roman" w:hAnsi="Times New Roman" w:eastAsia="仿宋_GB2312" w:cs="Times New Roman"/>
          <w:b w:val="0"/>
          <w:bCs w:val="0"/>
          <w:color w:val="auto"/>
          <w:sz w:val="32"/>
          <w:szCs w:val="32"/>
          <w:lang w:val="en-US" w:eastAsia="zh-CN"/>
        </w:rPr>
        <w:t>突出重点行业领域，加大现场检查的频次和力度，严格查处违法违规行为。对标电力等先进行业经验，督促企业辨识管控高处作业风险，建立高处作业项目台账，强化安全教育培训，加强高处作业现场管理，落实安全生产主体责任，着力消除由于风险管控措施缺失或执行不到位而造成的高处作业事故隐患。加强无人机巡查、视频高点巡查等非现场执法手段运用，凡是发现存在临时高处作业的，一律立即到现场核实；凡是发现存在无证作业、不佩戴安全防护用品等违法违规行为的，一律依法严格落实“一案双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27.持续深化企业外包施工专项整治。</w:t>
      </w:r>
      <w:r>
        <w:rPr>
          <w:rFonts w:hint="default" w:ascii="Times New Roman" w:hAnsi="Times New Roman" w:eastAsia="仿宋_GB2312" w:cs="Times New Roman"/>
          <w:b w:val="0"/>
          <w:bCs w:val="0"/>
          <w:color w:val="auto"/>
          <w:sz w:val="32"/>
          <w:szCs w:val="32"/>
          <w:lang w:val="en-US" w:eastAsia="zh-CN"/>
        </w:rPr>
        <w:t>聚焦企业外包施工各项制度措施落实，聚焦发包、承包单位责任落实，聚焦源头治理和风险防控体系建立、落实，聚焦发包全过程的合法性、规范性，聚焦日常监管的针对性、有效性，聚焦非法转包、违法分包打击治理，开展起底式问题隐患排查，建立问题隐患台账，闭环抓好整改，构建全链条责任体系，完善全方位管理机制，严格全过程安全管控，健全企业外包施工长效管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四</w:t>
      </w:r>
      <w:r>
        <w:rPr>
          <w:rFonts w:hint="default" w:ascii="Times New Roman" w:hAnsi="Times New Roman" w:eastAsia="黑体" w:cs="Times New Roman"/>
          <w:b w:val="0"/>
          <w:bCs w:val="0"/>
          <w:color w:val="auto"/>
          <w:sz w:val="32"/>
          <w:szCs w:val="32"/>
          <w:lang w:eastAsia="zh-CN"/>
        </w:rPr>
        <w:t>、强化</w:t>
      </w:r>
      <w:r>
        <w:rPr>
          <w:rFonts w:hint="default" w:ascii="Times New Roman" w:hAnsi="Times New Roman" w:eastAsia="黑体" w:cs="Times New Roman"/>
          <w:b w:val="0"/>
          <w:bCs w:val="0"/>
          <w:color w:val="auto"/>
          <w:sz w:val="32"/>
          <w:szCs w:val="32"/>
        </w:rPr>
        <w:t>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rPr>
        <w:t>（一）加强组织领导。</w:t>
      </w:r>
      <w:r>
        <w:rPr>
          <w:rFonts w:hint="default" w:ascii="Times New Roman" w:hAnsi="Times New Roman" w:eastAsia="仿宋_GB2312" w:cs="Times New Roman"/>
          <w:b w:val="0"/>
          <w:bCs w:val="0"/>
          <w:color w:val="auto"/>
          <w:sz w:val="32"/>
          <w:szCs w:val="32"/>
          <w:lang w:val="en-US" w:eastAsia="zh-CN"/>
        </w:rPr>
        <w:t>各镇（街道）、园区和区安委会有关成员单位要召开专题会议进行动员部署，建立完善信息汇总、动态研判、晾晒通报、督导检查等机制，切实加大督促推动力度。各镇（街道）、园区和区安委会有关成员单位主要负责同志要定期组织研究安全生产治本攻坚有关工作，听取进展情况汇报，协调解决本辖区安全生产突出问题；区安委会有关成员单位要加强本行业领域安全生产治本攻坚工作的跟踪分析，及时研究新情况、解决新问题，定期向区分管领导汇报安全生产治本攻坚情况并提供工作建议。全面规范并建立区、镇（街道）和园区党政领导干部安全生产职责清单和年度任务清单，明确治本攻坚责任分工和工作目标，按程序报上级安委会办公室备案。将安全生产、消防安全教育培训列入党政领导干部的必修课程，突出重大事故隐患排查整治方面的内容，加强经常性教育培训。区安委会办公室要成立工作专班，具体负责协调推进治本攻坚行动，加大统筹协调和督促推动力度；各镇（街道）、园区和区安委会有关成员单位也要成立相应工作专班，明确专人负责，实现上下贯通、一体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rPr>
        <w:t>（二）加强安全投入。</w:t>
      </w:r>
      <w:r>
        <w:rPr>
          <w:rFonts w:hint="default" w:ascii="Times New Roman" w:hAnsi="Times New Roman" w:eastAsia="仿宋_GB2312" w:cs="Times New Roman"/>
          <w:b w:val="0"/>
          <w:bCs w:val="0"/>
          <w:color w:val="auto"/>
          <w:sz w:val="32"/>
          <w:szCs w:val="32"/>
          <w:lang w:val="en-US" w:eastAsia="zh-CN"/>
        </w:rPr>
        <w:t>各级各部门单位要强化安全生产相关工作投入，确保重大事故风险隐患治理资金，切实做好安全生产治本攻坚各项任务措施的支撑保障。各有关部门单位要聚焦制约安全生产的重点难点问题加强统筹规划、落实整治资金，持续推进“人防、技防、工程防、管理防”等治本之策，不断提升本质安全水平。各镇（街道）、园区和区安委会有关成员单位要及时将每年度安全生产投入情况特别是“人防、技防、工程防、管理防”方面投入情况报区安委会办公室。各镇（街道）、园区和区安委会有关成员单位要督促企业单位加大安全生产投入力度，严格执行《企业安全生产费用提取和使用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eastAsia="zh-CN"/>
        </w:rPr>
        <w:t>（三）</w:t>
      </w:r>
      <w:r>
        <w:rPr>
          <w:rFonts w:hint="default" w:ascii="Times New Roman" w:hAnsi="Times New Roman" w:eastAsia="楷体_GB2312" w:cs="Times New Roman"/>
          <w:b w:val="0"/>
          <w:bCs w:val="0"/>
          <w:color w:val="auto"/>
          <w:sz w:val="32"/>
          <w:szCs w:val="32"/>
        </w:rPr>
        <w:t>强化制度效力。</w:t>
      </w:r>
      <w:r>
        <w:rPr>
          <w:rFonts w:hint="default" w:ascii="Times New Roman" w:hAnsi="Times New Roman" w:eastAsia="仿宋_GB2312" w:cs="Times New Roman"/>
          <w:b w:val="0"/>
          <w:bCs w:val="0"/>
          <w:color w:val="auto"/>
          <w:sz w:val="32"/>
          <w:szCs w:val="32"/>
          <w:lang w:val="en-US" w:eastAsia="zh-CN"/>
        </w:rPr>
        <w:t>要坚持用制度思维发现、解决问题，运用制度威力应对风险挑战冲击。要在抓制度执行落实上狠下功夫，聚焦国务院安委会十五条硬措施和省委、省政府“八抓20条”创新措施，特别是“晨会”“开工第一课”、警示教育、分类分级监管、危险作业报告、安全总监、安全诊断、驻点监督、有奖举报等创新制度措施，与落实治本攻坚三年行动重点任务结合起来，贯穿三年行动全过程、各环节，推动将各项制度措施落实到社会末梢和最小单元，确保落地见效。要聚焦安全生产深层次矛盾和突出问题，创新思路办法，补短板、强弱项、固根基，进一步丰富和完善安全生产制度体系和治理体系，及时将行之有效的经验做法上升为制度成果、法规规章，健全长效机制，切实提升安全生产治理能力，推动从根本上消除事故隐患、从根本上解决问题。</w:t>
      </w: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（四）健全工作机制。</w:t>
      </w:r>
      <w:r>
        <w:rPr>
          <w:rFonts w:hint="default" w:ascii="Times New Roman" w:hAnsi="Times New Roman" w:eastAsia="仿宋_GB2312" w:cs="Times New Roman"/>
          <w:b w:val="0"/>
          <w:bCs w:val="0"/>
          <w:color w:val="auto"/>
          <w:kern w:val="2"/>
          <w:sz w:val="32"/>
          <w:szCs w:val="32"/>
          <w:lang w:val="en-US" w:eastAsia="zh-CN" w:bidi="ar-SA"/>
        </w:rPr>
        <w:t>各级各部门要将抓落实作为开展工作的主要方式和关键点、落脚点，构建全过程、全链条、闭环式抓落实工作体系，确保一抓到底、见底见效。要严格落实“212”工作机制，各级各部门要针对本地、本行业领域实际，建立治本攻坚任务清单、问题清单和重点工作台账</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二清单一台账</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定期梳理治本攻坚开展情况；对工作落实较好和典型经验做法以及工作落实不力和问题较为突出的，分别印发正面表扬和反面典型“两个通报”，切实发挥“激励引领＋鞭策督促”作用，确保治本攻坚各项制度措施落地见效。建立清单管理机制，各级各部门要每年制定“八大行动”年度行动计划，进一步细化实化年度任务目标和工作措施，全部实行清单化管理，倒排工期、挂图作战，有序推进重点工作落实。建立工作调度机制，区安委会办公室建立信息化调度系统，加强扁平化调度，实行“月调度、月通报”，并每季度组织开展会商研判，分析存在的问题，提出针对性措施。建立示范带动机制，综合运用创新试点、现场观摩、通报表扬等方式，及时总结推广典型经验做法，强化典型引领。建立督查督办机制，突出用好暗访检查方式，对工作进展不力的镇（</w:t>
      </w:r>
      <w:r>
        <w:rPr>
          <w:rFonts w:hint="default" w:ascii="Times New Roman" w:hAnsi="Times New Roman" w:eastAsia="仿宋_GB2312" w:cs="Times New Roman"/>
          <w:b w:val="0"/>
          <w:bCs w:val="0"/>
          <w:color w:val="auto"/>
          <w:sz w:val="32"/>
          <w:szCs w:val="32"/>
          <w:lang w:val="en-US" w:eastAsia="zh-CN"/>
        </w:rPr>
        <w:t>街道</w:t>
      </w:r>
      <w:r>
        <w:rPr>
          <w:rFonts w:hint="default" w:ascii="Times New Roman" w:hAnsi="Times New Roman" w:eastAsia="仿宋_GB2312" w:cs="Times New Roman"/>
          <w:b w:val="0"/>
          <w:bCs w:val="0"/>
          <w:color w:val="auto"/>
          <w:kern w:val="2"/>
          <w:sz w:val="32"/>
          <w:szCs w:val="32"/>
          <w:lang w:val="en-US" w:eastAsia="zh-CN" w:bidi="ar-SA"/>
        </w:rPr>
        <w:t>）、园区和部门及时督促提醒、约谈警示、追责问责。建立晾晒考评机制，定期对治本攻坚行动开展情况进行阶段性评估并量化排名，每年进行一次一致性评估，评估结果报区委、区政府</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并向各镇（</w:t>
      </w:r>
      <w:r>
        <w:rPr>
          <w:rFonts w:hint="default" w:ascii="Times New Roman" w:hAnsi="Times New Roman" w:eastAsia="仿宋_GB2312" w:cs="Times New Roman"/>
          <w:b w:val="0"/>
          <w:bCs w:val="0"/>
          <w:color w:val="auto"/>
          <w:sz w:val="32"/>
          <w:szCs w:val="32"/>
          <w:lang w:val="en-US" w:eastAsia="zh-CN"/>
        </w:rPr>
        <w:t>街道</w:t>
      </w:r>
      <w:r>
        <w:rPr>
          <w:rFonts w:hint="default" w:ascii="Times New Roman" w:hAnsi="Times New Roman" w:eastAsia="仿宋_GB2312" w:cs="Times New Roman"/>
          <w:b w:val="0"/>
          <w:bCs w:val="0"/>
          <w:color w:val="auto"/>
          <w:kern w:val="2"/>
          <w:sz w:val="32"/>
          <w:szCs w:val="32"/>
          <w:lang w:val="en-US" w:eastAsia="zh-CN" w:bidi="ar-SA"/>
        </w:rPr>
        <w:t>）、园区和区安委会有关成员单位通报。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楷体_GB2312" w:cs="Times New Roman"/>
          <w:b w:val="0"/>
          <w:bCs w:val="0"/>
          <w:color w:val="auto"/>
          <w:kern w:val="2"/>
          <w:sz w:val="32"/>
          <w:szCs w:val="32"/>
          <w:lang w:val="en-US" w:eastAsia="zh-CN" w:bidi="ar-SA"/>
        </w:rPr>
        <w:t>（五）强化考核巡查。</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rPr>
        <w:t>安委会将把治本攻坚三年行动</w:t>
      </w:r>
      <w:r>
        <w:rPr>
          <w:rFonts w:hint="default" w:ascii="Times New Roman" w:hAnsi="Times New Roman" w:eastAsia="仿宋_GB2312" w:cs="Times New Roman"/>
          <w:b w:val="0"/>
          <w:bCs w:val="0"/>
          <w:color w:val="auto"/>
          <w:sz w:val="32"/>
          <w:szCs w:val="32"/>
          <w:lang w:eastAsia="zh-CN"/>
        </w:rPr>
        <w:t>纳入</w:t>
      </w:r>
      <w:r>
        <w:rPr>
          <w:rFonts w:hint="default" w:ascii="Times New Roman" w:hAnsi="Times New Roman" w:eastAsia="仿宋_GB2312" w:cs="Times New Roman"/>
          <w:b w:val="0"/>
          <w:bCs w:val="0"/>
          <w:color w:val="auto"/>
          <w:sz w:val="32"/>
          <w:szCs w:val="32"/>
        </w:rPr>
        <w:t>安全生产考核</w:t>
      </w:r>
      <w:r>
        <w:rPr>
          <w:rFonts w:hint="default" w:ascii="Times New Roman" w:hAnsi="Times New Roman" w:eastAsia="仿宋_GB2312" w:cs="Times New Roman"/>
          <w:b w:val="0"/>
          <w:bCs w:val="0"/>
          <w:color w:val="auto"/>
          <w:sz w:val="32"/>
          <w:szCs w:val="32"/>
          <w:lang w:eastAsia="zh-CN"/>
        </w:rPr>
        <w:t>事项</w:t>
      </w:r>
      <w:r>
        <w:rPr>
          <w:rFonts w:hint="default" w:ascii="Times New Roman" w:hAnsi="Times New Roman" w:eastAsia="仿宋_GB2312" w:cs="Times New Roman"/>
          <w:b w:val="0"/>
          <w:bCs w:val="0"/>
          <w:color w:val="auto"/>
          <w:sz w:val="32"/>
          <w:szCs w:val="32"/>
        </w:rPr>
        <w:t>重点</w:t>
      </w:r>
      <w:r>
        <w:rPr>
          <w:rFonts w:hint="default" w:ascii="Times New Roman" w:hAnsi="Times New Roman" w:eastAsia="仿宋_GB2312" w:cs="Times New Roman"/>
          <w:b w:val="0"/>
          <w:bCs w:val="0"/>
          <w:color w:val="auto"/>
          <w:sz w:val="32"/>
          <w:szCs w:val="32"/>
          <w:lang w:eastAsia="zh-CN"/>
        </w:rPr>
        <w:t>内容</w:t>
      </w:r>
      <w:r>
        <w:rPr>
          <w:rFonts w:hint="default" w:ascii="Times New Roman" w:hAnsi="Times New Roman" w:eastAsia="仿宋_GB2312" w:cs="Times New Roman"/>
          <w:b w:val="0"/>
          <w:bCs w:val="0"/>
          <w:color w:val="auto"/>
          <w:sz w:val="32"/>
          <w:szCs w:val="32"/>
        </w:rPr>
        <w:t>，充分发挥考核</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指挥棒</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作用。对在治本攻坚三年行动中成绩突出的集体和个人</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将</w:t>
      </w:r>
      <w:r>
        <w:rPr>
          <w:rFonts w:hint="default" w:ascii="Times New Roman" w:hAnsi="Times New Roman" w:eastAsia="仿宋_GB2312" w:cs="Times New Roman"/>
          <w:b w:val="0"/>
          <w:bCs w:val="0"/>
          <w:color w:val="auto"/>
          <w:sz w:val="32"/>
          <w:szCs w:val="32"/>
        </w:rPr>
        <w:t>按照有关规定及时给予表彰奖励。将治本攻坚行动作为</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rPr>
        <w:t>级安全生产督查激励评选的重要内容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对成效明显的</w:t>
      </w:r>
      <w:r>
        <w:rPr>
          <w:rFonts w:hint="default" w:ascii="Times New Roman" w:hAnsi="Times New Roman" w:eastAsia="仿宋_GB2312" w:cs="Times New Roman"/>
          <w:b w:val="0"/>
          <w:bCs w:val="0"/>
          <w:color w:val="auto"/>
          <w:sz w:val="32"/>
          <w:szCs w:val="32"/>
          <w:lang w:val="en-US" w:eastAsia="zh-CN"/>
        </w:rPr>
        <w:t>镇</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街道</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园区</w:t>
      </w:r>
      <w:r>
        <w:rPr>
          <w:rFonts w:hint="default" w:ascii="Times New Roman" w:hAnsi="Times New Roman" w:eastAsia="仿宋_GB2312" w:cs="Times New Roman"/>
          <w:b w:val="0"/>
          <w:bCs w:val="0"/>
          <w:color w:val="auto"/>
          <w:sz w:val="32"/>
          <w:szCs w:val="32"/>
          <w:lang w:eastAsia="zh-CN"/>
        </w:rPr>
        <w:t>和</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安委会有关成员单位</w:t>
      </w:r>
      <w:r>
        <w:rPr>
          <w:rFonts w:hint="default" w:ascii="Times New Roman" w:hAnsi="Times New Roman" w:eastAsia="仿宋_GB2312" w:cs="Times New Roman"/>
          <w:b w:val="0"/>
          <w:bCs w:val="0"/>
          <w:color w:val="auto"/>
          <w:sz w:val="32"/>
          <w:szCs w:val="32"/>
        </w:rPr>
        <w:t>给予</w:t>
      </w:r>
      <w:r>
        <w:rPr>
          <w:rFonts w:hint="default" w:ascii="Times New Roman" w:hAnsi="Times New Roman" w:eastAsia="仿宋_GB2312" w:cs="Times New Roman"/>
          <w:b w:val="0"/>
          <w:bCs w:val="0"/>
          <w:color w:val="auto"/>
          <w:sz w:val="32"/>
          <w:szCs w:val="32"/>
          <w:lang w:val="en-US" w:eastAsia="zh-CN"/>
        </w:rPr>
        <w:t>适当形式的激励</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更大力度激发和调动</w:t>
      </w:r>
      <w:r>
        <w:rPr>
          <w:rFonts w:hint="default" w:ascii="Times New Roman" w:hAnsi="Times New Roman" w:eastAsia="仿宋_GB2312" w:cs="Times New Roman"/>
          <w:b w:val="0"/>
          <w:bCs w:val="0"/>
          <w:color w:val="auto"/>
          <w:sz w:val="32"/>
          <w:szCs w:val="32"/>
          <w:lang w:val="en-US" w:eastAsia="zh-CN"/>
        </w:rPr>
        <w:t>各级各部门</w:t>
      </w:r>
      <w:r>
        <w:rPr>
          <w:rFonts w:hint="default" w:ascii="Times New Roman" w:hAnsi="Times New Roman" w:eastAsia="仿宋_GB2312" w:cs="Times New Roman"/>
          <w:b w:val="0"/>
          <w:bCs w:val="0"/>
          <w:color w:val="auto"/>
          <w:sz w:val="32"/>
          <w:szCs w:val="32"/>
        </w:rPr>
        <w:t>积极性、主动性、创造性。将治本攻坚行动作为安全生产巡查的重要内容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发现问题及时反馈被巡查</w:t>
      </w:r>
      <w:r>
        <w:rPr>
          <w:rFonts w:hint="default" w:ascii="Times New Roman" w:hAnsi="Times New Roman" w:eastAsia="仿宋_GB2312" w:cs="Times New Roman"/>
          <w:b w:val="0"/>
          <w:bCs w:val="0"/>
          <w:color w:val="auto"/>
          <w:sz w:val="32"/>
          <w:szCs w:val="32"/>
          <w:lang w:val="en-US" w:eastAsia="zh-CN"/>
        </w:rPr>
        <w:t>单位</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督促抓好整改。</w:t>
      </w:r>
    </w:p>
    <w:p>
      <w:pPr>
        <w:pStyle w:val="1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b w:val="0"/>
          <w:bCs w:val="0"/>
          <w:color w:val="auto"/>
          <w:spacing w:val="-6"/>
          <w:kern w:val="2"/>
          <w:sz w:val="32"/>
          <w:szCs w:val="32"/>
          <w:lang w:val="en-US" w:eastAsia="zh-CN" w:bidi="ar-SA"/>
        </w:rPr>
      </w:pPr>
      <w:r>
        <w:rPr>
          <w:rFonts w:hint="default" w:ascii="Times New Roman" w:hAnsi="Times New Roman" w:eastAsia="楷体_GB2312" w:cs="Times New Roman"/>
          <w:b w:val="0"/>
          <w:bCs w:val="0"/>
          <w:color w:val="auto"/>
          <w:spacing w:val="-6"/>
          <w:kern w:val="2"/>
          <w:sz w:val="32"/>
          <w:szCs w:val="32"/>
          <w:lang w:val="en-US" w:eastAsia="zh-CN" w:bidi="ar-SA"/>
        </w:rPr>
        <w:t>（六）强化社会共治。</w:t>
      </w:r>
      <w:r>
        <w:rPr>
          <w:rFonts w:hint="default" w:ascii="Times New Roman" w:hAnsi="Times New Roman" w:eastAsia="仿宋_GB2312" w:cs="Times New Roman"/>
          <w:b w:val="0"/>
          <w:bCs w:val="0"/>
          <w:color w:val="auto"/>
          <w:spacing w:val="-6"/>
          <w:kern w:val="2"/>
          <w:sz w:val="32"/>
          <w:szCs w:val="32"/>
          <w:lang w:val="en-US" w:eastAsia="zh-CN" w:bidi="ar-SA"/>
        </w:rPr>
        <w:t>宣传部门和新闻单位要充分发挥主流媒体宣传优势，开设专题专栏，集中宣传报道治本攻坚三年行动典型经验做法，展示工作成效、推广先进经验。各级各部门要将治本攻坚三年行动作为安全生产宣传教育的重要内容，通过互联网、报纸、电视、广播、新媒体等多种途径广泛宣传，努力营造全社会关注安全、参与安全的良好氛围。要推动各安全生产责任保险承保机构积极参与安全生产社会化治理，为参保企业提供规范的事故预防服务，协助企业提高安全生产管理水平。</w:t>
      </w: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方正仿宋简体" w:cs="Times New Roman"/>
          <w:b w:val="0"/>
          <w:bCs w:val="0"/>
          <w:color w:val="auto"/>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eastAsia="zh-CN"/>
        </w:rPr>
        <w:t>附件：</w:t>
      </w:r>
      <w:r>
        <w:rPr>
          <w:rFonts w:hint="default" w:ascii="Times New Roman" w:hAnsi="Times New Roman" w:eastAsia="方正仿宋简体" w:cs="Times New Roman"/>
          <w:b w:val="0"/>
          <w:bCs w:val="0"/>
          <w:color w:val="auto"/>
          <w:sz w:val="32"/>
          <w:szCs w:val="32"/>
          <w:lang w:val="en-US" w:eastAsia="zh-CN"/>
        </w:rPr>
        <w:t>全区安全生产治本攻坚三年行动任务分工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 w:val="36"/>
          <w:szCs w:val="36"/>
          <w:lang w:eastAsia="zh-CN"/>
        </w:rPr>
      </w:pPr>
    </w:p>
    <w:p>
      <w:pPr>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小标宋简体" w:cs="Times New Roman"/>
          <w:b w:val="0"/>
          <w:bCs w:val="0"/>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全区安全生产治本攻坚三年行动任务分工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小标宋简体" w:cs="Times New Roman"/>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rPr>
        <w:t>安委会统筹做好</w:t>
      </w:r>
      <w:r>
        <w:rPr>
          <w:rFonts w:hint="default" w:ascii="Times New Roman" w:hAnsi="Times New Roman" w:eastAsia="仿宋_GB2312" w:cs="Times New Roman"/>
          <w:b w:val="0"/>
          <w:bCs w:val="0"/>
          <w:color w:val="auto"/>
          <w:sz w:val="32"/>
          <w:szCs w:val="32"/>
          <w:lang w:eastAsia="zh-CN"/>
        </w:rPr>
        <w:t>全</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rPr>
        <w:t>安全生产治本攻坚三年行动的组织推动。各</w:t>
      </w:r>
      <w:r>
        <w:rPr>
          <w:rFonts w:hint="default" w:ascii="Times New Roman" w:hAnsi="Times New Roman" w:eastAsia="仿宋_GB2312" w:cs="Times New Roman"/>
          <w:b w:val="0"/>
          <w:bCs w:val="0"/>
          <w:color w:val="auto"/>
          <w:sz w:val="32"/>
          <w:szCs w:val="32"/>
          <w:lang w:val="en-US" w:eastAsia="zh-CN"/>
        </w:rPr>
        <w:t>镇街、园区</w:t>
      </w:r>
      <w:r>
        <w:rPr>
          <w:rFonts w:hint="default" w:ascii="Times New Roman" w:hAnsi="Times New Roman" w:eastAsia="仿宋_GB2312" w:cs="Times New Roman"/>
          <w:b w:val="0"/>
          <w:bCs w:val="0"/>
          <w:color w:val="auto"/>
          <w:sz w:val="32"/>
          <w:szCs w:val="32"/>
        </w:rPr>
        <w:t>负责制定并实施</w:t>
      </w:r>
      <w:r>
        <w:rPr>
          <w:rFonts w:hint="default" w:ascii="Times New Roman" w:hAnsi="Times New Roman" w:eastAsia="仿宋_GB2312" w:cs="Times New Roman"/>
          <w:b w:val="0"/>
          <w:bCs w:val="0"/>
          <w:color w:val="auto"/>
          <w:sz w:val="32"/>
          <w:szCs w:val="32"/>
          <w:lang w:val="en-US" w:eastAsia="zh-CN"/>
        </w:rPr>
        <w:t>本</w:t>
      </w:r>
      <w:r>
        <w:rPr>
          <w:rFonts w:hint="default" w:ascii="Times New Roman" w:hAnsi="Times New Roman" w:eastAsia="仿宋_GB2312" w:cs="Times New Roman"/>
          <w:b w:val="0"/>
          <w:bCs w:val="0"/>
          <w:color w:val="auto"/>
          <w:sz w:val="32"/>
          <w:szCs w:val="32"/>
        </w:rPr>
        <w:t>辖区的安全生产治本攻坚三年行动方案。</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发展和改革</w:t>
      </w:r>
      <w:r>
        <w:rPr>
          <w:rFonts w:hint="default" w:ascii="Times New Roman" w:hAnsi="Times New Roman" w:eastAsia="仿宋_GB2312" w:cs="Times New Roman"/>
          <w:b w:val="0"/>
          <w:bCs w:val="0"/>
          <w:color w:val="auto"/>
          <w:sz w:val="32"/>
          <w:szCs w:val="32"/>
          <w:lang w:val="en-US" w:eastAsia="zh-CN"/>
        </w:rPr>
        <w:t>局</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教育</w:t>
      </w:r>
      <w:r>
        <w:rPr>
          <w:rFonts w:hint="default" w:ascii="Times New Roman" w:hAnsi="Times New Roman" w:eastAsia="仿宋_GB2312" w:cs="Times New Roman"/>
          <w:b w:val="0"/>
          <w:bCs w:val="0"/>
          <w:color w:val="auto"/>
          <w:sz w:val="32"/>
          <w:szCs w:val="32"/>
          <w:lang w:val="en-US" w:eastAsia="zh-CN"/>
        </w:rPr>
        <w:t>和体育</w:t>
      </w:r>
      <w:r>
        <w:rPr>
          <w:rFonts w:hint="default" w:ascii="Times New Roman" w:hAnsi="Times New Roman" w:eastAsia="仿宋_GB2312" w:cs="Times New Roman"/>
          <w:b w:val="0"/>
          <w:bCs w:val="0"/>
          <w:color w:val="auto"/>
          <w:sz w:val="32"/>
          <w:szCs w:val="32"/>
          <w:lang w:eastAsia="zh-CN"/>
        </w:rPr>
        <w:t>局、</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工业和信息化局、</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民政局、</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人力资源</w:t>
      </w:r>
      <w:r>
        <w:rPr>
          <w:rFonts w:hint="default" w:ascii="Times New Roman" w:hAnsi="Times New Roman" w:eastAsia="仿宋_GB2312" w:cs="Times New Roman"/>
          <w:b w:val="0"/>
          <w:bCs w:val="0"/>
          <w:color w:val="auto"/>
          <w:sz w:val="32"/>
          <w:szCs w:val="32"/>
          <w:lang w:val="en-US" w:eastAsia="zh-CN"/>
        </w:rPr>
        <w:t>和</w:t>
      </w:r>
      <w:r>
        <w:rPr>
          <w:rFonts w:hint="default" w:ascii="Times New Roman" w:hAnsi="Times New Roman" w:eastAsia="仿宋_GB2312" w:cs="Times New Roman"/>
          <w:b w:val="0"/>
          <w:bCs w:val="0"/>
          <w:color w:val="auto"/>
          <w:sz w:val="32"/>
          <w:szCs w:val="32"/>
          <w:lang w:eastAsia="zh-CN"/>
        </w:rPr>
        <w:t>社会保障局、</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自然资源局、</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住房</w:t>
      </w:r>
      <w:r>
        <w:rPr>
          <w:rFonts w:hint="default" w:ascii="Times New Roman" w:hAnsi="Times New Roman" w:eastAsia="仿宋_GB2312" w:cs="Times New Roman"/>
          <w:b w:val="0"/>
          <w:bCs w:val="0"/>
          <w:color w:val="auto"/>
          <w:sz w:val="32"/>
          <w:szCs w:val="32"/>
          <w:lang w:val="en-US" w:eastAsia="zh-CN"/>
        </w:rPr>
        <w:t>和</w:t>
      </w:r>
      <w:r>
        <w:rPr>
          <w:rFonts w:hint="default" w:ascii="Times New Roman" w:hAnsi="Times New Roman" w:eastAsia="仿宋_GB2312" w:cs="Times New Roman"/>
          <w:b w:val="0"/>
          <w:bCs w:val="0"/>
          <w:color w:val="auto"/>
          <w:sz w:val="32"/>
          <w:szCs w:val="32"/>
          <w:lang w:eastAsia="zh-CN"/>
        </w:rPr>
        <w:t>城乡建设局、</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交通运输局、</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水务局、</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农业农村局、</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商务局、</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文化和旅游局、</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卫生健康</w:t>
      </w:r>
      <w:r>
        <w:rPr>
          <w:rFonts w:hint="default" w:ascii="Times New Roman" w:hAnsi="Times New Roman" w:eastAsia="仿宋_GB2312" w:cs="Times New Roman"/>
          <w:b w:val="0"/>
          <w:bCs w:val="0"/>
          <w:color w:val="auto"/>
          <w:sz w:val="32"/>
          <w:szCs w:val="32"/>
          <w:lang w:val="en-US" w:eastAsia="zh-CN"/>
        </w:rPr>
        <w:t>局</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区行政审批服务局、区应急管理局、区</w:t>
      </w:r>
      <w:r>
        <w:rPr>
          <w:rFonts w:hint="default" w:ascii="Times New Roman" w:hAnsi="Times New Roman" w:eastAsia="仿宋_GB2312" w:cs="Times New Roman"/>
          <w:b w:val="0"/>
          <w:bCs w:val="0"/>
          <w:color w:val="auto"/>
          <w:sz w:val="32"/>
          <w:szCs w:val="32"/>
          <w:lang w:eastAsia="zh-CN"/>
        </w:rPr>
        <w:t>市场</w:t>
      </w:r>
      <w:r>
        <w:rPr>
          <w:rFonts w:hint="default" w:ascii="Times New Roman" w:hAnsi="Times New Roman" w:eastAsia="仿宋_GB2312" w:cs="Times New Roman"/>
          <w:b w:val="0"/>
          <w:bCs w:val="0"/>
          <w:color w:val="auto"/>
          <w:sz w:val="32"/>
          <w:szCs w:val="32"/>
          <w:lang w:val="en-US" w:eastAsia="zh-CN"/>
        </w:rPr>
        <w:t>监督管理</w:t>
      </w:r>
      <w:r>
        <w:rPr>
          <w:rFonts w:hint="default" w:ascii="Times New Roman" w:hAnsi="Times New Roman" w:eastAsia="仿宋_GB2312" w:cs="Times New Roman"/>
          <w:b w:val="0"/>
          <w:bCs w:val="0"/>
          <w:color w:val="auto"/>
          <w:sz w:val="32"/>
          <w:szCs w:val="32"/>
          <w:lang w:eastAsia="zh-CN"/>
        </w:rPr>
        <w:t>局、</w:t>
      </w:r>
      <w:r>
        <w:rPr>
          <w:rFonts w:hint="default" w:ascii="Times New Roman" w:hAnsi="Times New Roman" w:eastAsia="仿宋_GB2312" w:cs="Times New Roman"/>
          <w:b w:val="0"/>
          <w:bCs w:val="0"/>
          <w:color w:val="auto"/>
          <w:sz w:val="32"/>
          <w:szCs w:val="32"/>
          <w:lang w:val="en-US" w:eastAsia="zh-CN"/>
        </w:rPr>
        <w:t>区综合行政执法</w:t>
      </w:r>
      <w:r>
        <w:rPr>
          <w:rFonts w:hint="default" w:ascii="Times New Roman" w:hAnsi="Times New Roman" w:eastAsia="仿宋_GB2312" w:cs="Times New Roman"/>
          <w:b w:val="0"/>
          <w:bCs w:val="0"/>
          <w:color w:val="auto"/>
          <w:sz w:val="32"/>
          <w:szCs w:val="32"/>
          <w:lang w:eastAsia="zh-CN"/>
        </w:rPr>
        <w:t>局、</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公安</w:t>
      </w:r>
      <w:r>
        <w:rPr>
          <w:rFonts w:hint="default" w:ascii="Times New Roman" w:hAnsi="Times New Roman" w:eastAsia="仿宋_GB2312" w:cs="Times New Roman"/>
          <w:b w:val="0"/>
          <w:bCs w:val="0"/>
          <w:color w:val="auto"/>
          <w:sz w:val="32"/>
          <w:szCs w:val="32"/>
          <w:lang w:val="en-US" w:eastAsia="zh-CN"/>
        </w:rPr>
        <w:t>分</w:t>
      </w:r>
      <w:r>
        <w:rPr>
          <w:rFonts w:hint="default" w:ascii="Times New Roman" w:hAnsi="Times New Roman" w:eastAsia="仿宋_GB2312" w:cs="Times New Roman"/>
          <w:b w:val="0"/>
          <w:bCs w:val="0"/>
          <w:color w:val="auto"/>
          <w:sz w:val="32"/>
          <w:szCs w:val="32"/>
          <w:lang w:eastAsia="zh-CN"/>
        </w:rPr>
        <w:t>局、</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生态环境</w:t>
      </w:r>
      <w:r>
        <w:rPr>
          <w:rFonts w:hint="default" w:ascii="Times New Roman" w:hAnsi="Times New Roman" w:eastAsia="仿宋_GB2312" w:cs="Times New Roman"/>
          <w:b w:val="0"/>
          <w:bCs w:val="0"/>
          <w:color w:val="auto"/>
          <w:sz w:val="32"/>
          <w:szCs w:val="32"/>
          <w:lang w:val="en-US" w:eastAsia="zh-CN"/>
        </w:rPr>
        <w:t>分</w:t>
      </w:r>
      <w:r>
        <w:rPr>
          <w:rFonts w:hint="default" w:ascii="Times New Roman" w:hAnsi="Times New Roman" w:eastAsia="仿宋_GB2312" w:cs="Times New Roman"/>
          <w:b w:val="0"/>
          <w:bCs w:val="0"/>
          <w:color w:val="auto"/>
          <w:sz w:val="32"/>
          <w:szCs w:val="32"/>
          <w:lang w:eastAsia="zh-CN"/>
        </w:rPr>
        <w:t>局、</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消防救援</w:t>
      </w:r>
      <w:r>
        <w:rPr>
          <w:rFonts w:hint="default" w:ascii="Times New Roman" w:hAnsi="Times New Roman" w:eastAsia="仿宋_GB2312" w:cs="Times New Roman"/>
          <w:b w:val="0"/>
          <w:bCs w:val="0"/>
          <w:color w:val="auto"/>
          <w:sz w:val="32"/>
          <w:szCs w:val="32"/>
          <w:lang w:val="en-US" w:eastAsia="zh-CN"/>
        </w:rPr>
        <w:t>大</w:t>
      </w:r>
      <w:r>
        <w:rPr>
          <w:rFonts w:hint="default" w:ascii="Times New Roman" w:hAnsi="Times New Roman" w:eastAsia="仿宋_GB2312" w:cs="Times New Roman"/>
          <w:b w:val="0"/>
          <w:bCs w:val="0"/>
          <w:color w:val="auto"/>
          <w:sz w:val="32"/>
          <w:szCs w:val="32"/>
          <w:lang w:eastAsia="zh-CN"/>
        </w:rPr>
        <w:t>队、</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lang w:eastAsia="zh-CN"/>
        </w:rPr>
        <w:t>邮政管理局等部门，</w:t>
      </w:r>
      <w:r>
        <w:rPr>
          <w:rFonts w:hint="default" w:ascii="Times New Roman" w:hAnsi="Times New Roman" w:eastAsia="仿宋_GB2312" w:cs="Times New Roman"/>
          <w:b w:val="0"/>
          <w:bCs w:val="0"/>
          <w:color w:val="auto"/>
          <w:sz w:val="32"/>
          <w:szCs w:val="32"/>
          <w:lang w:val="en-US" w:eastAsia="zh-CN"/>
        </w:rPr>
        <w:t>根据自身职责</w:t>
      </w:r>
      <w:r>
        <w:rPr>
          <w:rFonts w:hint="default" w:ascii="Times New Roman" w:hAnsi="Times New Roman" w:eastAsia="仿宋_GB2312" w:cs="Times New Roman"/>
          <w:b w:val="0"/>
          <w:bCs w:val="0"/>
          <w:color w:val="auto"/>
          <w:sz w:val="32"/>
          <w:szCs w:val="32"/>
        </w:rPr>
        <w:t>，对照</w:t>
      </w:r>
      <w:r>
        <w:rPr>
          <w:rFonts w:hint="default" w:ascii="Times New Roman" w:hAnsi="Times New Roman" w:eastAsia="仿宋_GB2312" w:cs="Times New Roman"/>
          <w:b w:val="0"/>
          <w:bCs w:val="0"/>
          <w:color w:val="auto"/>
          <w:sz w:val="32"/>
          <w:szCs w:val="32"/>
          <w:lang w:val="en-US" w:eastAsia="zh-CN"/>
        </w:rPr>
        <w:t>各自上级业务部门</w:t>
      </w:r>
      <w:r>
        <w:rPr>
          <w:rFonts w:hint="default" w:ascii="Times New Roman" w:hAnsi="Times New Roman" w:eastAsia="仿宋_GB2312" w:cs="Times New Roman"/>
          <w:b w:val="0"/>
          <w:bCs w:val="0"/>
          <w:color w:val="auto"/>
          <w:sz w:val="32"/>
          <w:szCs w:val="32"/>
        </w:rPr>
        <w:t>治本攻坚行动方案子方案</w:t>
      </w:r>
      <w:r>
        <w:rPr>
          <w:rFonts w:hint="default" w:ascii="Times New Roman" w:hAnsi="Times New Roman" w:eastAsia="仿宋_GB2312" w:cs="Times New Roman"/>
          <w:b w:val="0"/>
          <w:bCs w:val="0"/>
          <w:color w:val="auto"/>
          <w:sz w:val="32"/>
          <w:szCs w:val="32"/>
          <w:lang w:eastAsia="zh-CN"/>
        </w:rPr>
        <w:t>，结合自身</w:t>
      </w:r>
      <w:r>
        <w:rPr>
          <w:rFonts w:hint="default" w:ascii="Times New Roman" w:hAnsi="Times New Roman" w:eastAsia="仿宋_GB2312" w:cs="Times New Roman"/>
          <w:b w:val="0"/>
          <w:bCs w:val="0"/>
          <w:color w:val="auto"/>
          <w:sz w:val="32"/>
          <w:szCs w:val="32"/>
          <w:lang w:val="en-US" w:eastAsia="zh-CN"/>
        </w:rPr>
        <w:t>实际</w:t>
      </w:r>
      <w:r>
        <w:rPr>
          <w:rFonts w:hint="default" w:ascii="Times New Roman" w:hAnsi="Times New Roman" w:eastAsia="仿宋_GB2312" w:cs="Times New Roman"/>
          <w:b w:val="0"/>
          <w:bCs w:val="0"/>
          <w:color w:val="auto"/>
          <w:sz w:val="32"/>
          <w:szCs w:val="32"/>
          <w:lang w:eastAsia="zh-CN"/>
        </w:rPr>
        <w:t>情况</w:t>
      </w:r>
      <w:r>
        <w:rPr>
          <w:rFonts w:hint="default" w:ascii="Times New Roman" w:hAnsi="Times New Roman" w:eastAsia="仿宋_GB2312" w:cs="Times New Roman"/>
          <w:b w:val="0"/>
          <w:bCs w:val="0"/>
          <w:color w:val="auto"/>
          <w:sz w:val="32"/>
          <w:szCs w:val="32"/>
        </w:rPr>
        <w:t>，分别制定下发本部门单位</w:t>
      </w:r>
      <w:r>
        <w:rPr>
          <w:rFonts w:hint="default" w:ascii="Times New Roman" w:hAnsi="Times New Roman" w:eastAsia="仿宋_GB2312" w:cs="Times New Roman"/>
          <w:b w:val="0"/>
          <w:bCs w:val="0"/>
          <w:color w:val="auto"/>
          <w:sz w:val="32"/>
          <w:szCs w:val="32"/>
          <w:lang w:eastAsia="zh-CN"/>
        </w:rPr>
        <w:t>、本行业领域</w:t>
      </w:r>
      <w:r>
        <w:rPr>
          <w:rFonts w:hint="default" w:ascii="Times New Roman" w:hAnsi="Times New Roman" w:eastAsia="仿宋_GB2312" w:cs="Times New Roman"/>
          <w:b w:val="0"/>
          <w:bCs w:val="0"/>
          <w:color w:val="auto"/>
          <w:sz w:val="32"/>
          <w:szCs w:val="32"/>
        </w:rPr>
        <w:t>的治本攻坚三年行动方案</w:t>
      </w:r>
      <w:r>
        <w:rPr>
          <w:rFonts w:hint="default" w:ascii="Times New Roman" w:hAnsi="Times New Roman" w:eastAsia="仿宋_GB2312" w:cs="Times New Roman"/>
          <w:b w:val="0"/>
          <w:bCs w:val="0"/>
          <w:color w:val="auto"/>
          <w:sz w:val="32"/>
          <w:szCs w:val="32"/>
          <w:lang w:eastAsia="zh-CN"/>
        </w:rPr>
        <w:t>，并加强对本系统、本行业领域治本攻坚行动的全过程指导协调、督促检查</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其中：</w:t>
      </w:r>
      <w:r>
        <w:rPr>
          <w:rFonts w:hint="default" w:ascii="Times New Roman" w:hAnsi="Times New Roman" w:eastAsia="黑体" w:cs="Times New Roman"/>
          <w:b w:val="0"/>
          <w:bCs w:val="0"/>
          <w:color w:val="auto"/>
          <w:sz w:val="32"/>
          <w:szCs w:val="32"/>
        </w:rPr>
        <w:t>负有安全生产监督管理职责的部门，</w:t>
      </w:r>
      <w:r>
        <w:rPr>
          <w:rFonts w:hint="default" w:ascii="Times New Roman" w:hAnsi="Times New Roman" w:eastAsia="仿宋_GB2312" w:cs="Times New Roman"/>
          <w:b w:val="0"/>
          <w:bCs w:val="0"/>
          <w:color w:val="auto"/>
          <w:sz w:val="32"/>
          <w:szCs w:val="32"/>
        </w:rPr>
        <w:t>要在方案中进一步细化安全生产治本攻坚的具体措施要求，从技术设备、人员素质等方面强化安全生产行政许可和准入管理，加大安全生产落后工艺、材料、设备等淘汰退出力度，建立健全重大事故隐患排查治理体系和督办制度，组织开展安全生产专项整治，聚焦重点环节、重点事项精准实施安全监管执法，严厉打击各类违法违规行为，依法关闭取缔不符合安全条件的企业单位；</w:t>
      </w:r>
      <w:r>
        <w:rPr>
          <w:rFonts w:hint="default" w:ascii="Times New Roman" w:hAnsi="Times New Roman" w:eastAsia="黑体" w:cs="Times New Roman"/>
          <w:b w:val="0"/>
          <w:bCs w:val="0"/>
          <w:color w:val="auto"/>
          <w:sz w:val="32"/>
          <w:szCs w:val="32"/>
        </w:rPr>
        <w:t>其</w:t>
      </w:r>
      <w:r>
        <w:rPr>
          <w:rFonts w:hint="default" w:ascii="Times New Roman" w:hAnsi="Times New Roman" w:eastAsia="黑体" w:cs="Times New Roman"/>
          <w:b w:val="0"/>
          <w:bCs w:val="0"/>
          <w:color w:val="auto"/>
          <w:sz w:val="32"/>
          <w:szCs w:val="32"/>
          <w:lang w:eastAsia="zh-CN"/>
        </w:rPr>
        <w:t>他</w:t>
      </w:r>
      <w:r>
        <w:rPr>
          <w:rFonts w:hint="default" w:ascii="Times New Roman" w:hAnsi="Times New Roman" w:eastAsia="黑体" w:cs="Times New Roman"/>
          <w:b w:val="0"/>
          <w:bCs w:val="0"/>
          <w:color w:val="auto"/>
          <w:sz w:val="32"/>
          <w:szCs w:val="32"/>
        </w:rPr>
        <w:t>负有安全生产管理责任的行业领域主管部门，</w:t>
      </w:r>
      <w:r>
        <w:rPr>
          <w:rFonts w:hint="default" w:ascii="Times New Roman" w:hAnsi="Times New Roman" w:eastAsia="仿宋_GB2312" w:cs="Times New Roman"/>
          <w:b w:val="0"/>
          <w:bCs w:val="0"/>
          <w:color w:val="auto"/>
          <w:sz w:val="32"/>
          <w:szCs w:val="32"/>
        </w:rPr>
        <w:t>要在方案中将行业领域安全生产的督促指导职责明确细化为若干条具体措施，履行好统筹协调职能，从行业规划、产业政策、法规标准、行政许可等方面加强本行业领域安全生产治本攻坚工作，建立健全定期会同负有安全生产监督管理职责的有关部门开展联合督导检查、重大事故隐患排查整治等工作的常态化机制，结合行业领域特点针对性强化安全培训和警示教育。</w:t>
      </w:r>
      <w:r>
        <w:rPr>
          <w:rFonts w:hint="default" w:ascii="Times New Roman" w:hAnsi="Times New Roman" w:eastAsia="黑体" w:cs="Times New Roman"/>
          <w:b w:val="0"/>
          <w:bCs w:val="0"/>
          <w:color w:val="auto"/>
          <w:sz w:val="32"/>
          <w:szCs w:val="32"/>
          <w:lang w:val="en-US" w:eastAsia="zh-CN"/>
        </w:rPr>
        <w:t>区</w:t>
      </w:r>
      <w:r>
        <w:rPr>
          <w:rFonts w:hint="default" w:ascii="Times New Roman" w:hAnsi="Times New Roman" w:eastAsia="黑体" w:cs="Times New Roman"/>
          <w:b w:val="0"/>
          <w:bCs w:val="0"/>
          <w:color w:val="auto"/>
          <w:sz w:val="32"/>
          <w:szCs w:val="32"/>
        </w:rPr>
        <w:t>安委会其</w:t>
      </w:r>
      <w:r>
        <w:rPr>
          <w:rFonts w:hint="default" w:ascii="Times New Roman" w:hAnsi="Times New Roman" w:eastAsia="黑体" w:cs="Times New Roman"/>
          <w:b w:val="0"/>
          <w:bCs w:val="0"/>
          <w:color w:val="auto"/>
          <w:sz w:val="32"/>
          <w:szCs w:val="32"/>
          <w:lang w:eastAsia="zh-CN"/>
        </w:rPr>
        <w:t>他</w:t>
      </w:r>
      <w:r>
        <w:rPr>
          <w:rFonts w:hint="default" w:ascii="Times New Roman" w:hAnsi="Times New Roman" w:eastAsia="黑体" w:cs="Times New Roman"/>
          <w:b w:val="0"/>
          <w:bCs w:val="0"/>
          <w:color w:val="auto"/>
          <w:sz w:val="32"/>
          <w:szCs w:val="32"/>
        </w:rPr>
        <w:t>成员单位</w:t>
      </w:r>
      <w:r>
        <w:rPr>
          <w:rFonts w:hint="default" w:ascii="Times New Roman" w:hAnsi="Times New Roman" w:eastAsia="仿宋_GB2312" w:cs="Times New Roman"/>
          <w:b w:val="0"/>
          <w:bCs w:val="0"/>
          <w:color w:val="auto"/>
          <w:sz w:val="32"/>
          <w:szCs w:val="32"/>
        </w:rPr>
        <w:t>要在职责范围内为安全生产治本攻坚提供支持保障，共同推进安全发展。</w:t>
      </w:r>
      <w:r>
        <w:rPr>
          <w:rFonts w:hint="default" w:ascii="Times New Roman" w:hAnsi="Times New Roman" w:eastAsia="仿宋_GB2312" w:cs="Times New Roman"/>
          <w:b w:val="0"/>
          <w:bCs w:val="0"/>
          <w:color w:val="auto"/>
          <w:sz w:val="32"/>
          <w:szCs w:val="32"/>
          <w:highlight w:val="none"/>
        </w:rPr>
        <w:t>党中央、国务院</w:t>
      </w:r>
      <w:r>
        <w:rPr>
          <w:rFonts w:hint="default" w:ascii="Times New Roman" w:hAnsi="Times New Roman" w:eastAsia="仿宋_GB2312" w:cs="Times New Roman"/>
          <w:b w:val="0"/>
          <w:bCs w:val="0"/>
          <w:color w:val="auto"/>
          <w:sz w:val="32"/>
          <w:szCs w:val="32"/>
          <w:highlight w:val="none"/>
          <w:lang w:val="en-US" w:eastAsia="zh-CN"/>
        </w:rPr>
        <w:t>和</w:t>
      </w:r>
      <w:r>
        <w:rPr>
          <w:rFonts w:hint="default" w:ascii="Times New Roman" w:hAnsi="Times New Roman" w:eastAsia="仿宋_GB2312" w:cs="Times New Roman"/>
          <w:b w:val="0"/>
          <w:bCs w:val="0"/>
          <w:color w:val="auto"/>
          <w:sz w:val="32"/>
          <w:szCs w:val="32"/>
          <w:highlight w:val="none"/>
          <w:lang w:eastAsia="zh-CN"/>
        </w:rPr>
        <w:t>省、市、</w:t>
      </w:r>
      <w:r>
        <w:rPr>
          <w:rFonts w:hint="default" w:ascii="Times New Roman" w:hAnsi="Times New Roman" w:eastAsia="仿宋_GB2312" w:cs="Times New Roman"/>
          <w:b w:val="0"/>
          <w:bCs w:val="0"/>
          <w:color w:val="auto"/>
          <w:sz w:val="32"/>
          <w:szCs w:val="32"/>
          <w:highlight w:val="none"/>
          <w:lang w:val="en-US" w:eastAsia="zh-CN"/>
        </w:rPr>
        <w:t>区各级党委、政府</w:t>
      </w:r>
      <w:r>
        <w:rPr>
          <w:rFonts w:hint="default" w:ascii="Times New Roman" w:hAnsi="Times New Roman" w:eastAsia="仿宋_GB2312" w:cs="Times New Roman"/>
          <w:b w:val="0"/>
          <w:bCs w:val="0"/>
          <w:color w:val="auto"/>
          <w:sz w:val="32"/>
          <w:szCs w:val="32"/>
          <w:highlight w:val="none"/>
        </w:rPr>
        <w:t>已部署开展的</w:t>
      </w:r>
      <w:r>
        <w:rPr>
          <w:rFonts w:hint="default" w:ascii="Times New Roman" w:hAnsi="Times New Roman" w:eastAsia="仿宋_GB2312" w:cs="Times New Roman"/>
          <w:b w:val="0"/>
          <w:bCs w:val="0"/>
          <w:color w:val="auto"/>
          <w:sz w:val="32"/>
          <w:szCs w:val="32"/>
          <w:highlight w:val="none"/>
          <w:lang w:eastAsia="zh-CN"/>
        </w:rPr>
        <w:t>安全整治行动</w:t>
      </w:r>
      <w:r>
        <w:rPr>
          <w:rFonts w:hint="default" w:ascii="Times New Roman" w:hAnsi="Times New Roman" w:eastAsia="仿宋_GB2312" w:cs="Times New Roman"/>
          <w:b w:val="0"/>
          <w:bCs w:val="0"/>
          <w:color w:val="auto"/>
          <w:sz w:val="32"/>
          <w:szCs w:val="32"/>
        </w:rPr>
        <w:t>，按照原有安排继续推进。</w:t>
      </w:r>
    </w:p>
    <w:sectPr>
      <w:headerReference r:id="rId3" w:type="first"/>
      <w:footerReference r:id="rId5" w:type="first"/>
      <w:footerReference r:id="rId4" w:type="default"/>
      <w:pgSz w:w="11907" w:h="16840"/>
      <w:pgMar w:top="2154" w:right="1587" w:bottom="1304" w:left="1587" w:header="1361" w:footer="1417" w:gutter="0"/>
      <w:pgNumType w:fmt="decimal"/>
      <w:cols w:space="0" w:num="1"/>
      <w:rtlGutter w:val="0"/>
      <w:docGrid w:type="lines" w:linePitch="56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483396-78B3-47A8-A8AA-600D61030F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18CD9AE9-D9F7-4584-8136-931B88D6E84C}"/>
  </w:font>
  <w:font w:name="方正小标宋_GBK">
    <w:panose1 w:val="02000000000000000000"/>
    <w:charset w:val="86"/>
    <w:family w:val="auto"/>
    <w:pitch w:val="default"/>
    <w:sig w:usb0="A00002BF" w:usb1="38CF7CFA" w:usb2="00082016" w:usb3="00000000" w:csb0="00040001" w:csb1="00000000"/>
    <w:embedRegular r:id="rId3" w:fontKey="{6646CD5E-A3C4-4347-BD7A-569F71E535A4}"/>
  </w:font>
  <w:font w:name="仿宋_GB2312">
    <w:panose1 w:val="02010609030101010101"/>
    <w:charset w:val="86"/>
    <w:family w:val="auto"/>
    <w:pitch w:val="default"/>
    <w:sig w:usb0="00000001" w:usb1="080E0000" w:usb2="00000000" w:usb3="00000000" w:csb0="00040000" w:csb1="00000000"/>
    <w:embedRegular r:id="rId4" w:fontKey="{004C2A91-F20A-4C37-9DDC-71266BF6B518}"/>
  </w:font>
  <w:font w:name="方正仿宋简体">
    <w:panose1 w:val="02000000000000000000"/>
    <w:charset w:val="86"/>
    <w:family w:val="auto"/>
    <w:pitch w:val="default"/>
    <w:sig w:usb0="00000001" w:usb1="080E0000" w:usb2="00000000" w:usb3="00000000" w:csb0="00040000" w:csb1="00000000"/>
    <w:embedRegular r:id="rId5" w:fontKey="{491DD6AD-407B-4A4E-9CD9-D13D585AE9AD}"/>
  </w:font>
  <w:font w:name="楷体_GB2312">
    <w:panose1 w:val="02010609030101010101"/>
    <w:charset w:val="86"/>
    <w:family w:val="auto"/>
    <w:pitch w:val="default"/>
    <w:sig w:usb0="00000001" w:usb1="080E0000" w:usb2="00000000" w:usb3="00000000" w:csb0="00040000" w:csb1="00000000"/>
    <w:embedRegular r:id="rId6" w:fontKey="{961169A3-D5F7-4EF6-BA2C-9E842A75324F}"/>
  </w:font>
  <w:font w:name="方正楷体简体">
    <w:panose1 w:val="03000509000000000000"/>
    <w:charset w:val="86"/>
    <w:family w:val="auto"/>
    <w:pitch w:val="default"/>
    <w:sig w:usb0="00000001" w:usb1="080E0000" w:usb2="00000000" w:usb3="00000000" w:csb0="00040000" w:csb1="00000000"/>
    <w:embedRegular r:id="rId7" w:fontKey="{ADC407C6-7F16-48E1-902A-828EA5882CFC}"/>
  </w:font>
  <w:font w:name="华文中宋">
    <w:panose1 w:val="02010600040101010101"/>
    <w:charset w:val="86"/>
    <w:family w:val="auto"/>
    <w:pitch w:val="default"/>
    <w:sig w:usb0="00000287" w:usb1="080F0000" w:usb2="00000000" w:usb3="00000000" w:csb0="0004009F" w:csb1="DFD70000"/>
    <w:embedRegular r:id="rId8" w:fontKey="{5B06327D-06BC-4F99-A4A7-7D76ABD968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74"/>
      </w:tabs>
      <w:spacing w:line="360" w:lineRule="auto"/>
      <w:ind w:right="-794"/>
      <w:rPr>
        <w:rFonts w:hint="eastAsia"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4"/>
                              <w:szCs w:val="28"/>
                            </w:rPr>
                          </w:pPr>
                          <w:r>
                            <w:rPr>
                              <w:rFonts w:hint="default" w:ascii="Times New Roman" w:hAnsi="Times New Roman" w:cs="Times New Roman"/>
                              <w:sz w:val="24"/>
                              <w:szCs w:val="28"/>
                            </w:rPr>
                            <w:t xml:space="preserve">— </w:t>
                          </w:r>
                          <w:r>
                            <w:rPr>
                              <w:rFonts w:hint="default" w:ascii="Times New Roman" w:hAnsi="Times New Roman" w:cs="Times New Roman"/>
                              <w:sz w:val="24"/>
                              <w:szCs w:val="28"/>
                            </w:rPr>
                            <w:fldChar w:fldCharType="begin"/>
                          </w:r>
                          <w:r>
                            <w:rPr>
                              <w:rFonts w:hint="default" w:ascii="Times New Roman" w:hAnsi="Times New Roman" w:cs="Times New Roman"/>
                              <w:sz w:val="24"/>
                              <w:szCs w:val="28"/>
                            </w:rPr>
                            <w:instrText xml:space="preserve"> PAGE  \* MERGEFORMAT </w:instrText>
                          </w:r>
                          <w:r>
                            <w:rPr>
                              <w:rFonts w:hint="default" w:ascii="Times New Roman" w:hAnsi="Times New Roman" w:cs="Times New Roman"/>
                              <w:sz w:val="24"/>
                              <w:szCs w:val="28"/>
                            </w:rPr>
                            <w:fldChar w:fldCharType="separate"/>
                          </w:r>
                          <w:r>
                            <w:rPr>
                              <w:rFonts w:hint="default" w:ascii="Times New Roman" w:hAnsi="Times New Roman" w:cs="Times New Roman"/>
                              <w:sz w:val="24"/>
                              <w:szCs w:val="28"/>
                            </w:rPr>
                            <w:t>1</w:t>
                          </w:r>
                          <w:r>
                            <w:rPr>
                              <w:rFonts w:hint="default" w:ascii="Times New Roman" w:hAnsi="Times New Roman" w:cs="Times New Roman"/>
                              <w:sz w:val="24"/>
                              <w:szCs w:val="28"/>
                            </w:rPr>
                            <w:fldChar w:fldCharType="end"/>
                          </w:r>
                          <w:r>
                            <w:rPr>
                              <w:rFonts w:hint="default" w:ascii="Times New Roman" w:hAnsi="Times New Roman" w:cs="Times New Roman"/>
                              <w:sz w:val="24"/>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4"/>
                        <w:szCs w:val="28"/>
                      </w:rPr>
                    </w:pPr>
                    <w:r>
                      <w:rPr>
                        <w:rFonts w:hint="default" w:ascii="Times New Roman" w:hAnsi="Times New Roman" w:cs="Times New Roman"/>
                        <w:sz w:val="24"/>
                        <w:szCs w:val="28"/>
                      </w:rPr>
                      <w:t xml:space="preserve">— </w:t>
                    </w:r>
                    <w:r>
                      <w:rPr>
                        <w:rFonts w:hint="default" w:ascii="Times New Roman" w:hAnsi="Times New Roman" w:cs="Times New Roman"/>
                        <w:sz w:val="24"/>
                        <w:szCs w:val="28"/>
                      </w:rPr>
                      <w:fldChar w:fldCharType="begin"/>
                    </w:r>
                    <w:r>
                      <w:rPr>
                        <w:rFonts w:hint="default" w:ascii="Times New Roman" w:hAnsi="Times New Roman" w:cs="Times New Roman"/>
                        <w:sz w:val="24"/>
                        <w:szCs w:val="28"/>
                      </w:rPr>
                      <w:instrText xml:space="preserve"> PAGE  \* MERGEFORMAT </w:instrText>
                    </w:r>
                    <w:r>
                      <w:rPr>
                        <w:rFonts w:hint="default" w:ascii="Times New Roman" w:hAnsi="Times New Roman" w:cs="Times New Roman"/>
                        <w:sz w:val="24"/>
                        <w:szCs w:val="28"/>
                      </w:rPr>
                      <w:fldChar w:fldCharType="separate"/>
                    </w:r>
                    <w:r>
                      <w:rPr>
                        <w:rFonts w:hint="default" w:ascii="Times New Roman" w:hAnsi="Times New Roman" w:cs="Times New Roman"/>
                        <w:sz w:val="24"/>
                        <w:szCs w:val="28"/>
                      </w:rPr>
                      <w:t>1</w:t>
                    </w:r>
                    <w:r>
                      <w:rPr>
                        <w:rFonts w:hint="default" w:ascii="Times New Roman" w:hAnsi="Times New Roman" w:cs="Times New Roman"/>
                        <w:sz w:val="24"/>
                        <w:szCs w:val="28"/>
                      </w:rPr>
                      <w:fldChar w:fldCharType="end"/>
                    </w:r>
                    <w:r>
                      <w:rPr>
                        <w:rFonts w:hint="default" w:ascii="Times New Roman" w:hAnsi="Times New Roman" w:cs="Times New Roman"/>
                        <w:sz w:val="24"/>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67" w:leftChars="-180" w:right="-794" w:hanging="445" w:hangingChars="91"/>
      <w:jc w:val="center"/>
      <w:rPr>
        <w:rFonts w:ascii="方正小标宋_GBK" w:hAnsi="华文中宋" w:eastAsia="方正小标宋_GBK"/>
        <w:color w:val="FF4600"/>
        <w:spacing w:val="140"/>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46AF8"/>
    <w:multiLevelType w:val="singleLevel"/>
    <w:tmpl w:val="BEF46AF8"/>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97"/>
  <w:drawingGridVerticalSpacing w:val="28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MmQ0YjUxYjE2YjIyMzdiN2NjOGIzM2ZmMmE0MWIifQ=="/>
  </w:docVars>
  <w:rsids>
    <w:rsidRoot w:val="00172A27"/>
    <w:rsid w:val="000044C3"/>
    <w:rsid w:val="00053FAA"/>
    <w:rsid w:val="000563F4"/>
    <w:rsid w:val="00066335"/>
    <w:rsid w:val="00131A68"/>
    <w:rsid w:val="0013227A"/>
    <w:rsid w:val="00135F90"/>
    <w:rsid w:val="00142CCE"/>
    <w:rsid w:val="00162A22"/>
    <w:rsid w:val="001B0800"/>
    <w:rsid w:val="001B1D48"/>
    <w:rsid w:val="001D586F"/>
    <w:rsid w:val="001D7B88"/>
    <w:rsid w:val="001F7E1A"/>
    <w:rsid w:val="001F7EF7"/>
    <w:rsid w:val="00256DAA"/>
    <w:rsid w:val="002866C0"/>
    <w:rsid w:val="0028700A"/>
    <w:rsid w:val="002B3EB2"/>
    <w:rsid w:val="002C1602"/>
    <w:rsid w:val="00301C99"/>
    <w:rsid w:val="00307CAB"/>
    <w:rsid w:val="00310A33"/>
    <w:rsid w:val="00312C15"/>
    <w:rsid w:val="0033431D"/>
    <w:rsid w:val="003747D2"/>
    <w:rsid w:val="00387528"/>
    <w:rsid w:val="003A5498"/>
    <w:rsid w:val="003D7F14"/>
    <w:rsid w:val="003F0814"/>
    <w:rsid w:val="004216F4"/>
    <w:rsid w:val="00431F0C"/>
    <w:rsid w:val="0043635C"/>
    <w:rsid w:val="004468E2"/>
    <w:rsid w:val="00467300"/>
    <w:rsid w:val="004A185D"/>
    <w:rsid w:val="004A7ED2"/>
    <w:rsid w:val="0051264E"/>
    <w:rsid w:val="005257F8"/>
    <w:rsid w:val="00542D5E"/>
    <w:rsid w:val="005442CA"/>
    <w:rsid w:val="00561549"/>
    <w:rsid w:val="005A7208"/>
    <w:rsid w:val="005B2005"/>
    <w:rsid w:val="00611878"/>
    <w:rsid w:val="00622DF2"/>
    <w:rsid w:val="00662B5B"/>
    <w:rsid w:val="006634CF"/>
    <w:rsid w:val="00676325"/>
    <w:rsid w:val="006E3C65"/>
    <w:rsid w:val="006F0207"/>
    <w:rsid w:val="006F0E26"/>
    <w:rsid w:val="00784715"/>
    <w:rsid w:val="00791A8C"/>
    <w:rsid w:val="00796D2B"/>
    <w:rsid w:val="007B3DE0"/>
    <w:rsid w:val="007D0C85"/>
    <w:rsid w:val="007D4F2B"/>
    <w:rsid w:val="0080164B"/>
    <w:rsid w:val="00803A00"/>
    <w:rsid w:val="00812B61"/>
    <w:rsid w:val="00831145"/>
    <w:rsid w:val="0085357B"/>
    <w:rsid w:val="00881CF0"/>
    <w:rsid w:val="00897766"/>
    <w:rsid w:val="008E476F"/>
    <w:rsid w:val="008F076E"/>
    <w:rsid w:val="008F4606"/>
    <w:rsid w:val="00907300"/>
    <w:rsid w:val="00932059"/>
    <w:rsid w:val="00951B90"/>
    <w:rsid w:val="00970586"/>
    <w:rsid w:val="0097627A"/>
    <w:rsid w:val="00976758"/>
    <w:rsid w:val="00996F0E"/>
    <w:rsid w:val="009A332A"/>
    <w:rsid w:val="009D2A31"/>
    <w:rsid w:val="009F105C"/>
    <w:rsid w:val="00A037DE"/>
    <w:rsid w:val="00A13323"/>
    <w:rsid w:val="00A16286"/>
    <w:rsid w:val="00A43406"/>
    <w:rsid w:val="00A53711"/>
    <w:rsid w:val="00A907E8"/>
    <w:rsid w:val="00AA51FA"/>
    <w:rsid w:val="00AA639D"/>
    <w:rsid w:val="00B03D5D"/>
    <w:rsid w:val="00B03EBD"/>
    <w:rsid w:val="00B623F1"/>
    <w:rsid w:val="00BA39F6"/>
    <w:rsid w:val="00BA4E41"/>
    <w:rsid w:val="00BC0F7E"/>
    <w:rsid w:val="00BD4D3D"/>
    <w:rsid w:val="00BD5262"/>
    <w:rsid w:val="00BF03FF"/>
    <w:rsid w:val="00BF7632"/>
    <w:rsid w:val="00C007EB"/>
    <w:rsid w:val="00C14FC9"/>
    <w:rsid w:val="00C4291C"/>
    <w:rsid w:val="00C4667A"/>
    <w:rsid w:val="00C47DE3"/>
    <w:rsid w:val="00C713ED"/>
    <w:rsid w:val="00C96CD0"/>
    <w:rsid w:val="00CC0475"/>
    <w:rsid w:val="00CD0B48"/>
    <w:rsid w:val="00CD57C3"/>
    <w:rsid w:val="00CE58D1"/>
    <w:rsid w:val="00CF0995"/>
    <w:rsid w:val="00CF2E16"/>
    <w:rsid w:val="00D11287"/>
    <w:rsid w:val="00D44918"/>
    <w:rsid w:val="00D513CB"/>
    <w:rsid w:val="00D56F14"/>
    <w:rsid w:val="00D81E88"/>
    <w:rsid w:val="00DB7A4E"/>
    <w:rsid w:val="00DC1067"/>
    <w:rsid w:val="00DC1970"/>
    <w:rsid w:val="00DC27EE"/>
    <w:rsid w:val="00DD78F7"/>
    <w:rsid w:val="00DE5C1E"/>
    <w:rsid w:val="00DF3A25"/>
    <w:rsid w:val="00E71F4D"/>
    <w:rsid w:val="00E84293"/>
    <w:rsid w:val="00E85D82"/>
    <w:rsid w:val="00E915B2"/>
    <w:rsid w:val="00EC660A"/>
    <w:rsid w:val="00EE0E2F"/>
    <w:rsid w:val="00EF5721"/>
    <w:rsid w:val="00F20FA1"/>
    <w:rsid w:val="00F3462B"/>
    <w:rsid w:val="00F36BFC"/>
    <w:rsid w:val="00F57E4F"/>
    <w:rsid w:val="00F611D6"/>
    <w:rsid w:val="00F62F66"/>
    <w:rsid w:val="00F805CB"/>
    <w:rsid w:val="00F964AF"/>
    <w:rsid w:val="00FB6C38"/>
    <w:rsid w:val="00FD106D"/>
    <w:rsid w:val="01D75605"/>
    <w:rsid w:val="03FC3C2F"/>
    <w:rsid w:val="040B27B7"/>
    <w:rsid w:val="041A009A"/>
    <w:rsid w:val="04731B5B"/>
    <w:rsid w:val="056F2E0E"/>
    <w:rsid w:val="06606F9F"/>
    <w:rsid w:val="06E42EA2"/>
    <w:rsid w:val="0757641B"/>
    <w:rsid w:val="079C3BAE"/>
    <w:rsid w:val="08117AE0"/>
    <w:rsid w:val="09E8755A"/>
    <w:rsid w:val="0B9056EF"/>
    <w:rsid w:val="0C9870EE"/>
    <w:rsid w:val="0CE24742"/>
    <w:rsid w:val="0CEF1CEA"/>
    <w:rsid w:val="0D0439AD"/>
    <w:rsid w:val="0D2836DD"/>
    <w:rsid w:val="0D6F1799"/>
    <w:rsid w:val="0DDF6910"/>
    <w:rsid w:val="0DE17D1A"/>
    <w:rsid w:val="0E276147"/>
    <w:rsid w:val="0E642D2B"/>
    <w:rsid w:val="0F7A6F5A"/>
    <w:rsid w:val="0FAA52B5"/>
    <w:rsid w:val="0FBF25C4"/>
    <w:rsid w:val="0FD77389"/>
    <w:rsid w:val="101E3DAE"/>
    <w:rsid w:val="11CA3BB3"/>
    <w:rsid w:val="12715565"/>
    <w:rsid w:val="12D15108"/>
    <w:rsid w:val="12D530A0"/>
    <w:rsid w:val="131E545C"/>
    <w:rsid w:val="13881418"/>
    <w:rsid w:val="13AD2810"/>
    <w:rsid w:val="141038E9"/>
    <w:rsid w:val="17EF6CE3"/>
    <w:rsid w:val="18B72A10"/>
    <w:rsid w:val="18C7248A"/>
    <w:rsid w:val="18F724C6"/>
    <w:rsid w:val="19B7492C"/>
    <w:rsid w:val="19B94E1E"/>
    <w:rsid w:val="1A5D77E2"/>
    <w:rsid w:val="1A763DCC"/>
    <w:rsid w:val="1A7BA65C"/>
    <w:rsid w:val="1A9731B0"/>
    <w:rsid w:val="1AFD0FBC"/>
    <w:rsid w:val="1B6A60FA"/>
    <w:rsid w:val="1BAE487D"/>
    <w:rsid w:val="1BB60CC2"/>
    <w:rsid w:val="1C0757D9"/>
    <w:rsid w:val="1C4B09C6"/>
    <w:rsid w:val="1C500D4E"/>
    <w:rsid w:val="1D5C2043"/>
    <w:rsid w:val="1E677EF4"/>
    <w:rsid w:val="1EAE36D0"/>
    <w:rsid w:val="1EBFA21B"/>
    <w:rsid w:val="1F0D6F2C"/>
    <w:rsid w:val="1F231A36"/>
    <w:rsid w:val="204D77E3"/>
    <w:rsid w:val="20C92BF6"/>
    <w:rsid w:val="20F63486"/>
    <w:rsid w:val="218E0668"/>
    <w:rsid w:val="21A110B9"/>
    <w:rsid w:val="21FE1783"/>
    <w:rsid w:val="22350CB3"/>
    <w:rsid w:val="22E83D24"/>
    <w:rsid w:val="23513D31"/>
    <w:rsid w:val="23B4542B"/>
    <w:rsid w:val="23CF737F"/>
    <w:rsid w:val="23EB09D5"/>
    <w:rsid w:val="242F3B4F"/>
    <w:rsid w:val="244011C6"/>
    <w:rsid w:val="24DA3F4D"/>
    <w:rsid w:val="25DB00BB"/>
    <w:rsid w:val="26A55318"/>
    <w:rsid w:val="270C12D4"/>
    <w:rsid w:val="276B59B2"/>
    <w:rsid w:val="2780191D"/>
    <w:rsid w:val="27AE3812"/>
    <w:rsid w:val="27EE7176"/>
    <w:rsid w:val="28F14AFE"/>
    <w:rsid w:val="29D06241"/>
    <w:rsid w:val="2A0657B3"/>
    <w:rsid w:val="2BC1060D"/>
    <w:rsid w:val="2CED680B"/>
    <w:rsid w:val="2D217F27"/>
    <w:rsid w:val="2F0D7C47"/>
    <w:rsid w:val="2F7C41F6"/>
    <w:rsid w:val="2F7F5635"/>
    <w:rsid w:val="2F855C2E"/>
    <w:rsid w:val="2F891363"/>
    <w:rsid w:val="2FF48566"/>
    <w:rsid w:val="2FFF2159"/>
    <w:rsid w:val="30265578"/>
    <w:rsid w:val="306A1144"/>
    <w:rsid w:val="31587F02"/>
    <w:rsid w:val="340B5956"/>
    <w:rsid w:val="344B6F6A"/>
    <w:rsid w:val="34B319EC"/>
    <w:rsid w:val="3512281F"/>
    <w:rsid w:val="3539349A"/>
    <w:rsid w:val="354F144F"/>
    <w:rsid w:val="36093C85"/>
    <w:rsid w:val="36566BC7"/>
    <w:rsid w:val="37DB65F5"/>
    <w:rsid w:val="37FE9CDB"/>
    <w:rsid w:val="381E21CD"/>
    <w:rsid w:val="383C22E2"/>
    <w:rsid w:val="396377F7"/>
    <w:rsid w:val="399D36E6"/>
    <w:rsid w:val="3B2C4B75"/>
    <w:rsid w:val="3B510CAF"/>
    <w:rsid w:val="3BABE9AE"/>
    <w:rsid w:val="3BAD00B5"/>
    <w:rsid w:val="3BC27434"/>
    <w:rsid w:val="3C9140E2"/>
    <w:rsid w:val="3D3C0564"/>
    <w:rsid w:val="3DADC899"/>
    <w:rsid w:val="3DBFAD34"/>
    <w:rsid w:val="3DC50166"/>
    <w:rsid w:val="3DEB5209"/>
    <w:rsid w:val="3DFF6A69"/>
    <w:rsid w:val="3E123F48"/>
    <w:rsid w:val="3F3F6178"/>
    <w:rsid w:val="3F3FA006"/>
    <w:rsid w:val="3F920992"/>
    <w:rsid w:val="3FE94028"/>
    <w:rsid w:val="3FFF4ED1"/>
    <w:rsid w:val="40907B01"/>
    <w:rsid w:val="41060583"/>
    <w:rsid w:val="419D4F44"/>
    <w:rsid w:val="43832719"/>
    <w:rsid w:val="43BF6712"/>
    <w:rsid w:val="43D83679"/>
    <w:rsid w:val="44125131"/>
    <w:rsid w:val="442858E1"/>
    <w:rsid w:val="45E26D59"/>
    <w:rsid w:val="467534E6"/>
    <w:rsid w:val="47016197"/>
    <w:rsid w:val="47F24AB4"/>
    <w:rsid w:val="47FD3BAC"/>
    <w:rsid w:val="4802238A"/>
    <w:rsid w:val="48647EA7"/>
    <w:rsid w:val="48811D03"/>
    <w:rsid w:val="48B22E80"/>
    <w:rsid w:val="48BD345D"/>
    <w:rsid w:val="48D91458"/>
    <w:rsid w:val="4A110C0C"/>
    <w:rsid w:val="4A8A21CE"/>
    <w:rsid w:val="4ABC2012"/>
    <w:rsid w:val="4AEE5E4B"/>
    <w:rsid w:val="4B9D4493"/>
    <w:rsid w:val="4CC7713D"/>
    <w:rsid w:val="4D3B536B"/>
    <w:rsid w:val="4DDC7188"/>
    <w:rsid w:val="4DF010B1"/>
    <w:rsid w:val="4E9179F4"/>
    <w:rsid w:val="4EAF0F2F"/>
    <w:rsid w:val="4F56D472"/>
    <w:rsid w:val="4FD20540"/>
    <w:rsid w:val="4FDDA334"/>
    <w:rsid w:val="4FFD1954"/>
    <w:rsid w:val="4FFFA0CF"/>
    <w:rsid w:val="500F0F37"/>
    <w:rsid w:val="504512B0"/>
    <w:rsid w:val="505475F5"/>
    <w:rsid w:val="50664FFD"/>
    <w:rsid w:val="506F2F0C"/>
    <w:rsid w:val="50855379"/>
    <w:rsid w:val="50A373DC"/>
    <w:rsid w:val="52416EAD"/>
    <w:rsid w:val="52637982"/>
    <w:rsid w:val="52CC045A"/>
    <w:rsid w:val="532D11DF"/>
    <w:rsid w:val="535B2E50"/>
    <w:rsid w:val="53B907E4"/>
    <w:rsid w:val="53D61148"/>
    <w:rsid w:val="53DE112B"/>
    <w:rsid w:val="550F51F8"/>
    <w:rsid w:val="55729435"/>
    <w:rsid w:val="55AE11CE"/>
    <w:rsid w:val="55E3631D"/>
    <w:rsid w:val="55FB68C0"/>
    <w:rsid w:val="55FC8E90"/>
    <w:rsid w:val="56420FF2"/>
    <w:rsid w:val="574F043E"/>
    <w:rsid w:val="575C02E5"/>
    <w:rsid w:val="577526B1"/>
    <w:rsid w:val="57F3E014"/>
    <w:rsid w:val="57FFA494"/>
    <w:rsid w:val="58EF1411"/>
    <w:rsid w:val="59636D02"/>
    <w:rsid w:val="5A964DAC"/>
    <w:rsid w:val="5AE00784"/>
    <w:rsid w:val="5BC33CB8"/>
    <w:rsid w:val="5BC64B0E"/>
    <w:rsid w:val="5BD94951"/>
    <w:rsid w:val="5BDB7455"/>
    <w:rsid w:val="5BDD6D4D"/>
    <w:rsid w:val="5C1B1939"/>
    <w:rsid w:val="5C6254BE"/>
    <w:rsid w:val="5CDD0C85"/>
    <w:rsid w:val="5CFE9AAD"/>
    <w:rsid w:val="5D356718"/>
    <w:rsid w:val="5D7460F9"/>
    <w:rsid w:val="5DB74F34"/>
    <w:rsid w:val="5DBFE5CA"/>
    <w:rsid w:val="5DDB09B7"/>
    <w:rsid w:val="5DFEAB1A"/>
    <w:rsid w:val="5E1C1E4A"/>
    <w:rsid w:val="5E927E8B"/>
    <w:rsid w:val="5F5F448E"/>
    <w:rsid w:val="5F873023"/>
    <w:rsid w:val="5FEB6C0D"/>
    <w:rsid w:val="5FF75ADB"/>
    <w:rsid w:val="5FF783E0"/>
    <w:rsid w:val="5FFD872C"/>
    <w:rsid w:val="5FFDBB15"/>
    <w:rsid w:val="60043D2B"/>
    <w:rsid w:val="60CE6D99"/>
    <w:rsid w:val="61646714"/>
    <w:rsid w:val="61EFEC20"/>
    <w:rsid w:val="61F11A62"/>
    <w:rsid w:val="630B27FF"/>
    <w:rsid w:val="631D6B7A"/>
    <w:rsid w:val="639670BD"/>
    <w:rsid w:val="63AD0817"/>
    <w:rsid w:val="6522573F"/>
    <w:rsid w:val="65260FA1"/>
    <w:rsid w:val="65417E3F"/>
    <w:rsid w:val="658A1F93"/>
    <w:rsid w:val="65D6866C"/>
    <w:rsid w:val="66740A6F"/>
    <w:rsid w:val="66DC7694"/>
    <w:rsid w:val="66EFA1B8"/>
    <w:rsid w:val="674DE0DD"/>
    <w:rsid w:val="679BFE92"/>
    <w:rsid w:val="67FBDE60"/>
    <w:rsid w:val="67FD0470"/>
    <w:rsid w:val="681B1062"/>
    <w:rsid w:val="685A60B2"/>
    <w:rsid w:val="68B35F31"/>
    <w:rsid w:val="68DB0A85"/>
    <w:rsid w:val="694118C2"/>
    <w:rsid w:val="69473E43"/>
    <w:rsid w:val="696F5F17"/>
    <w:rsid w:val="6A2B6B3C"/>
    <w:rsid w:val="6A812DDD"/>
    <w:rsid w:val="6B1162B2"/>
    <w:rsid w:val="6B2F38EF"/>
    <w:rsid w:val="6B5A1ECF"/>
    <w:rsid w:val="6B687D42"/>
    <w:rsid w:val="6BE648F5"/>
    <w:rsid w:val="6BF2B947"/>
    <w:rsid w:val="6C5C6E47"/>
    <w:rsid w:val="6D115F8C"/>
    <w:rsid w:val="6D280155"/>
    <w:rsid w:val="6D85430C"/>
    <w:rsid w:val="6DDD6D0A"/>
    <w:rsid w:val="6ED73051"/>
    <w:rsid w:val="6EEC0ADA"/>
    <w:rsid w:val="6EEE1B73"/>
    <w:rsid w:val="6F77693E"/>
    <w:rsid w:val="6F7B8D14"/>
    <w:rsid w:val="6F7E50EE"/>
    <w:rsid w:val="6FA96B04"/>
    <w:rsid w:val="6FAA2375"/>
    <w:rsid w:val="6FB50D7A"/>
    <w:rsid w:val="6FBE6ED6"/>
    <w:rsid w:val="6FE15B9F"/>
    <w:rsid w:val="6FF7A183"/>
    <w:rsid w:val="6FFF3699"/>
    <w:rsid w:val="704853A9"/>
    <w:rsid w:val="706A79F2"/>
    <w:rsid w:val="70910332"/>
    <w:rsid w:val="70CE5958"/>
    <w:rsid w:val="70D75F1C"/>
    <w:rsid w:val="71A3AA4E"/>
    <w:rsid w:val="71FE252D"/>
    <w:rsid w:val="73215809"/>
    <w:rsid w:val="732361E9"/>
    <w:rsid w:val="73F73A9C"/>
    <w:rsid w:val="74A40EAA"/>
    <w:rsid w:val="74D245A1"/>
    <w:rsid w:val="74E53BFD"/>
    <w:rsid w:val="75172D5B"/>
    <w:rsid w:val="757A242A"/>
    <w:rsid w:val="75ED93FD"/>
    <w:rsid w:val="75FFE1AA"/>
    <w:rsid w:val="762A7AD4"/>
    <w:rsid w:val="763680C4"/>
    <w:rsid w:val="76B70806"/>
    <w:rsid w:val="76DFC812"/>
    <w:rsid w:val="76F06C00"/>
    <w:rsid w:val="77373CEF"/>
    <w:rsid w:val="777D532B"/>
    <w:rsid w:val="77AD547B"/>
    <w:rsid w:val="77DE2587"/>
    <w:rsid w:val="77FC839E"/>
    <w:rsid w:val="77FF5CB1"/>
    <w:rsid w:val="780C035A"/>
    <w:rsid w:val="78A02F61"/>
    <w:rsid w:val="78BF3430"/>
    <w:rsid w:val="78BF6912"/>
    <w:rsid w:val="791B49FC"/>
    <w:rsid w:val="796A3742"/>
    <w:rsid w:val="797EB450"/>
    <w:rsid w:val="797FD886"/>
    <w:rsid w:val="79DB84CB"/>
    <w:rsid w:val="79FD58D6"/>
    <w:rsid w:val="79FDE2F4"/>
    <w:rsid w:val="7A0423EA"/>
    <w:rsid w:val="7A37AE26"/>
    <w:rsid w:val="7A3B2747"/>
    <w:rsid w:val="7AEF9409"/>
    <w:rsid w:val="7AF4D059"/>
    <w:rsid w:val="7BC6579F"/>
    <w:rsid w:val="7BDF3295"/>
    <w:rsid w:val="7BFBE23D"/>
    <w:rsid w:val="7BFF9B64"/>
    <w:rsid w:val="7C456638"/>
    <w:rsid w:val="7C5FBC96"/>
    <w:rsid w:val="7CFD5917"/>
    <w:rsid w:val="7CFEC9B7"/>
    <w:rsid w:val="7D7F8CCF"/>
    <w:rsid w:val="7D9FDB1E"/>
    <w:rsid w:val="7DA96D5D"/>
    <w:rsid w:val="7DD702DC"/>
    <w:rsid w:val="7DFBE0AA"/>
    <w:rsid w:val="7DFE7F11"/>
    <w:rsid w:val="7E3D015E"/>
    <w:rsid w:val="7E768E17"/>
    <w:rsid w:val="7E7B3F45"/>
    <w:rsid w:val="7EB99C71"/>
    <w:rsid w:val="7EF2F244"/>
    <w:rsid w:val="7EFF9B2A"/>
    <w:rsid w:val="7F178269"/>
    <w:rsid w:val="7F3C36C3"/>
    <w:rsid w:val="7F3F37E7"/>
    <w:rsid w:val="7F7B4AD0"/>
    <w:rsid w:val="7F864634"/>
    <w:rsid w:val="7F9FE514"/>
    <w:rsid w:val="7FB7C8D8"/>
    <w:rsid w:val="7FB7C963"/>
    <w:rsid w:val="7FC317B7"/>
    <w:rsid w:val="7FDD8E78"/>
    <w:rsid w:val="7FE356E7"/>
    <w:rsid w:val="7FE5E37F"/>
    <w:rsid w:val="7FF34316"/>
    <w:rsid w:val="7FFE168C"/>
    <w:rsid w:val="7FFFAC11"/>
    <w:rsid w:val="8C9FD1BF"/>
    <w:rsid w:val="8F7ED8A6"/>
    <w:rsid w:val="93BF5684"/>
    <w:rsid w:val="99FD4C0C"/>
    <w:rsid w:val="9DF63292"/>
    <w:rsid w:val="9EBB926A"/>
    <w:rsid w:val="9FEDFB46"/>
    <w:rsid w:val="9FEE2D23"/>
    <w:rsid w:val="9FF7C57F"/>
    <w:rsid w:val="AAEBFB7E"/>
    <w:rsid w:val="ABFB1806"/>
    <w:rsid w:val="ADFB6D74"/>
    <w:rsid w:val="AEF5EB54"/>
    <w:rsid w:val="AFFF8752"/>
    <w:rsid w:val="B0CD5A94"/>
    <w:rsid w:val="B1FD0207"/>
    <w:rsid w:val="B6EF2607"/>
    <w:rsid w:val="B7BEAACC"/>
    <w:rsid w:val="B8FEA808"/>
    <w:rsid w:val="B999E7E5"/>
    <w:rsid w:val="BA7B23C6"/>
    <w:rsid w:val="BBF67CD7"/>
    <w:rsid w:val="BD7DA28C"/>
    <w:rsid w:val="BE6F4F2B"/>
    <w:rsid w:val="BF97C381"/>
    <w:rsid w:val="BFD60EE8"/>
    <w:rsid w:val="BFF57C05"/>
    <w:rsid w:val="BFFBBF9D"/>
    <w:rsid w:val="C5BF4D4B"/>
    <w:rsid w:val="CDDF1AA7"/>
    <w:rsid w:val="CDEF774C"/>
    <w:rsid w:val="CDF3CE91"/>
    <w:rsid w:val="D271D796"/>
    <w:rsid w:val="D691032F"/>
    <w:rsid w:val="D7BFA942"/>
    <w:rsid w:val="D7FF8F90"/>
    <w:rsid w:val="D8AF7FC5"/>
    <w:rsid w:val="D8FF6E45"/>
    <w:rsid w:val="DB9FCD13"/>
    <w:rsid w:val="DBF769F7"/>
    <w:rsid w:val="DBFE7188"/>
    <w:rsid w:val="DE776647"/>
    <w:rsid w:val="DEFB61F2"/>
    <w:rsid w:val="DF389115"/>
    <w:rsid w:val="DF5FD8C2"/>
    <w:rsid w:val="DF7CBD8A"/>
    <w:rsid w:val="DF7F87F3"/>
    <w:rsid w:val="DFBF9178"/>
    <w:rsid w:val="DFE6C48C"/>
    <w:rsid w:val="DFEE15A4"/>
    <w:rsid w:val="DFF726F2"/>
    <w:rsid w:val="DFF77061"/>
    <w:rsid w:val="DFFBDA7D"/>
    <w:rsid w:val="DFFED90D"/>
    <w:rsid w:val="E57EC8C2"/>
    <w:rsid w:val="E597B022"/>
    <w:rsid w:val="E6ECB333"/>
    <w:rsid w:val="E6EF2A4F"/>
    <w:rsid w:val="E6F4A6F5"/>
    <w:rsid w:val="E77F3020"/>
    <w:rsid w:val="E8E7DD25"/>
    <w:rsid w:val="E9FD1068"/>
    <w:rsid w:val="E9FFFD27"/>
    <w:rsid w:val="EC373DD9"/>
    <w:rsid w:val="ECDC9B6B"/>
    <w:rsid w:val="ED5F29F5"/>
    <w:rsid w:val="ED7D666E"/>
    <w:rsid w:val="ED9F49F7"/>
    <w:rsid w:val="EE6F4389"/>
    <w:rsid w:val="EF7F022A"/>
    <w:rsid w:val="EF8FF807"/>
    <w:rsid w:val="EFBE9C73"/>
    <w:rsid w:val="EFD4714F"/>
    <w:rsid w:val="EFF700E5"/>
    <w:rsid w:val="EFFF636D"/>
    <w:rsid w:val="F17FAB02"/>
    <w:rsid w:val="F4C7B572"/>
    <w:rsid w:val="F5E7D640"/>
    <w:rsid w:val="F5F234AE"/>
    <w:rsid w:val="F5FEF574"/>
    <w:rsid w:val="F6DE4496"/>
    <w:rsid w:val="F73F5FB1"/>
    <w:rsid w:val="F73FCCF7"/>
    <w:rsid w:val="F77FEA08"/>
    <w:rsid w:val="F7CF7558"/>
    <w:rsid w:val="F7D7C751"/>
    <w:rsid w:val="F7DA1C43"/>
    <w:rsid w:val="F7DF6ADB"/>
    <w:rsid w:val="F7E73AAA"/>
    <w:rsid w:val="F97672E5"/>
    <w:rsid w:val="F97BAB00"/>
    <w:rsid w:val="F9EFCDE2"/>
    <w:rsid w:val="F9F186C8"/>
    <w:rsid w:val="FB7F6DC3"/>
    <w:rsid w:val="FBB7F724"/>
    <w:rsid w:val="FCCEA494"/>
    <w:rsid w:val="FCE7C22E"/>
    <w:rsid w:val="FDBF10D1"/>
    <w:rsid w:val="FDD509D3"/>
    <w:rsid w:val="FE7E7709"/>
    <w:rsid w:val="FED719A5"/>
    <w:rsid w:val="FEDDFD9C"/>
    <w:rsid w:val="FEE71EA2"/>
    <w:rsid w:val="FF1F80CF"/>
    <w:rsid w:val="FF6FE9DB"/>
    <w:rsid w:val="FF795124"/>
    <w:rsid w:val="FFE9F2CA"/>
    <w:rsid w:val="FFEDE6D0"/>
    <w:rsid w:val="FFEF6B33"/>
    <w:rsid w:val="FFF4D1E3"/>
    <w:rsid w:val="FFFA0A6A"/>
    <w:rsid w:val="FFFAC13C"/>
    <w:rsid w:val="FFFB9974"/>
    <w:rsid w:val="FFFD13D0"/>
    <w:rsid w:val="FFFE5E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semiHidden="0" w:name="List Number 5"/>
    <w:lsdException w:qFormat="1" w:unhideWhenUsed="0" w:uiPriority="10" w:semiHidden="0" w:name="Title"/>
    <w:lsdException w:uiPriority="0" w:name="Closing"/>
    <w:lsdException w:uiPriority="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autoRedefine/>
    <w:qFormat/>
    <w:uiPriority w:val="0"/>
  </w:style>
  <w:style w:type="table" w:default="1" w:styleId="13">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eastAsia="仿宋"/>
      <w:sz w:val="32"/>
    </w:rPr>
  </w:style>
  <w:style w:type="paragraph" w:styleId="3">
    <w:name w:val="Body Text"/>
    <w:basedOn w:val="1"/>
    <w:next w:val="1"/>
    <w:autoRedefine/>
    <w:qFormat/>
    <w:uiPriority w:val="0"/>
  </w:style>
  <w:style w:type="paragraph" w:styleId="4">
    <w:name w:val="Body Text Indent"/>
    <w:basedOn w:val="1"/>
    <w:next w:val="1"/>
    <w:autoRedefine/>
    <w:qFormat/>
    <w:uiPriority w:val="0"/>
    <w:pPr>
      <w:spacing w:after="120"/>
      <w:ind w:left="420" w:leftChars="200"/>
    </w:pPr>
  </w:style>
  <w:style w:type="paragraph" w:styleId="5">
    <w:name w:val="Plain Text"/>
    <w:basedOn w:val="1"/>
    <w:next w:val="6"/>
    <w:autoRedefine/>
    <w:qFormat/>
    <w:uiPriority w:val="0"/>
    <w:rPr>
      <w:rFonts w:ascii="宋体" w:hAnsi="Courier New" w:eastAsia="宋体" w:cs="宋体"/>
    </w:rPr>
  </w:style>
  <w:style w:type="paragraph" w:styleId="6">
    <w:name w:val="List Number 5"/>
    <w:basedOn w:val="1"/>
    <w:autoRedefine/>
    <w:unhideWhenUsed/>
    <w:qFormat/>
    <w:uiPriority w:val="0"/>
    <w:pPr>
      <w:numPr>
        <w:ilvl w:val="0"/>
        <w:numId w:val="1"/>
      </w:numPr>
    </w:pPr>
  </w:style>
  <w:style w:type="paragraph" w:styleId="7">
    <w:name w:val="Balloon Text"/>
    <w:basedOn w:val="1"/>
    <w:link w:val="17"/>
    <w:autoRedefine/>
    <w:unhideWhenUsed/>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autoRedefine/>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unhideWhenUsed/>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4"/>
    <w:next w:val="3"/>
    <w:autoRedefine/>
    <w:qFormat/>
    <w:uiPriority w:val="0"/>
    <w:pPr>
      <w:spacing w:after="0"/>
      <w:ind w:firstLine="420" w:firstLineChars="200"/>
    </w:pPr>
    <w:rPr>
      <w:rFonts w:ascii="Calibri" w:hAnsi="Calibri" w:eastAsia="宋体" w:cs="Times New Roman"/>
      <w:szCs w:val="24"/>
    </w:rPr>
  </w:style>
  <w:style w:type="table" w:styleId="14">
    <w:name w:val="Table Grid"/>
    <w:basedOn w:val="1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0"/>
  </w:style>
  <w:style w:type="character" w:customStyle="1" w:styleId="17">
    <w:name w:val="批注框文本 Char"/>
    <w:basedOn w:val="15"/>
    <w:link w:val="7"/>
    <w:autoRedefine/>
    <w:semiHidden/>
    <w:qFormat/>
    <w:uiPriority w:val="0"/>
    <w:rPr>
      <w:kern w:val="2"/>
      <w:sz w:val="18"/>
      <w:szCs w:val="18"/>
    </w:rPr>
  </w:style>
  <w:style w:type="paragraph" w:customStyle="1" w:styleId="18">
    <w:name w:val="正文首行缩进 21"/>
    <w:basedOn w:val="4"/>
    <w:autoRedefine/>
    <w:qFormat/>
    <w:uiPriority w:val="0"/>
    <w:pPr>
      <w:spacing w:after="0"/>
      <w:ind w:firstLine="420" w:firstLineChars="200"/>
    </w:pPr>
    <w:rPr>
      <w:rFonts w:cs="宋体"/>
    </w:rPr>
  </w:style>
  <w:style w:type="paragraph" w:customStyle="1" w:styleId="19">
    <w:name w:val="NormalIndent"/>
    <w:basedOn w:val="1"/>
    <w:autoRedefine/>
    <w:qFormat/>
    <w:uiPriority w:val="0"/>
    <w:pPr>
      <w:ind w:firstLine="420" w:firstLineChars="200"/>
      <w:jc w:val="both"/>
      <w:textAlignment w:val="baseline"/>
    </w:pPr>
  </w:style>
  <w:style w:type="paragraph" w:styleId="20">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Pages>24</Pages>
  <Words>13122</Words>
  <Characters>13404</Characters>
  <Lines>21</Lines>
  <Paragraphs>6</Paragraphs>
  <TotalTime>23</TotalTime>
  <ScaleCrop>false</ScaleCrop>
  <LinksUpToDate>false</LinksUpToDate>
  <CharactersWithSpaces>13412</CharactersWithSpaces>
  <Application>WPS Office_12.1.0.16417_F1E327BC-269C-435d-A152-05C5408002CA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2023-08-18T08:16:00Z</dcterms:created>
  <dc:creator>yjglb</dc:creator>
  <cp:lastModifiedBy>Always</cp:lastModifiedBy>
  <cp:lastPrinted>2024-01-12T22:07:00Z</cp:lastPrinted>
  <dcterms:modified xsi:type="dcterms:W3CDTF">2024-05-07T01:54:52Z</dcterms:modified>
  <dc:title>关于以国务院安委会办公室名义印发</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DA8ED11B28624899AC82F311761EB85D_13</vt:lpwstr>
  </property>
  <property fmtid="{D5CDD505-2E9C-101B-9397-08002B2CF9AE}" pid="4" name="hmcheck_markmode">
    <vt:r8>0</vt:r8>
  </property>
</Properties>
</file>