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小标宋_GBK" w:cs="Times New Roman"/>
          <w:b/>
          <w:color w:val="000000"/>
          <w:spacing w:val="-12"/>
          <w:w w:val="62"/>
          <w:sz w:val="144"/>
          <w:szCs w:val="144"/>
        </w:rPr>
      </w:pPr>
    </w:p>
    <w:p>
      <w:pPr>
        <w:rPr>
          <w:rFonts w:ascii="Times New Roman" w:hAnsi="Times New Roman" w:eastAsia="方正小标宋_GBK" w:cs="Times New Roman"/>
          <w:b/>
          <w:color w:val="FFFFFF"/>
          <w:spacing w:val="-12"/>
          <w:w w:val="62"/>
          <w:sz w:val="144"/>
          <w:szCs w:val="144"/>
        </w:rPr>
      </w:pPr>
      <w:r>
        <w:rPr>
          <w:rFonts w:ascii="Times New Roman" w:hAnsi="Times New Roman" w:eastAsia="方正小标宋_GBK" w:cs="Times New Roman"/>
          <w:b/>
          <w:color w:val="FFFFFF"/>
          <w:spacing w:val="-12"/>
          <w:w w:val="62"/>
          <w:sz w:val="144"/>
          <w:szCs w:val="144"/>
        </w:rPr>
        <w:t>济宁市兖州区人民政府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济兖政字</w:t>
      </w:r>
      <w:r>
        <w:rPr>
          <w:rFonts w:ascii="Times New Roman" w:hAnsi="Times New Roman" w:eastAsia="方正仿宋简体" w:cs="Times New Roman"/>
          <w:sz w:val="32"/>
          <w:szCs w:val="32"/>
        </w:rPr>
        <w:t>〔2023〕10号</w:t>
      </w:r>
    </w:p>
    <w:p>
      <w:pPr>
        <w:tabs>
          <w:tab w:val="center" w:pos="4365"/>
        </w:tabs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color w:val="000000"/>
          <w:spacing w:val="-12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103505</wp:posOffset>
                </wp:positionV>
                <wp:extent cx="5575300" cy="635"/>
                <wp:effectExtent l="15240" t="8255" r="10160" b="1016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3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8.7pt;margin-top:8.15pt;height:0.05pt;width:439pt;z-index:251662336;mso-width-relative:page;mso-height-relative:page;" filled="f" stroked="t" coordsize="21600,21600" o:gfxdata="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qGiZ9UAAAAIAQAADwAAAAAAAAABACAAAAAiAAAAZHJz&#10;L2Rvd25yZXYueG1sUEsBAhQAFAAAAAgAh07iQBfDl9DOAQAAogMAAA4AAAAAAAAAAQAgAAAAJAEA&#10;AGRycy9lMm9Eb2MueG1sUEsFBgAAAAAGAAYAWQEAAGQFAAAAAA==&#10;">
                <v:fill on="f" focussize="0,0"/>
                <v:stroke weight="1.25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济宁市兖州区人民政府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关于印发济宁市兖州区国家生态文明建设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示范区创建工作方案的通知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9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各镇人民政府，各街道办事处，兖州工业园区管委会，区政府各部门、单位：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现将《济宁市兖州区国家生态文明建设示范区创建工作方案》印发给你们，请认真组织实施。</w:t>
      </w:r>
    </w:p>
    <w:p>
      <w:pPr>
        <w:adjustRightInd w:val="0"/>
        <w:snapToGrid w:val="0"/>
        <w:spacing w:line="59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济宁市兖州区人民政府</w:t>
      </w:r>
    </w:p>
    <w:p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2023年6月29日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（此件公开发布）</w:t>
      </w:r>
    </w:p>
    <w:p>
      <w:pPr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济宁市兖州区国家生态文明建设示范区创建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工  作  方  案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pacing w:val="-4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为全面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提升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 w:eastAsia="zh-CN"/>
        </w:rPr>
        <w:t>济宁市兖州区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生态文明建设水平，确保我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在202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年成功创建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 w:eastAsia="zh-CN"/>
        </w:rPr>
        <w:t>第七批国家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生态文明建设示范区，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生态环境部办公厅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《关于开展第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批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生态文明建设示范区和“绿水青山就是金山银山”实践创新基地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遴选工作的通知》（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环办生态函〔2023〕209号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）要求，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对照《国家生态文明建设示范区管理规程》修订版（2021年版）指标值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等有关要求，结合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区实际，特制定本工作方案。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一、指导思想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以习近平生态文明思想为指导，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让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良好生态环境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成为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人民生活质量的增长点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经济社会持续健康发展的支撑点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展现我区良好形象的发力点，扎实推进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生态文明建设示范区创建工作，进一步提升我区生态文明建设水平，建设美丽新兖州。</w:t>
      </w:r>
    </w:p>
    <w:p>
      <w:pPr>
        <w:spacing w:line="59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二、总体目标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坚守生态发展底线，转变绿色发展方式，以持续改善生态环境质量为导向，全面落实各项创建工作任务。《</w:t>
      </w:r>
      <w:r>
        <w:rPr>
          <w:rFonts w:ascii="Times New Roman" w:hAnsi="Times New Roman" w:eastAsia="方正仿宋简体" w:cs="Times New Roman"/>
          <w:color w:val="000000"/>
          <w:spacing w:val="-4"/>
          <w:sz w:val="32"/>
          <w:szCs w:val="32"/>
          <w:lang w:val="en-US"/>
        </w:rPr>
        <w:t>国家生态文明建设示范区建设指标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》中县级指标包括生态制度、生态安全、生态空间、生态经济、生态生活、生态文化等6大领域10项任务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项指标，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我区涉及3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项指标，具体分为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项约束性指标和1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项参考性指标。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各部门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单位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）要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依据各自创建指标任务分工要求（见附件1）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强化措施推进达标建设，力争各项考核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指标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达到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生态文明建设示范区考核要求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202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上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旬通过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市级预审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，7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25日前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完成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生态文明建设示范区申报工作。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三、实施步骤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eastAsia="zh-TW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eastAsia="zh-TW"/>
        </w:rPr>
        <w:t>创建工作分三个阶段。</w:t>
      </w:r>
    </w:p>
    <w:p>
      <w:pPr>
        <w:spacing w:line="59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第一阶段：动员部署阶段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制定印发《济宁市兖州区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生态文明建设示范区创建工作方案》，分解创建指标任务，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明确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责任单位，成立创建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生态文明建设示范区工作领导小组（见附件2），落实创建组织保障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启动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国家生态文明建设示范区申报工作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第二阶段：创建实施阶段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1.落实创建任务。各责任部门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单位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要认真对照各自创建任务和指标要求，明确工作职责，确定1名联络员，确保指标任务分解表中各项指标达标，支撑材料齐全。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2.加强督促检查。领导小组办公室要切实加强对创建工作的指导和协调，定期或不定期对创建工作进行调度，发现问题及时整改，确保按期完成各项工作任务。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3.收集整编资料。领导小组办公室按照指标任务分解表要求，根据资料清单提报说明，组织责任部门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单位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扎实做好基本指标、考核指标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材料的汇编工作，各部门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单位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务必于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月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日前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，提供全部基础资料（纸质材料请送至市生态环境局兖州区分局生态科，电子版材料请发送至：yzhbstk@163.com）。</w:t>
      </w:r>
    </w:p>
    <w:p>
      <w:pPr>
        <w:spacing w:line="59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第三阶段：申报迎查阶段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1.申报。按照省生态环境厅和市生态环境局总体要求，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认真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提报申报材料；经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生态环境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厅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预审、公示后，将申报材料上报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生态环境部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。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2.现场核查准备工作。领导小组办公室组织各相关部门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单位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进一步完善创建申报材料，做好各指标数据档案整理、现场核查点位路线规划、演示材料制作、会议方案制定等工作。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3.迎查。迎接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生态环境部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组织的现场核查工作。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4.完备材料阶段。对核查过程中发现的问题及时补充材料予以说明。</w:t>
      </w:r>
    </w:p>
    <w:p>
      <w:pPr>
        <w:pStyle w:val="24"/>
        <w:spacing w:line="59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本方案中的具体时间节点以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生态环境部、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省生态环境厅和市生态环境局工作计划时间节点为准，及时进行调整，确保创建工作顺利进行。</w:t>
      </w:r>
    </w:p>
    <w:p>
      <w:pPr>
        <w:spacing w:line="59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四、保障措施</w:t>
      </w:r>
    </w:p>
    <w:p>
      <w:pPr>
        <w:pStyle w:val="24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楷体简体" w:cs="Times New Roman"/>
          <w:sz w:val="32"/>
          <w:szCs w:val="32"/>
          <w:lang w:val="en-US" w:eastAsia="zh-CN"/>
        </w:rPr>
        <w:t>（一）加强组织领导。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成立济宁市兖州区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生态文明建设示范区创建工作领导小组，负责创建工作的组织领导、协</w:t>
      </w:r>
      <w:bookmarkStart w:id="0" w:name="bookmark17"/>
      <w:bookmarkEnd w:id="0"/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调和决策。由区长任组长，分管区长任副组长，区有关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部门（单位）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主要负责同志任成员。领导小组下设办公室，办公室设在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市生态环境局兖州区分局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，负责创建工作的组织、协调、指导、督查、考核等日常工作。</w:t>
      </w:r>
    </w:p>
    <w:p>
      <w:pPr>
        <w:pStyle w:val="24"/>
        <w:tabs>
          <w:tab w:val="left" w:pos="153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lang w:val="en-US" w:eastAsia="zh-CN"/>
        </w:rPr>
      </w:pPr>
      <w:r>
        <w:rPr>
          <w:rFonts w:ascii="Times New Roman" w:hAnsi="Times New Roman" w:eastAsia="方正楷体简体" w:cs="Times New Roman"/>
          <w:sz w:val="32"/>
          <w:szCs w:val="32"/>
          <w:lang w:val="en-US" w:eastAsia="zh-CN"/>
        </w:rPr>
        <w:t>（二）落实部门责任。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各相关责任部门（单位）要结合创建任务，对照指标，列出时间表，明确措施，细化任务，责任到人，有计划、分步骤地扎实推进，确保创建工作取得实效。</w:t>
      </w:r>
    </w:p>
    <w:p>
      <w:pPr>
        <w:pStyle w:val="24"/>
        <w:tabs>
          <w:tab w:val="left" w:pos="153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楷体简体" w:cs="Times New Roman"/>
          <w:sz w:val="32"/>
          <w:szCs w:val="32"/>
          <w:lang w:val="en-US" w:eastAsia="zh-CN"/>
        </w:rPr>
        <w:t>（三）强化资金保障。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创建工作涉及到集中办公、档案收集整理、专题宣传片和宣传牌（图册、展板）制作、工作及技术评估报告编制等事项，相关资金由区财政给予专项保障，确保创建工作顺利进行。</w:t>
      </w:r>
    </w:p>
    <w:p>
      <w:pPr>
        <w:pStyle w:val="24"/>
        <w:tabs>
          <w:tab w:val="left" w:pos="153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楷体简体" w:cs="Times New Roman"/>
          <w:sz w:val="32"/>
          <w:szCs w:val="32"/>
          <w:lang w:val="en-US" w:eastAsia="zh-CN"/>
        </w:rPr>
        <w:t>（四）营造舆论氛围。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广泛动员各类媒体，通过线上线下多种渠道，组织策划多项宣传活动，加大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习近平</w:t>
      </w:r>
      <w:bookmarkStart w:id="2" w:name="_GoBack"/>
      <w:bookmarkEnd w:id="2"/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生态文明思想宣传。把生态文明建设纳入党政干部培训内容，建设以绿色学校、绿色企业、绿色社区为主体的生态文化宣传基地，推进生态文明宣传教育进社区、进企业、进机关、进农村。充分发挥相关部门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（单位）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、社会各界的积极性和创造性，搭建合作平台，整合优质宣传资源，广泛凝聚生态文明共识，形成生态文明宣传教育工作大格局。</w:t>
      </w:r>
    </w:p>
    <w:p>
      <w:pPr>
        <w:pStyle w:val="24"/>
        <w:tabs>
          <w:tab w:val="left" w:pos="1534"/>
        </w:tabs>
        <w:spacing w:line="3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4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附件：1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济宁市兖州区创建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生态文明建设示范区指标</w:t>
      </w:r>
    </w:p>
    <w:p>
      <w:pPr>
        <w:pStyle w:val="24"/>
        <w:spacing w:line="560" w:lineRule="exact"/>
        <w:ind w:firstLine="704" w:firstLineChars="22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 xml:space="preserve">任务分解表 </w:t>
      </w:r>
    </w:p>
    <w:p>
      <w:pPr>
        <w:pStyle w:val="24"/>
        <w:numPr>
          <w:ilvl w:val="0"/>
          <w:numId w:val="1"/>
        </w:numPr>
        <w:spacing w:line="560" w:lineRule="exact"/>
        <w:ind w:firstLine="0"/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济宁市兖州区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国家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生态文明建设示范区创建工作</w:t>
      </w:r>
    </w:p>
    <w:p>
      <w:pPr>
        <w:pStyle w:val="24"/>
        <w:spacing w:line="560" w:lineRule="exact"/>
        <w:ind w:firstLine="704" w:firstLineChars="220"/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lang w:val="en-US"/>
        </w:rPr>
        <w:t>领导小组成员名单</w:t>
      </w:r>
    </w:p>
    <w:p>
      <w:pPr>
        <w:pStyle w:val="24"/>
        <w:tabs>
          <w:tab w:val="left" w:pos="1534"/>
        </w:tabs>
        <w:spacing w:line="560" w:lineRule="exact"/>
        <w:ind w:firstLine="720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155" w:right="1588" w:bottom="1304" w:left="1588" w:header="1361" w:footer="1418" w:gutter="0"/>
          <w:cols w:space="425" w:num="1"/>
          <w:docGrid w:type="lines" w:linePitch="312" w:charSpace="0"/>
        </w:sectPr>
      </w:pPr>
    </w:p>
    <w:p>
      <w:pPr>
        <w:pStyle w:val="24"/>
        <w:tabs>
          <w:tab w:val="left" w:pos="1534"/>
        </w:tabs>
        <w:spacing w:line="571" w:lineRule="exact"/>
        <w:ind w:firstLine="0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1</w:t>
      </w:r>
    </w:p>
    <w:p>
      <w:pPr>
        <w:spacing w:before="156" w:beforeLines="50" w:after="156" w:afterLines="50" w:line="64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济宁市兖州区创建国家生态文明建设示范区指标任务分解表</w:t>
      </w:r>
    </w:p>
    <w:p>
      <w:pPr>
        <w:spacing w:line="240" w:lineRule="exac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11"/>
        <w:tblW w:w="147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4"/>
        <w:gridCol w:w="1134"/>
        <w:gridCol w:w="736"/>
        <w:gridCol w:w="3323"/>
        <w:gridCol w:w="645"/>
        <w:gridCol w:w="2364"/>
        <w:gridCol w:w="1124"/>
        <w:gridCol w:w="3412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1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领域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任务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序号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指标名称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单位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指标值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指标属性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责任单位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（一）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目标责任体系与制度建设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生态文明建设规划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制定实施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党委政府对生态文明建设重大目标任务部署情况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有效开展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区委办、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区政府办、市生态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生态文明建设工作占党政实绩考核的比例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20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区政府办、市生态环境局兖州区分局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4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河长制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全面实施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区水务局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5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生态环境信息公开率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100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依法开展规划环境影响评价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开展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0" w:hRule="atLeast"/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（二）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生态环境质量改善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7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环境空气质量</w:t>
            </w:r>
          </w:p>
          <w:p>
            <w:pPr>
              <w:adjustRightInd w:val="0"/>
              <w:snapToGrid w:val="0"/>
              <w:spacing w:line="280" w:lineRule="exact"/>
              <w:ind w:firstLine="21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优良天数比例</w:t>
            </w:r>
          </w:p>
          <w:p>
            <w:pPr>
              <w:adjustRightInd w:val="0"/>
              <w:snapToGrid w:val="0"/>
              <w:spacing w:line="280" w:lineRule="exact"/>
              <w:ind w:firstLine="21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PM</w:t>
            </w:r>
            <w:r>
              <w:rPr>
                <w:rFonts w:ascii="Times New Roman" w:hAnsi="Times New Roman" w:eastAsia="黑体" w:cs="Times New Roman"/>
                <w:vertAlign w:val="subscript"/>
              </w:rPr>
              <w:t>2.5</w:t>
            </w:r>
            <w:r>
              <w:rPr>
                <w:rFonts w:ascii="Times New Roman" w:hAnsi="Times New Roman" w:eastAsia="黑体" w:cs="Times New Roman"/>
              </w:rPr>
              <w:t>浓度下降幅度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完成上级规定的改善目标；保持稳定或持续改善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3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8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水环境质量</w:t>
            </w:r>
          </w:p>
          <w:p>
            <w:pPr>
              <w:adjustRightInd w:val="0"/>
              <w:snapToGrid w:val="0"/>
              <w:spacing w:line="280" w:lineRule="exact"/>
              <w:ind w:left="420" w:leftChars="100" w:hanging="210" w:hanging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水质达到或优于</w:t>
            </w:r>
            <w:r>
              <w:rPr>
                <w:rFonts w:hint="eastAsia" w:ascii="宋体" w:hAnsi="宋体" w:cs="宋体"/>
              </w:rPr>
              <w:t>Ⅲ</w:t>
            </w:r>
            <w:r>
              <w:rPr>
                <w:rFonts w:ascii="Times New Roman" w:hAnsi="Times New Roman" w:eastAsia="黑体" w:cs="Times New Roman"/>
              </w:rPr>
              <w:t>类比例提高幅度</w:t>
            </w:r>
          </w:p>
          <w:p>
            <w:pPr>
              <w:adjustRightInd w:val="0"/>
              <w:snapToGrid w:val="0"/>
              <w:spacing w:line="280" w:lineRule="exact"/>
              <w:ind w:firstLine="21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劣V类水体比例下降幅度</w:t>
            </w:r>
          </w:p>
          <w:p>
            <w:pPr>
              <w:adjustRightInd w:val="0"/>
              <w:snapToGrid w:val="0"/>
              <w:spacing w:line="280" w:lineRule="exact"/>
              <w:ind w:firstLine="21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3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③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黑臭水体消除比例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完成上级规定的考核任务</w:t>
            </w:r>
            <w:r>
              <w:rPr>
                <w:rFonts w:ascii="Times New Roman" w:hAnsi="Times New Roman" w:eastAsia="黑体" w:cs="Times New Roman"/>
                <w:spacing w:val="-8"/>
              </w:rPr>
              <w:t>；保持稳定或持续改善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、区综合执法局、区住建局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（三）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生态系统保护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9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生态质量指数（EQI）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Δ</w:t>
            </w:r>
            <w:r>
              <w:rPr>
                <w:rFonts w:ascii="Times New Roman" w:hAnsi="Times New Roman" w:eastAsia="黑体" w:cs="Times New Roman"/>
              </w:rPr>
              <w:t>EQI</w:t>
            </w: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-1</w:t>
            </w:r>
          </w:p>
        </w:tc>
        <w:tc>
          <w:tcPr>
            <w:tcW w:w="112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3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10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林草覆盖率</w:t>
            </w:r>
          </w:p>
          <w:p>
            <w:pPr>
              <w:adjustRightInd w:val="0"/>
              <w:snapToGrid w:val="0"/>
              <w:spacing w:line="280" w:lineRule="exact"/>
              <w:ind w:firstLine="21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平原地区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18</w:t>
            </w:r>
          </w:p>
        </w:tc>
        <w:tc>
          <w:tcPr>
            <w:tcW w:w="11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区自然资源局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98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11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生物多样性保护</w:t>
            </w:r>
          </w:p>
          <w:p>
            <w:pPr>
              <w:adjustRightInd w:val="0"/>
              <w:snapToGrid w:val="0"/>
              <w:spacing w:line="280" w:lineRule="exact"/>
              <w:ind w:left="420" w:leftChars="100" w:hanging="210" w:hanging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国家重点保护野生动植物保护率</w:t>
            </w:r>
          </w:p>
          <w:p>
            <w:pPr>
              <w:adjustRightInd w:val="0"/>
              <w:snapToGrid w:val="0"/>
              <w:spacing w:line="280" w:lineRule="exact"/>
              <w:ind w:firstLine="21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外来物种入侵</w:t>
            </w:r>
          </w:p>
          <w:p>
            <w:pPr>
              <w:adjustRightInd w:val="0"/>
              <w:snapToGrid w:val="0"/>
              <w:spacing w:line="280" w:lineRule="exact"/>
              <w:ind w:left="420" w:leftChars="100" w:hanging="210" w:hanging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3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③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特有性或指示性水生物种保持率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95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不明显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不降低</w:t>
            </w:r>
          </w:p>
        </w:tc>
        <w:tc>
          <w:tcPr>
            <w:tcW w:w="112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区自然资源局、区农业农村局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（四）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生态环境风险防范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12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危险废物利用处置率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100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市生态环境局兖州区分局、区卫健局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8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13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建设用地土壤污染风险管控和修复名录制度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建立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区自然资源局、区住建局、市生态环境局兖州区分局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14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突发生态环境事件应急管理机制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建立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市生态环境局兖州区分局、区应急局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69" w:hRule="atLeast"/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间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（五）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空间格局优化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15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自然生态空间</w:t>
            </w:r>
          </w:p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生态保护红线</w:t>
            </w:r>
          </w:p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自然保护地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面积不减少，性质不改变，功能不降低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区自然资源局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16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河湖岸线保护率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完成上级管控目标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区水务局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5" w:hRule="atLeast"/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经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（六）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资源节约与利用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17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单位地区生产总值能耗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吨标准煤/万元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bookmarkStart w:id="1" w:name="_Hlk6576077"/>
            <w:r>
              <w:rPr>
                <w:rFonts w:ascii="Times New Roman" w:hAnsi="Times New Roman" w:eastAsia="黑体" w:cs="Times New Roman"/>
                <w:spacing w:val="-10"/>
              </w:rPr>
              <w:t>完成上级规定的目标任务</w:t>
            </w:r>
            <w:bookmarkEnd w:id="1"/>
            <w:r>
              <w:rPr>
                <w:rFonts w:ascii="Times New Roman" w:hAnsi="Times New Roman" w:eastAsia="黑体" w:cs="Times New Roman"/>
                <w:spacing w:val="-10"/>
              </w:rPr>
              <w:t>；保持稳定或持续改善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区发改局、区统计局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2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18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单位地区生产总值用水量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立方米/万元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12"/>
              </w:rPr>
            </w:pPr>
            <w:r>
              <w:rPr>
                <w:rFonts w:ascii="Times New Roman" w:hAnsi="Times New Roman" w:eastAsia="黑体" w:cs="Times New Roman"/>
                <w:spacing w:val="-10"/>
              </w:rPr>
              <w:t>完成上级规定的目标任务</w:t>
            </w:r>
            <w:r>
              <w:rPr>
                <w:rFonts w:ascii="Times New Roman" w:hAnsi="Times New Roman" w:eastAsia="黑体" w:cs="Times New Roman"/>
              </w:rPr>
              <w:t>；保</w:t>
            </w:r>
            <w:r>
              <w:rPr>
                <w:rFonts w:ascii="Times New Roman" w:hAnsi="Times New Roman" w:eastAsia="黑体" w:cs="Times New Roman"/>
                <w:spacing w:val="-10"/>
              </w:rPr>
              <w:t>持稳定或持续改善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区水务局、区统计局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19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单位国内生产总值建设用地使用面积下降率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4.5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区自然资源局、区统计局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05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20</w:t>
            </w:r>
          </w:p>
        </w:tc>
        <w:tc>
          <w:tcPr>
            <w:tcW w:w="332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化肥农药减量化</w:t>
            </w:r>
          </w:p>
          <w:p>
            <w:pPr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主要农作物化肥亩均施用量</w:t>
            </w:r>
          </w:p>
          <w:p>
            <w:pPr>
              <w:spacing w:line="280" w:lineRule="exact"/>
              <w:ind w:firstLine="210" w:firstLineChars="100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fldChar w:fldCharType="begin"/>
            </w:r>
            <w:r>
              <w:rPr>
                <w:rFonts w:ascii="Times New Roman" w:hAnsi="Times New Roman" w:eastAsia="黑体" w:cs="Times New Roman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</w:rPr>
              <w:fldChar w:fldCharType="end"/>
            </w:r>
            <w:r>
              <w:rPr>
                <w:rFonts w:ascii="Times New Roman" w:hAnsi="Times New Roman" w:eastAsia="黑体" w:cs="Times New Roman"/>
              </w:rPr>
              <w:t>主要农作物农药亩均施用量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千克/亩</w:t>
            </w:r>
          </w:p>
        </w:tc>
        <w:tc>
          <w:tcPr>
            <w:tcW w:w="236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减少</w:t>
            </w:r>
          </w:p>
        </w:tc>
        <w:tc>
          <w:tcPr>
            <w:tcW w:w="112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区农业农村局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01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（七）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产业循环发展</w:t>
            </w:r>
          </w:p>
        </w:tc>
        <w:tc>
          <w:tcPr>
            <w:tcW w:w="736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21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3323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农业废弃物综合利用率</w:t>
            </w:r>
          </w:p>
          <w:p>
            <w:pPr>
              <w:adjustRightInd w:val="0"/>
              <w:snapToGrid w:val="0"/>
              <w:spacing w:line="280" w:lineRule="exact"/>
              <w:ind w:firstLine="190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begin"/>
            </w:r>
            <w:r>
              <w:rPr>
                <w:rFonts w:ascii="Times New Roman" w:hAnsi="Times New Roman" w:eastAsia="黑体" w:cs="Times New Roman"/>
                <w:spacing w:val="-6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end"/>
            </w:r>
            <w:r>
              <w:rPr>
                <w:rFonts w:ascii="Times New Roman" w:hAnsi="Times New Roman" w:eastAsia="黑体" w:cs="Times New Roman"/>
                <w:spacing w:val="-6"/>
              </w:rPr>
              <w:t>秸秆综合利用率</w:t>
            </w:r>
          </w:p>
          <w:p>
            <w:pPr>
              <w:adjustRightInd w:val="0"/>
              <w:snapToGrid w:val="0"/>
              <w:spacing w:line="280" w:lineRule="exact"/>
              <w:ind w:firstLine="198" w:firstLineChars="100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fldChar w:fldCharType="begin"/>
            </w:r>
            <w:r>
              <w:rPr>
                <w:rFonts w:ascii="Times New Roman" w:hAnsi="Times New Roman" w:eastAsia="黑体" w:cs="Times New Roman"/>
                <w:spacing w:val="-6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end"/>
            </w:r>
            <w:r>
              <w:rPr>
                <w:rFonts w:ascii="Times New Roman" w:hAnsi="Times New Roman" w:eastAsia="黑体" w:cs="Times New Roman"/>
                <w:spacing w:val="-6"/>
              </w:rPr>
              <w:t>畜禽粪污综合利用率</w:t>
            </w:r>
          </w:p>
          <w:p>
            <w:pPr>
              <w:adjustRightInd w:val="0"/>
              <w:snapToGrid w:val="0"/>
              <w:spacing w:line="280" w:lineRule="exact"/>
              <w:ind w:firstLine="198" w:firstLineChars="100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fldChar w:fldCharType="begin"/>
            </w:r>
            <w:r>
              <w:rPr>
                <w:rFonts w:ascii="Times New Roman" w:hAnsi="Times New Roman" w:eastAsia="黑体" w:cs="Times New Roman"/>
                <w:spacing w:val="-6"/>
              </w:rPr>
              <w:instrText xml:space="preserve"> = 3 \* GB3 \* MERGEFORMAT </w:instrTex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separate"/>
            </w:r>
            <w:r>
              <w:rPr>
                <w:rFonts w:hint="eastAsia" w:ascii="宋体" w:hAnsi="宋体" w:cs="宋体"/>
              </w:rPr>
              <w:t>③</w: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end"/>
            </w:r>
            <w:r>
              <w:rPr>
                <w:rFonts w:ascii="Times New Roman" w:hAnsi="Times New Roman" w:eastAsia="黑体" w:cs="Times New Roman"/>
                <w:spacing w:val="-6"/>
              </w:rPr>
              <w:t>农膜回收利用率</w:t>
            </w:r>
          </w:p>
        </w:tc>
        <w:tc>
          <w:tcPr>
            <w:tcW w:w="645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90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75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80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24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区农业农村局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5" w:hRule="atLeast"/>
          <w:jc w:val="center"/>
        </w:trPr>
        <w:tc>
          <w:tcPr>
            <w:tcW w:w="11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22</w:t>
            </w:r>
          </w:p>
        </w:tc>
        <w:tc>
          <w:tcPr>
            <w:tcW w:w="332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一般工业固体废物综合利用率提高幅度</w:t>
            </w:r>
          </w:p>
          <w:p>
            <w:pPr>
              <w:adjustRightInd w:val="0"/>
              <w:snapToGrid w:val="0"/>
              <w:spacing w:line="280" w:lineRule="exact"/>
              <w:ind w:firstLine="198" w:firstLineChars="100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fldChar w:fldCharType="begin"/>
            </w:r>
            <w:r>
              <w:rPr>
                <w:rFonts w:ascii="Times New Roman" w:hAnsi="Times New Roman" w:eastAsia="黑体" w:cs="Times New Roman"/>
                <w:spacing w:val="-6"/>
              </w:rPr>
              <w:instrText xml:space="preserve"> = 1 \* GB3 \* MERGEFORMAT </w:instrTex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separate"/>
            </w:r>
            <w:r>
              <w:rPr>
                <w:rFonts w:hint="eastAsia" w:ascii="宋体" w:hAnsi="宋体" w:cs="宋体"/>
              </w:rPr>
              <w:t>①</w: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end"/>
            </w:r>
            <w:r>
              <w:rPr>
                <w:rFonts w:ascii="Times New Roman" w:hAnsi="Times New Roman" w:eastAsia="黑体" w:cs="Times New Roman"/>
                <w:spacing w:val="-6"/>
              </w:rPr>
              <w:t>综合利用率≤60%的地区</w:t>
            </w:r>
          </w:p>
          <w:p>
            <w:pPr>
              <w:adjustRightInd w:val="0"/>
              <w:snapToGrid w:val="0"/>
              <w:spacing w:line="280" w:lineRule="exact"/>
              <w:ind w:firstLine="198" w:firstLineChars="100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fldChar w:fldCharType="begin"/>
            </w:r>
            <w:r>
              <w:rPr>
                <w:rFonts w:ascii="Times New Roman" w:hAnsi="Times New Roman" w:eastAsia="黑体" w:cs="Times New Roman"/>
                <w:spacing w:val="-6"/>
              </w:rPr>
              <w:instrText xml:space="preserve"> = 2 \* GB3 \* MERGEFORMAT </w:instrTex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separate"/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ascii="Times New Roman" w:hAnsi="Times New Roman" w:eastAsia="黑体" w:cs="Times New Roman"/>
                <w:spacing w:val="-6"/>
              </w:rPr>
              <w:fldChar w:fldCharType="end"/>
            </w:r>
            <w:r>
              <w:rPr>
                <w:rFonts w:ascii="Times New Roman" w:hAnsi="Times New Roman" w:eastAsia="黑体" w:cs="Times New Roman"/>
                <w:spacing w:val="-6"/>
              </w:rPr>
              <w:t>综合利用率＞60%的地区</w:t>
            </w:r>
          </w:p>
        </w:tc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%</w:t>
            </w:r>
          </w:p>
        </w:tc>
        <w:tc>
          <w:tcPr>
            <w:tcW w:w="236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  <w:spacing w:val="-6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保持稳定或持续改善</w:t>
            </w:r>
          </w:p>
        </w:tc>
        <w:tc>
          <w:tcPr>
            <w:tcW w:w="112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参考性</w:t>
            </w:r>
          </w:p>
        </w:tc>
        <w:tc>
          <w:tcPr>
            <w:tcW w:w="341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市生态环境局兖州区分局、区卫健局、区工信局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活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（八）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人居环境改善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23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spacing w:val="-6"/>
              </w:rPr>
            </w:pPr>
            <w:r>
              <w:rPr>
                <w:rFonts w:ascii="Times New Roman" w:hAnsi="Times New Roman" w:eastAsia="黑体" w:cs="Times New Roman"/>
              </w:rPr>
              <w:t>集中式饮用水水源地水质优良比例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100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市生态环境局兖州区分局、区水务局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24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村镇饮用水卫生合格率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100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区卫健局、市生态环境局兖州区分局、区水务局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6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25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城镇污水处理率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85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区住建局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6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26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农村生活污水治理率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50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区住建局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2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27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城镇生活垃圾无害化处理率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区综合执法局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2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28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农村生活垃圾无害化处理村占比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区综合执法局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5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29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农村无害化卫生厕所普及率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完成上级规定的目标任务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区住建局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（九）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生活方式绿色化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30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城镇新建绿色建筑比例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50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区住建局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31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城镇生活垃圾分类减量化行动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-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实施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区综合执法局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1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32</w:t>
            </w:r>
          </w:p>
        </w:tc>
        <w:tc>
          <w:tcPr>
            <w:tcW w:w="33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政府绿色采购比例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80</w:t>
            </w:r>
          </w:p>
        </w:tc>
        <w:tc>
          <w:tcPr>
            <w:tcW w:w="11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约束性</w:t>
            </w:r>
          </w:p>
        </w:tc>
        <w:tc>
          <w:tcPr>
            <w:tcW w:w="3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  <w:color w:val="FF0000"/>
              </w:rPr>
            </w:pPr>
            <w:r>
              <w:rPr>
                <w:rFonts w:ascii="Times New Roman" w:hAnsi="Times New Roman" w:eastAsia="黑体" w:cs="Times New Roman"/>
              </w:rPr>
              <w:t>区财政局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9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文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化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（十）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观念意识普及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33</w:t>
            </w:r>
          </w:p>
        </w:tc>
        <w:tc>
          <w:tcPr>
            <w:tcW w:w="332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党政领导干部参加生态文明培训的人数比例</w:t>
            </w:r>
          </w:p>
        </w:tc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100</w:t>
            </w:r>
          </w:p>
        </w:tc>
        <w:tc>
          <w:tcPr>
            <w:tcW w:w="112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34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  <w:spacing w:val="-12"/>
              </w:rPr>
            </w:pPr>
            <w:r>
              <w:rPr>
                <w:rFonts w:ascii="Times New Roman" w:hAnsi="Times New Roman" w:eastAsia="黑体" w:cs="Times New Roman"/>
                <w:spacing w:val="-12"/>
              </w:rPr>
              <w:t>公众对生态文明建设的满意度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市生态环境局兖州区分局（问卷调查、独立机构抽样调查等方式）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35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公众对生态文明建设的参与度</w:t>
            </w:r>
          </w:p>
        </w:tc>
        <w:tc>
          <w:tcPr>
            <w:tcW w:w="64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%</w:t>
            </w:r>
          </w:p>
        </w:tc>
        <w:tc>
          <w:tcPr>
            <w:tcW w:w="236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eastAsia="黑体" w:cs="Times New Roman"/>
              </w:rPr>
              <w:t>80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参考性</w:t>
            </w:r>
          </w:p>
        </w:tc>
        <w:tc>
          <w:tcPr>
            <w:tcW w:w="341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市生态环境局兖州区分局（问卷调查、独立机构抽样调查等方式）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rFonts w:ascii="Times New Roman" w:hAnsi="Times New Roman" w:eastAsia="黑体" w:cs="Times New Roman"/>
        </w:rPr>
        <w:sectPr>
          <w:footerReference r:id="rId5" w:type="default"/>
          <w:footerReference r:id="rId6" w:type="even"/>
          <w:pgSz w:w="16838" w:h="11906" w:orient="landscape"/>
          <w:pgMar w:top="1418" w:right="1134" w:bottom="1134" w:left="1134" w:header="1134" w:footer="1134" w:gutter="0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3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济宁市兖州区国家生态文明建设示范区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创建工作领导小组成员名单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组  长：</w:t>
      </w:r>
      <w:r>
        <w:rPr>
          <w:rFonts w:ascii="Times New Roman" w:hAnsi="Times New Roman" w:eastAsia="仿宋_GB2312" w:cs="Times New Roman"/>
          <w:sz w:val="32"/>
          <w:szCs w:val="32"/>
        </w:rPr>
        <w:t>王  营   区委副书记、区长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副组长：</w:t>
      </w:r>
      <w:r>
        <w:rPr>
          <w:rFonts w:ascii="Times New Roman" w:hAnsi="Times New Roman" w:eastAsia="仿宋_GB2312" w:cs="Times New Roman"/>
          <w:sz w:val="32"/>
          <w:szCs w:val="32"/>
        </w:rPr>
        <w:t>石可清   区委常委、副区长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成  员：</w:t>
      </w:r>
      <w:r>
        <w:rPr>
          <w:rFonts w:ascii="Times New Roman" w:hAnsi="Times New Roman" w:eastAsia="仿宋_GB2312" w:cs="Times New Roman"/>
          <w:sz w:val="32"/>
          <w:szCs w:val="32"/>
        </w:rPr>
        <w:t>张守伟   区委办公室分管日常工作的副主任、区</w:t>
      </w:r>
    </w:p>
    <w:p>
      <w:pPr>
        <w:pStyle w:val="10"/>
        <w:spacing w:after="0" w:line="560" w:lineRule="exact"/>
        <w:ind w:left="0" w:leftChars="0"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档案局局长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孙  锴   区委宣传部分管日常工作的副部长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孙  雷   区政府办公室主任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张  勇   区发展改革局局长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周生建   区工业和信息化局局长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杨海成   区财政局局长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申  刚   区自然资源局局长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武洪兵   区住房和城乡建设局局长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宫祥德   区水务局局长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李成龙   区农业农村局局长、区乡村振兴局局长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李  谦   区卫生健康局局长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李同伟   区应急管理局局长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肖炳涛   区综合行政执法局局长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张  磊   区统计局局长</w:t>
      </w: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马东峰   市生态环境局兖州区分局局长</w:t>
      </w: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领导小组下设办公室，办公室设在市生态环境局兖州区分局，石可清同志兼任办公室主任，马东峰同志兼任办公室副主任。领导小组办公室负责领导小组日常工作，承担组织、协调、推进国家生态文明建设示范区创建等工作。</w:t>
      </w: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6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spacing w:after="0" w:line="590" w:lineRule="exact"/>
        <w:ind w:left="0" w:leftChars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2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387985</wp:posOffset>
                </wp:positionV>
                <wp:extent cx="56007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0.55pt;height:0pt;width:441pt;mso-position-horizontal:center;mso-position-horizontal-relative:margin;z-index:251659264;mso-width-relative:page;mso-height-relative:page;" filled="f" stroked="t" coordsize="21600,21600" o:gfxdata="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Djr4tQA&#10;AAAGAQAADwAAAAAAAAABACAAAAAiAAAAZHJzL2Rvd25yZXYueG1sUEsBAhQAFAAAAAgAh07iQMWd&#10;R9nqAQAA2QMAAA4AAAAAAAAAAQAgAAAAI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40" w:lineRule="exact"/>
        <w:ind w:left="105" w:leftChars="50" w:right="105" w:rightChars="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540" w:lineRule="exact"/>
        <w:ind w:left="105" w:leftChars="50" w:right="105" w:rightChars="50" w:firstLine="860" w:firstLineChars="41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352425</wp:posOffset>
                </wp:positionV>
                <wp:extent cx="56007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27.75pt;height:0pt;width:441pt;mso-position-horizontal-relative:margin;z-index:251660288;mso-width-relative:page;mso-height-relative:page;" filled="f" stroked="t" coordsize="21600,21600" o:gfxdata="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BC57NMA&#10;AAAIAQAADwAAAAAAAAABACAAAAAiAAAAZHJzL2Rvd25yZXYueG1sUEsBAhQAFAAAAAgAh07iQPk9&#10;ny7rAQAA2AMAAA4AAAAAAAAAAQAgAAAAIg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区检察院。</w:t>
      </w:r>
    </w:p>
    <w:p>
      <w:pPr>
        <w:adjustRightInd w:val="0"/>
        <w:snapToGrid w:val="0"/>
        <w:spacing w:line="540" w:lineRule="exact"/>
        <w:ind w:left="105" w:leftChars="50" w:right="105" w:rightChars="50"/>
        <w:rPr>
          <w:rFonts w:ascii="Times New Roman" w:hAnsi="Times New Roman" w:eastAsia="黑体" w:cs="Times New Roman"/>
          <w:sz w:val="48"/>
          <w:szCs w:val="24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433070</wp:posOffset>
                </wp:positionV>
                <wp:extent cx="56007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34.1pt;height:0pt;width:441pt;mso-position-horizontal-relative:margin;z-index:251661312;mso-width-relative:page;mso-height-relative:page;" filled="f" stroked="t" coordsize="21600,21600" o:gfxdata="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gjb+LW&#10;AAAACAEAAA8AAAAAAAAAAQAgAAAAIgAAAGRycy9kb3ducmV2LnhtbFBLAQIUABQAAAAIAIdO4kDY&#10;zx2Y6QEAANkDAAAOAAAAAAAAAAEAIAAAACU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济宁市兖州区人民政府办公室               2023年6月29日印发</w:t>
      </w:r>
    </w:p>
    <w:p>
      <w:pPr>
        <w:pStyle w:val="3"/>
        <w:spacing w:before="0" w:line="240" w:lineRule="exact"/>
        <w:ind w:left="0"/>
        <w:jc w:val="both"/>
        <w:rPr>
          <w:rFonts w:ascii="Times New Roman" w:hAnsi="Times New Roman" w:eastAsia="黑体" w:cs="Times New Roman"/>
          <w:b/>
          <w:bCs/>
          <w:kern w:val="2"/>
          <w:sz w:val="21"/>
          <w:szCs w:val="21"/>
          <w:lang w:eastAsia="zh-CN"/>
        </w:rPr>
      </w:pPr>
      <w:r>
        <w:rPr>
          <w:rFonts w:ascii="Times New Roman" w:hAnsi="Times New Roman" w:eastAsia="黑体" w:cs="Times New Roman"/>
          <w:b/>
          <w:bCs/>
          <w:kern w:val="2"/>
          <w:sz w:val="21"/>
          <w:szCs w:val="21"/>
          <w:lang w:eastAsia="zh-CN"/>
        </w:rPr>
        <w:t>—————————————————————————————————————————</w:t>
      </w:r>
    </w:p>
    <w:sectPr>
      <w:footerReference r:id="rId7" w:type="default"/>
      <w:footerReference r:id="rId8" w:type="even"/>
      <w:pgSz w:w="11906" w:h="16838"/>
      <w:pgMar w:top="2155" w:right="1588" w:bottom="1304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DFA19-1D0C-4A3D-913F-A8A56B8A77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3A69E9E9-4AE6-4BEF-9C1F-7FCB22A30A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80F418E-FFBB-4827-B607-C032F7AA078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970389C-81E5-4A40-953A-3408EC4F99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55C7C16-A48A-4294-B2FD-C43CF96F21CC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456C980C-3C74-4A5E-B9B0-2BD90F8FFDA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D19447AF-D561-4A3A-957F-F0A3EC9A3636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0B9BF267-1411-4171-B7DF-79BF91E0BD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>
    <w:pPr>
      <w:pStyle w:val="7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2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center"/>
      <w:rPr>
        <w:rFonts w:cs="Times New Roman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9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8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Fonts w:cs="Times New Roman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11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Style w:val="13"/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12</w:t>
    </w:r>
    <w:r>
      <w:rPr>
        <w:rStyle w:val="13"/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74F7D"/>
    <w:multiLevelType w:val="singleLevel"/>
    <w:tmpl w:val="B7F74F7D"/>
    <w:lvl w:ilvl="0" w:tentative="0">
      <w:start w:val="2"/>
      <w:numFmt w:val="decimal"/>
      <w:suff w:val="space"/>
      <w:lvlText w:val="%1."/>
      <w:lvlJc w:val="left"/>
      <w:pPr>
        <w:ind w:left="16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jI5YzBlZDk0MDU1NmQzZmQ0ZTA3ZTUxMjljNWEifQ=="/>
  </w:docVars>
  <w:rsids>
    <w:rsidRoot w:val="FB94213C"/>
    <w:rsid w:val="0001768D"/>
    <w:rsid w:val="00032110"/>
    <w:rsid w:val="00037ADC"/>
    <w:rsid w:val="00042649"/>
    <w:rsid w:val="000552D2"/>
    <w:rsid w:val="00081103"/>
    <w:rsid w:val="000848D9"/>
    <w:rsid w:val="00094D80"/>
    <w:rsid w:val="000A39F9"/>
    <w:rsid w:val="000C1728"/>
    <w:rsid w:val="000D4B63"/>
    <w:rsid w:val="00116823"/>
    <w:rsid w:val="00121B16"/>
    <w:rsid w:val="0013762F"/>
    <w:rsid w:val="0015245D"/>
    <w:rsid w:val="00197E07"/>
    <w:rsid w:val="001A2167"/>
    <w:rsid w:val="001A5FCC"/>
    <w:rsid w:val="001D64D3"/>
    <w:rsid w:val="00226277"/>
    <w:rsid w:val="00236DBE"/>
    <w:rsid w:val="002400B8"/>
    <w:rsid w:val="002760A2"/>
    <w:rsid w:val="002975AD"/>
    <w:rsid w:val="002C7F4C"/>
    <w:rsid w:val="002F53FF"/>
    <w:rsid w:val="003043E8"/>
    <w:rsid w:val="00306202"/>
    <w:rsid w:val="00323B16"/>
    <w:rsid w:val="003245F4"/>
    <w:rsid w:val="00330383"/>
    <w:rsid w:val="00332BC4"/>
    <w:rsid w:val="0033485C"/>
    <w:rsid w:val="003620AC"/>
    <w:rsid w:val="00371011"/>
    <w:rsid w:val="00393F99"/>
    <w:rsid w:val="003B6264"/>
    <w:rsid w:val="003B7EAE"/>
    <w:rsid w:val="003F3A9B"/>
    <w:rsid w:val="00437FCB"/>
    <w:rsid w:val="004415C6"/>
    <w:rsid w:val="004539D1"/>
    <w:rsid w:val="004F6AF3"/>
    <w:rsid w:val="0050652C"/>
    <w:rsid w:val="0051784D"/>
    <w:rsid w:val="005453B8"/>
    <w:rsid w:val="005778C1"/>
    <w:rsid w:val="00580B58"/>
    <w:rsid w:val="00583B1A"/>
    <w:rsid w:val="00585903"/>
    <w:rsid w:val="00592B2A"/>
    <w:rsid w:val="005A2FC4"/>
    <w:rsid w:val="00607317"/>
    <w:rsid w:val="00686DFF"/>
    <w:rsid w:val="006977D0"/>
    <w:rsid w:val="006A4F6A"/>
    <w:rsid w:val="006D762B"/>
    <w:rsid w:val="006E16CE"/>
    <w:rsid w:val="006F7B75"/>
    <w:rsid w:val="00707E6C"/>
    <w:rsid w:val="007158C8"/>
    <w:rsid w:val="00724458"/>
    <w:rsid w:val="00755A60"/>
    <w:rsid w:val="007664F0"/>
    <w:rsid w:val="007711F8"/>
    <w:rsid w:val="007A42BB"/>
    <w:rsid w:val="007B6E5E"/>
    <w:rsid w:val="007C7C56"/>
    <w:rsid w:val="007C7D42"/>
    <w:rsid w:val="007E2FDC"/>
    <w:rsid w:val="007E33A0"/>
    <w:rsid w:val="007F214F"/>
    <w:rsid w:val="00863659"/>
    <w:rsid w:val="008733E6"/>
    <w:rsid w:val="008E5C64"/>
    <w:rsid w:val="00900904"/>
    <w:rsid w:val="009011E0"/>
    <w:rsid w:val="00902D2E"/>
    <w:rsid w:val="00937194"/>
    <w:rsid w:val="00975815"/>
    <w:rsid w:val="009D4835"/>
    <w:rsid w:val="009E75D5"/>
    <w:rsid w:val="009F4D57"/>
    <w:rsid w:val="00A0702C"/>
    <w:rsid w:val="00A07B96"/>
    <w:rsid w:val="00A1073E"/>
    <w:rsid w:val="00A31D53"/>
    <w:rsid w:val="00A32E04"/>
    <w:rsid w:val="00A46D4E"/>
    <w:rsid w:val="00A814AE"/>
    <w:rsid w:val="00AB4496"/>
    <w:rsid w:val="00AE79E2"/>
    <w:rsid w:val="00B05463"/>
    <w:rsid w:val="00B124F2"/>
    <w:rsid w:val="00B13251"/>
    <w:rsid w:val="00B21429"/>
    <w:rsid w:val="00B47D51"/>
    <w:rsid w:val="00B55CAA"/>
    <w:rsid w:val="00B86995"/>
    <w:rsid w:val="00B86E24"/>
    <w:rsid w:val="00B9367A"/>
    <w:rsid w:val="00B94195"/>
    <w:rsid w:val="00BA1BD6"/>
    <w:rsid w:val="00BD0A2E"/>
    <w:rsid w:val="00BD1F65"/>
    <w:rsid w:val="00BE06DA"/>
    <w:rsid w:val="00BE14E4"/>
    <w:rsid w:val="00BE1FD4"/>
    <w:rsid w:val="00BE241D"/>
    <w:rsid w:val="00C569A2"/>
    <w:rsid w:val="00C57A25"/>
    <w:rsid w:val="00CA777C"/>
    <w:rsid w:val="00CB3BA3"/>
    <w:rsid w:val="00CC63C7"/>
    <w:rsid w:val="00D03270"/>
    <w:rsid w:val="00D10B5B"/>
    <w:rsid w:val="00D1447F"/>
    <w:rsid w:val="00D33F0A"/>
    <w:rsid w:val="00D424A9"/>
    <w:rsid w:val="00D4465A"/>
    <w:rsid w:val="00D4528B"/>
    <w:rsid w:val="00D742CE"/>
    <w:rsid w:val="00D770F9"/>
    <w:rsid w:val="00D8043C"/>
    <w:rsid w:val="00DA225E"/>
    <w:rsid w:val="00DB5047"/>
    <w:rsid w:val="00DE46B3"/>
    <w:rsid w:val="00DF0824"/>
    <w:rsid w:val="00DF2129"/>
    <w:rsid w:val="00E0281C"/>
    <w:rsid w:val="00E05A5D"/>
    <w:rsid w:val="00E4143B"/>
    <w:rsid w:val="00E574D9"/>
    <w:rsid w:val="00EC3300"/>
    <w:rsid w:val="00EF2573"/>
    <w:rsid w:val="00F033B6"/>
    <w:rsid w:val="00F26236"/>
    <w:rsid w:val="00F77BA0"/>
    <w:rsid w:val="00FA0592"/>
    <w:rsid w:val="00FA64B3"/>
    <w:rsid w:val="00FD0E90"/>
    <w:rsid w:val="00FD2D06"/>
    <w:rsid w:val="00FD7F52"/>
    <w:rsid w:val="00FE0C6A"/>
    <w:rsid w:val="00FF2880"/>
    <w:rsid w:val="018F3EDA"/>
    <w:rsid w:val="02381854"/>
    <w:rsid w:val="02A86964"/>
    <w:rsid w:val="02B42196"/>
    <w:rsid w:val="043C2B5E"/>
    <w:rsid w:val="05D956A2"/>
    <w:rsid w:val="060F6837"/>
    <w:rsid w:val="06691F53"/>
    <w:rsid w:val="06853C5A"/>
    <w:rsid w:val="0841360D"/>
    <w:rsid w:val="08F06B7A"/>
    <w:rsid w:val="099F3A19"/>
    <w:rsid w:val="0A530F50"/>
    <w:rsid w:val="0E775D1A"/>
    <w:rsid w:val="0E987758"/>
    <w:rsid w:val="0EC95C85"/>
    <w:rsid w:val="0FF42087"/>
    <w:rsid w:val="105B7B98"/>
    <w:rsid w:val="11405FA6"/>
    <w:rsid w:val="11A9123B"/>
    <w:rsid w:val="12464117"/>
    <w:rsid w:val="13804636"/>
    <w:rsid w:val="138859D1"/>
    <w:rsid w:val="138B18E7"/>
    <w:rsid w:val="13E42C19"/>
    <w:rsid w:val="14085764"/>
    <w:rsid w:val="145794BB"/>
    <w:rsid w:val="16833B3D"/>
    <w:rsid w:val="16A4678C"/>
    <w:rsid w:val="1AD22410"/>
    <w:rsid w:val="1BC206A3"/>
    <w:rsid w:val="1DF43BC6"/>
    <w:rsid w:val="1EA55AA9"/>
    <w:rsid w:val="1EBFE767"/>
    <w:rsid w:val="1F321498"/>
    <w:rsid w:val="21812F3A"/>
    <w:rsid w:val="219E6AFD"/>
    <w:rsid w:val="24115462"/>
    <w:rsid w:val="24B35C75"/>
    <w:rsid w:val="25A36C3A"/>
    <w:rsid w:val="2876107A"/>
    <w:rsid w:val="28F00706"/>
    <w:rsid w:val="2B1F4C31"/>
    <w:rsid w:val="2BA222E3"/>
    <w:rsid w:val="2BAC415E"/>
    <w:rsid w:val="2C921E2F"/>
    <w:rsid w:val="2E733A65"/>
    <w:rsid w:val="2F620593"/>
    <w:rsid w:val="302E4341"/>
    <w:rsid w:val="305F7D9F"/>
    <w:rsid w:val="30A4415A"/>
    <w:rsid w:val="31CC76A4"/>
    <w:rsid w:val="32B14C7A"/>
    <w:rsid w:val="3338360F"/>
    <w:rsid w:val="338E068B"/>
    <w:rsid w:val="33F333CC"/>
    <w:rsid w:val="35376B22"/>
    <w:rsid w:val="35AE26AE"/>
    <w:rsid w:val="35D94DA2"/>
    <w:rsid w:val="372C4AA0"/>
    <w:rsid w:val="37460107"/>
    <w:rsid w:val="38230326"/>
    <w:rsid w:val="3824280B"/>
    <w:rsid w:val="3B914D9E"/>
    <w:rsid w:val="3BFC6A86"/>
    <w:rsid w:val="3C591B47"/>
    <w:rsid w:val="3C782FAA"/>
    <w:rsid w:val="3C8A618A"/>
    <w:rsid w:val="3E36787B"/>
    <w:rsid w:val="3EBF01E9"/>
    <w:rsid w:val="3F5FB4C6"/>
    <w:rsid w:val="3FD88735"/>
    <w:rsid w:val="40AC43DB"/>
    <w:rsid w:val="41AA55B7"/>
    <w:rsid w:val="42042452"/>
    <w:rsid w:val="42EC167A"/>
    <w:rsid w:val="43A8261A"/>
    <w:rsid w:val="459F6E86"/>
    <w:rsid w:val="45C93154"/>
    <w:rsid w:val="45D64B2A"/>
    <w:rsid w:val="46C027C2"/>
    <w:rsid w:val="47AB17F6"/>
    <w:rsid w:val="47E379BE"/>
    <w:rsid w:val="48A26505"/>
    <w:rsid w:val="4A5E54C0"/>
    <w:rsid w:val="4AD92360"/>
    <w:rsid w:val="4AEB4C80"/>
    <w:rsid w:val="4BD86C2A"/>
    <w:rsid w:val="4C9C64FC"/>
    <w:rsid w:val="4D262F6A"/>
    <w:rsid w:val="4DF76F91"/>
    <w:rsid w:val="4EFB9C85"/>
    <w:rsid w:val="4F6D34C3"/>
    <w:rsid w:val="50531D28"/>
    <w:rsid w:val="511552D2"/>
    <w:rsid w:val="514A0B94"/>
    <w:rsid w:val="514B7060"/>
    <w:rsid w:val="518B5CE1"/>
    <w:rsid w:val="524A2826"/>
    <w:rsid w:val="526C3B93"/>
    <w:rsid w:val="52DB4C0C"/>
    <w:rsid w:val="53FA5565"/>
    <w:rsid w:val="569657D8"/>
    <w:rsid w:val="56CA33E9"/>
    <w:rsid w:val="57E52CAF"/>
    <w:rsid w:val="58413FE2"/>
    <w:rsid w:val="585D00C2"/>
    <w:rsid w:val="5A360B83"/>
    <w:rsid w:val="5FEFF7C5"/>
    <w:rsid w:val="60EF2C15"/>
    <w:rsid w:val="61323140"/>
    <w:rsid w:val="624F2E59"/>
    <w:rsid w:val="62516587"/>
    <w:rsid w:val="64827789"/>
    <w:rsid w:val="65AC0E99"/>
    <w:rsid w:val="65F53DDF"/>
    <w:rsid w:val="661E61AB"/>
    <w:rsid w:val="66C76711"/>
    <w:rsid w:val="67CD1BF1"/>
    <w:rsid w:val="686A34D0"/>
    <w:rsid w:val="69F3745B"/>
    <w:rsid w:val="6B3B7C09"/>
    <w:rsid w:val="6B9FB68E"/>
    <w:rsid w:val="6D7BDC06"/>
    <w:rsid w:val="6E3C70F4"/>
    <w:rsid w:val="6F9564E2"/>
    <w:rsid w:val="712F3251"/>
    <w:rsid w:val="71375C15"/>
    <w:rsid w:val="71DF7D87"/>
    <w:rsid w:val="72264A99"/>
    <w:rsid w:val="72E75711"/>
    <w:rsid w:val="73CC74DB"/>
    <w:rsid w:val="77F7D68C"/>
    <w:rsid w:val="781E0018"/>
    <w:rsid w:val="78271DAE"/>
    <w:rsid w:val="795037A5"/>
    <w:rsid w:val="79533E93"/>
    <w:rsid w:val="7C176405"/>
    <w:rsid w:val="7C8661B2"/>
    <w:rsid w:val="7CFB289A"/>
    <w:rsid w:val="7D82280C"/>
    <w:rsid w:val="7D934CB9"/>
    <w:rsid w:val="7E75DC0D"/>
    <w:rsid w:val="7FB65F35"/>
    <w:rsid w:val="7FFA593D"/>
    <w:rsid w:val="A5BFCC7D"/>
    <w:rsid w:val="B72A2AA6"/>
    <w:rsid w:val="B8CDBBD3"/>
    <w:rsid w:val="EFF58A78"/>
    <w:rsid w:val="F5DDB100"/>
    <w:rsid w:val="FB5F1D1E"/>
    <w:rsid w:val="FB94213C"/>
    <w:rsid w:val="FEED3818"/>
    <w:rsid w:val="FF1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41"/>
      <w:ind w:left="720"/>
      <w:jc w:val="left"/>
      <w:outlineLvl w:val="0"/>
    </w:pPr>
    <w:rPr>
      <w:rFonts w:ascii="仿宋" w:hAnsi="仿宋" w:eastAsia="仿宋" w:cs="仿宋"/>
      <w:b/>
      <w:bCs/>
      <w:kern w:val="0"/>
      <w:sz w:val="30"/>
      <w:szCs w:val="30"/>
      <w:lang w:eastAsia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99"/>
    <w:pPr>
      <w:spacing w:before="43"/>
      <w:ind w:left="120"/>
      <w:jc w:val="left"/>
    </w:pPr>
    <w:rPr>
      <w:rFonts w:ascii="仿宋" w:hAnsi="仿宋" w:eastAsia="仿宋" w:cs="仿宋"/>
      <w:kern w:val="0"/>
      <w:sz w:val="30"/>
      <w:szCs w:val="30"/>
      <w:lang w:eastAsia="en-US"/>
    </w:rPr>
  </w:style>
  <w:style w:type="paragraph" w:styleId="4">
    <w:name w:val="Body Text Indent"/>
    <w:basedOn w:val="1"/>
    <w:link w:val="17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semiHidden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link w:val="23"/>
    <w:qFormat/>
    <w:uiPriority w:val="99"/>
    <w:pPr>
      <w:ind w:firstLine="420"/>
    </w:pPr>
  </w:style>
  <w:style w:type="character" w:styleId="13">
    <w:name w:val="page number"/>
    <w:basedOn w:val="12"/>
    <w:qFormat/>
    <w:uiPriority w:val="99"/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6">
    <w:name w:val="正文文本 Char"/>
    <w:basedOn w:val="12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8">
    <w:name w:val="日期 Char"/>
    <w:basedOn w:val="12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批注框文本 Char"/>
    <w:basedOn w:val="12"/>
    <w:link w:val="6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21">
    <w:name w:val="页眉 Char"/>
    <w:basedOn w:val="12"/>
    <w:link w:val="8"/>
    <w:qFormat/>
    <w:locked/>
    <w:uiPriority w:val="99"/>
    <w:rPr>
      <w:kern w:val="2"/>
      <w:sz w:val="18"/>
      <w:szCs w:val="18"/>
    </w:rPr>
  </w:style>
  <w:style w:type="character" w:customStyle="1" w:styleId="22">
    <w:name w:val="HTML 预设格式 Char"/>
    <w:basedOn w:val="12"/>
    <w:link w:val="9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23">
    <w:name w:val="正文首行缩进 2 Char"/>
    <w:basedOn w:val="17"/>
    <w:link w:val="10"/>
    <w:semiHidden/>
    <w:qFormat/>
    <w:locked/>
    <w:uiPriority w:val="99"/>
    <w:rPr>
      <w:rFonts w:ascii="Calibri" w:hAnsi="Calibri" w:cs="Calibri"/>
      <w:sz w:val="21"/>
      <w:szCs w:val="21"/>
    </w:rPr>
  </w:style>
  <w:style w:type="paragraph" w:customStyle="1" w:styleId="24">
    <w:name w:val="Body text|1"/>
    <w:basedOn w:val="1"/>
    <w:qFormat/>
    <w:uiPriority w:val="99"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25">
    <w:name w:val="Header or footer|2"/>
    <w:basedOn w:val="1"/>
    <w:qFormat/>
    <w:uiPriority w:val="99"/>
    <w:rPr>
      <w:sz w:val="20"/>
      <w:szCs w:val="20"/>
    </w:rPr>
  </w:style>
  <w:style w:type="character" w:customStyle="1" w:styleId="26">
    <w:name w:val="font41"/>
    <w:basedOn w:val="12"/>
    <w:qFormat/>
    <w:uiPriority w:val="99"/>
    <w:rPr>
      <w:rFonts w:ascii="??_GB2312" w:eastAsia="Times New Roman" w:cs="??_GB2312"/>
      <w:color w:val="000000"/>
      <w:sz w:val="21"/>
      <w:szCs w:val="21"/>
      <w:u w:val="none"/>
    </w:rPr>
  </w:style>
  <w:style w:type="character" w:customStyle="1" w:styleId="27">
    <w:name w:val="font21"/>
    <w:basedOn w:val="12"/>
    <w:qFormat/>
    <w:uiPriority w:val="99"/>
    <w:rPr>
      <w:rFonts w:ascii="??_GB2312" w:eastAsia="Times New Roman" w:cs="??_GB2312"/>
      <w:color w:val="000000"/>
      <w:sz w:val="21"/>
      <w:szCs w:val="21"/>
      <w:u w:val="none"/>
      <w:vertAlign w:val="subscript"/>
    </w:rPr>
  </w:style>
  <w:style w:type="paragraph" w:customStyle="1" w:styleId="28">
    <w:name w:val="Heading #2|1"/>
    <w:basedOn w:val="1"/>
    <w:qFormat/>
    <w:uiPriority w:val="99"/>
    <w:pPr>
      <w:spacing w:after="520" w:line="576" w:lineRule="exact"/>
      <w:jc w:val="center"/>
      <w:outlineLvl w:val="1"/>
    </w:pPr>
    <w:rPr>
      <w:rFonts w:ascii="宋体" w:hAnsi="宋体" w:cs="宋体"/>
      <w:sz w:val="42"/>
      <w:szCs w:val="42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12</Pages>
  <Words>3909</Words>
  <Characters>4092</Characters>
  <Lines>38</Lines>
  <Paragraphs>10</Paragraphs>
  <TotalTime>3</TotalTime>
  <ScaleCrop>false</ScaleCrop>
  <LinksUpToDate>false</LinksUpToDate>
  <CharactersWithSpaces>4362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2023-06-29T04:56:00Z</dcterms:created>
  <dc:creator>围城</dc:creator>
  <cp:lastModifiedBy>天天鳄鱼王</cp:lastModifiedBy>
  <cp:lastPrinted>2023-06-29T04:30:00Z</cp:lastPrinted>
  <dcterms:modified xsi:type="dcterms:W3CDTF">2023-08-07T07:53:46Z</dcterms:modified>
  <dc:title>济宁市兖州区人民政府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6039B8C393E84D81979D9874E2530F5C_13</vt:lpwstr>
  </property>
</Properties>
</file>