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60" w:lineRule="exact"/>
        <w:rPr>
          <w:rFonts w:eastAsia="方正小标宋简体"/>
          <w:b/>
          <w:snapToGrid w:val="0"/>
          <w:color w:val="000000" w:themeColor="text1"/>
          <w:kern w:val="0"/>
          <w:sz w:val="44"/>
          <w:szCs w:val="44"/>
          <w14:textFill>
            <w14:solidFill>
              <w14:schemeClr w14:val="tx1"/>
            </w14:solidFill>
          </w14:textFill>
        </w:rPr>
      </w:pPr>
      <w:bookmarkStart w:id="0" w:name="_GoBack"/>
      <w:bookmarkEnd w:id="0"/>
    </w:p>
    <w:p>
      <w:pPr>
        <w:overflowPunct w:val="0"/>
        <w:adjustRightInd w:val="0"/>
        <w:snapToGrid w:val="0"/>
        <w:spacing w:line="560" w:lineRule="exact"/>
        <w:jc w:val="center"/>
        <w:rPr>
          <w:rFonts w:eastAsia="方正小标宋_GBK"/>
          <w:b/>
          <w:snapToGrid w:val="0"/>
          <w:color w:val="000000" w:themeColor="text1"/>
          <w:kern w:val="0"/>
          <w:sz w:val="44"/>
          <w:szCs w:val="44"/>
          <w14:textFill>
            <w14:solidFill>
              <w14:schemeClr w14:val="tx1"/>
            </w14:solidFill>
          </w14:textFill>
        </w:rPr>
      </w:pPr>
      <w:r>
        <w:rPr>
          <w:rFonts w:eastAsia="方正小标宋_GBK"/>
          <w:b/>
          <w:snapToGrid w:val="0"/>
          <w:color w:val="000000" w:themeColor="text1"/>
          <w:kern w:val="0"/>
          <w:sz w:val="44"/>
          <w:szCs w:val="44"/>
          <w14:textFill>
            <w14:solidFill>
              <w14:schemeClr w14:val="tx1"/>
            </w14:solidFill>
          </w14:textFill>
        </w:rPr>
        <w:t>关于济宁市兖州区2023年预算执行情况和</w:t>
      </w:r>
    </w:p>
    <w:p>
      <w:pPr>
        <w:overflowPunct w:val="0"/>
        <w:adjustRightInd w:val="0"/>
        <w:snapToGrid w:val="0"/>
        <w:spacing w:line="560" w:lineRule="exact"/>
        <w:jc w:val="center"/>
        <w:rPr>
          <w:rFonts w:eastAsia="方正小标宋_GBK"/>
          <w:b/>
          <w:snapToGrid w:val="0"/>
          <w:color w:val="000000" w:themeColor="text1"/>
          <w:kern w:val="0"/>
          <w:sz w:val="44"/>
          <w:szCs w:val="44"/>
          <w14:textFill>
            <w14:solidFill>
              <w14:schemeClr w14:val="tx1"/>
            </w14:solidFill>
          </w14:textFill>
        </w:rPr>
      </w:pPr>
      <w:r>
        <w:rPr>
          <w:rFonts w:eastAsia="方正小标宋_GBK"/>
          <w:b/>
          <w:snapToGrid w:val="0"/>
          <w:color w:val="000000" w:themeColor="text1"/>
          <w:kern w:val="0"/>
          <w:sz w:val="44"/>
          <w:szCs w:val="44"/>
          <w14:textFill>
            <w14:solidFill>
              <w14:schemeClr w14:val="tx1"/>
            </w14:solidFill>
          </w14:textFill>
        </w:rPr>
        <w:t>2024年预算草案的报告</w:t>
      </w:r>
    </w:p>
    <w:p>
      <w:pPr>
        <w:overflowPunct w:val="0"/>
        <w:adjustRightInd w:val="0"/>
        <w:snapToGrid w:val="0"/>
        <w:spacing w:line="560" w:lineRule="exact"/>
        <w:jc w:val="center"/>
        <w:rPr>
          <w:rFonts w:eastAsia="楷体_GB2312"/>
          <w:b/>
          <w:snapToGrid w:val="0"/>
          <w:color w:val="000000" w:themeColor="text1"/>
          <w:kern w:val="0"/>
          <w:sz w:val="32"/>
          <w:szCs w:val="32"/>
          <w14:textFill>
            <w14:solidFill>
              <w14:schemeClr w14:val="tx1"/>
            </w14:solidFill>
          </w14:textFill>
        </w:rPr>
      </w:pPr>
    </w:p>
    <w:p>
      <w:pPr>
        <w:overflowPunct w:val="0"/>
        <w:adjustRightInd w:val="0"/>
        <w:snapToGrid w:val="0"/>
        <w:spacing w:line="560" w:lineRule="exact"/>
        <w:jc w:val="center"/>
        <w:rPr>
          <w:rFonts w:eastAsia="方正楷体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——2024年1月8日在济宁市兖州区第十九届</w:t>
      </w:r>
    </w:p>
    <w:p>
      <w:pPr>
        <w:overflowPunct w:val="0"/>
        <w:adjustRightInd w:val="0"/>
        <w:snapToGrid w:val="0"/>
        <w:spacing w:line="560" w:lineRule="exact"/>
        <w:jc w:val="center"/>
        <w:rPr>
          <w:rFonts w:eastAsia="方正楷体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人民代表大会第三次会议上</w:t>
      </w:r>
    </w:p>
    <w:p>
      <w:pPr>
        <w:tabs>
          <w:tab w:val="left" w:pos="1320"/>
        </w:tabs>
        <w:overflowPunct w:val="0"/>
        <w:adjustRightInd w:val="0"/>
        <w:snapToGrid w:val="0"/>
        <w:spacing w:line="560" w:lineRule="exact"/>
        <w:jc w:val="center"/>
        <w:rPr>
          <w:rFonts w:eastAsia="方正小标宋简体"/>
          <w:b/>
          <w:snapToGrid w:val="0"/>
          <w:color w:val="000000" w:themeColor="text1"/>
          <w:kern w:val="0"/>
          <w:sz w:val="44"/>
          <w:szCs w:val="44"/>
          <w14:textFill>
            <w14:solidFill>
              <w14:schemeClr w14:val="tx1"/>
            </w14:solidFill>
          </w14:textFill>
        </w:rPr>
      </w:pPr>
    </w:p>
    <w:p>
      <w:pPr>
        <w:overflowPunct w:val="0"/>
        <w:adjustRightInd w:val="0"/>
        <w:snapToGrid w:val="0"/>
        <w:spacing w:line="560" w:lineRule="exact"/>
        <w:jc w:val="center"/>
        <w:rPr>
          <w:rFonts w:eastAsia="方正黑体简体"/>
          <w:b/>
          <w:snapToGrid w:val="0"/>
          <w:color w:val="000000" w:themeColor="text1"/>
          <w:kern w:val="0"/>
          <w:sz w:val="32"/>
          <w:szCs w:val="32"/>
          <w14:textFill>
            <w14:solidFill>
              <w14:schemeClr w14:val="tx1"/>
            </w14:solidFill>
          </w14:textFill>
        </w:rPr>
      </w:pPr>
      <w:r>
        <w:rPr>
          <w:rFonts w:eastAsia="方正黑体简体"/>
          <w:b/>
          <w:snapToGrid w:val="0"/>
          <w:color w:val="000000" w:themeColor="text1"/>
          <w:kern w:val="0"/>
          <w:sz w:val="32"/>
          <w:szCs w:val="32"/>
          <w14:textFill>
            <w14:solidFill>
              <w14:schemeClr w14:val="tx1"/>
            </w14:solidFill>
          </w14:textFill>
        </w:rPr>
        <w:t>济宁市兖州区财政局局长  杨海成</w:t>
      </w:r>
    </w:p>
    <w:p>
      <w:pPr>
        <w:tabs>
          <w:tab w:val="left" w:pos="1320"/>
        </w:tabs>
        <w:overflowPunct w:val="0"/>
        <w:adjustRightInd w:val="0"/>
        <w:snapToGrid w:val="0"/>
        <w:spacing w:line="560" w:lineRule="exact"/>
        <w:jc w:val="center"/>
        <w:rPr>
          <w:rFonts w:eastAsia="楷体_GB2312"/>
          <w:b/>
          <w:snapToGrid w:val="0"/>
          <w:color w:val="000000" w:themeColor="text1"/>
          <w:kern w:val="0"/>
          <w:sz w:val="32"/>
          <w:szCs w:val="32"/>
          <w14:textFill>
            <w14:solidFill>
              <w14:schemeClr w14:val="tx1"/>
            </w14:solidFill>
          </w14:textFill>
        </w:rPr>
      </w:pPr>
    </w:p>
    <w:p>
      <w:pPr>
        <w:overflowPunct w:val="0"/>
        <w:adjustRightInd w:val="0"/>
        <w:snapToGrid w:val="0"/>
        <w:spacing w:line="560" w:lineRule="exact"/>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各位代表：</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受区人民政府委托，提交济宁市兖州区2023年预算执行情况和2024年预算草案，请予审议，并请区政协委员和其他列席会议的同志提出意见。</w:t>
      </w:r>
    </w:p>
    <w:p>
      <w:pPr>
        <w:overflowPunct w:val="0"/>
        <w:adjustRightInd w:val="0"/>
        <w:snapToGrid w:val="0"/>
        <w:spacing w:line="560" w:lineRule="exact"/>
        <w:jc w:val="center"/>
        <w:rPr>
          <w:rFonts w:eastAsia="方正仿宋简体"/>
          <w:b/>
          <w:snapToGrid w:val="0"/>
          <w:color w:val="000000" w:themeColor="text1"/>
          <w:kern w:val="0"/>
          <w:sz w:val="32"/>
          <w:szCs w:val="32"/>
          <w14:textFill>
            <w14:solidFill>
              <w14:schemeClr w14:val="tx1"/>
            </w14:solidFill>
          </w14:textFill>
        </w:rPr>
      </w:pPr>
    </w:p>
    <w:p>
      <w:pPr>
        <w:overflowPunct w:val="0"/>
        <w:adjustRightInd w:val="0"/>
        <w:snapToGrid w:val="0"/>
        <w:spacing w:line="560" w:lineRule="exact"/>
        <w:jc w:val="center"/>
        <w:rPr>
          <w:rFonts w:eastAsia="方正黑体简体"/>
          <w:b/>
          <w:snapToGrid w:val="0"/>
          <w:color w:val="000000" w:themeColor="text1"/>
          <w:kern w:val="0"/>
          <w:sz w:val="32"/>
          <w:szCs w:val="32"/>
          <w14:textFill>
            <w14:solidFill>
              <w14:schemeClr w14:val="tx1"/>
            </w14:solidFill>
          </w14:textFill>
        </w:rPr>
      </w:pPr>
      <w:r>
        <w:rPr>
          <w:rFonts w:eastAsia="方正黑体简体"/>
          <w:b/>
          <w:snapToGrid w:val="0"/>
          <w:color w:val="000000" w:themeColor="text1"/>
          <w:kern w:val="0"/>
          <w:sz w:val="32"/>
          <w:szCs w:val="32"/>
          <w14:textFill>
            <w14:solidFill>
              <w14:schemeClr w14:val="tx1"/>
            </w14:solidFill>
          </w14:textFill>
        </w:rPr>
        <w:t>一、2023年预算执行情况</w:t>
      </w:r>
    </w:p>
    <w:p>
      <w:pPr>
        <w:overflowPunct w:val="0"/>
        <w:adjustRightInd w:val="0"/>
        <w:snapToGrid w:val="0"/>
        <w:spacing w:line="560" w:lineRule="exact"/>
        <w:jc w:val="center"/>
        <w:rPr>
          <w:rFonts w:eastAsia="方正仿宋简体"/>
          <w:b/>
          <w:snapToGrid w:val="0"/>
          <w:color w:val="000000" w:themeColor="text1"/>
          <w:kern w:val="0"/>
          <w:sz w:val="32"/>
          <w:szCs w:val="32"/>
          <w14:textFill>
            <w14:solidFill>
              <w14:schemeClr w14:val="tx1"/>
            </w14:solidFill>
          </w14:textFill>
        </w:rPr>
      </w:pPr>
    </w:p>
    <w:p>
      <w:pPr>
        <w:widowControl/>
        <w:overflowPunct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2023年，在区委坚强领导下，全区上下坚持以习近平新时代中国特色社会主义思想为指导，深入贯彻落实党的二十大和二十届二中全会精神，攻坚克难、拼搏实干，较好地完成了区十九届人大二次会议确定的预算任务，为经济社会平稳发展提供了有力保障。</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（一）一般公共预算执行情况</w:t>
      </w:r>
    </w:p>
    <w:p>
      <w:pPr>
        <w:overflowPunct w:val="0"/>
        <w:adjustRightInd w:val="0"/>
        <w:snapToGrid w:val="0"/>
        <w:spacing w:line="560" w:lineRule="exact"/>
        <w:ind w:firstLine="635" w:firstLineChars="200"/>
        <w:rPr>
          <w:rFonts w:eastAsia="方正仿宋简体"/>
          <w:b/>
          <w:snapToGrid w:val="0"/>
          <w:color w:val="000000" w:themeColor="text1"/>
          <w:spacing w:val="-2"/>
          <w:kern w:val="0"/>
          <w:sz w:val="32"/>
          <w:szCs w:val="32"/>
          <w:highlight w:val="yellow"/>
          <w14:textFill>
            <w14:solidFill>
              <w14:schemeClr w14:val="tx1"/>
            </w14:solidFill>
          </w14:textFill>
        </w:rPr>
      </w:pPr>
      <w:r>
        <w:rPr>
          <w:rFonts w:eastAsia="方正仿宋简体"/>
          <w:b/>
          <w:snapToGrid w:val="0"/>
          <w:color w:val="000000" w:themeColor="text1"/>
          <w:spacing w:val="-2"/>
          <w:kern w:val="0"/>
          <w:sz w:val="32"/>
          <w:szCs w:val="32"/>
          <w14:textFill>
            <w14:solidFill>
              <w14:schemeClr w14:val="tx1"/>
            </w14:solidFill>
          </w14:textFill>
        </w:rPr>
        <w:t>2023年全区一般公共预算收入实现537905万元，完成预算的101%，比上年增长7%。其中：增值税133002万元，完成预算的100%，增长69.5%；企业所得税50573万元，完成预算的102.5%，下降35.6%；个人所得税8823万元，完成预算的101.8%，增长29.9%；资源税29336万元，完成预算的101.2%，增长27.2%；城市维护建设税18511万元，完成预算的100.6%，增长10%；房产税15331万元，完成预算的101.3%，下降1.6%；印花税7483万元，完成预算的101.1%，增长25.6%；城镇土地使用税28229万元，完成预算的102.3%，增长26.3%；土地增值税30429万元，完成预算的100.1%，增长169.8%；车船税3666万元，完成预算的101.8%，下降47.2%；耕地占用税7455万元，完成预算的100.7%，下降73%；契税19904万元，完成预算的104.2%，下降26.8%；环境保护税1184万元，完成预算的100.3%，增长7.2%；其他税收收入266万元。专项收入21715万元，完成预算的106.6%，增长40.6%；行政事业性收费收入7807万元，完成预算的107.3%，增长24.5%；罚没收入11299万元，完成预算的113.5%，增长32%；国有资源（资产）有偿使用收入141533万元，完成预算的98.7%，下降5.1%；政府住房基金收入1259万元，完成预算的146.4%，下降15%；其他收入100万元。</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2023年全区一般公共预算支出实现</w:t>
      </w:r>
      <w:r>
        <w:rPr>
          <w:rFonts w:eastAsia="方正仿宋简体"/>
          <w:b/>
          <w:snapToGrid w:val="0"/>
          <w:color w:val="000000" w:themeColor="text1"/>
          <w:spacing w:val="-2"/>
          <w:kern w:val="0"/>
          <w:sz w:val="32"/>
          <w:szCs w:val="32"/>
          <w14:textFill>
            <w14:solidFill>
              <w14:schemeClr w14:val="tx1"/>
            </w14:solidFill>
          </w14:textFill>
        </w:rPr>
        <w:t>683462</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102.2</w:t>
      </w:r>
      <w:r>
        <w:rPr>
          <w:rFonts w:eastAsia="方正仿宋简体"/>
          <w:b/>
          <w:snapToGrid w:val="0"/>
          <w:color w:val="000000" w:themeColor="text1"/>
          <w:kern w:val="0"/>
          <w:sz w:val="32"/>
          <w:szCs w:val="32"/>
          <w14:textFill>
            <w14:solidFill>
              <w14:schemeClr w14:val="tx1"/>
            </w14:solidFill>
          </w14:textFill>
        </w:rPr>
        <w:t>%，比上年下降</w:t>
      </w:r>
      <w:r>
        <w:rPr>
          <w:rFonts w:eastAsia="方正仿宋简体"/>
          <w:b/>
          <w:snapToGrid w:val="0"/>
          <w:color w:val="000000" w:themeColor="text1"/>
          <w:spacing w:val="-2"/>
          <w:kern w:val="0"/>
          <w:sz w:val="32"/>
          <w:szCs w:val="32"/>
          <w14:textFill>
            <w14:solidFill>
              <w14:schemeClr w14:val="tx1"/>
            </w14:solidFill>
          </w14:textFill>
        </w:rPr>
        <w:t>5.4</w:t>
      </w:r>
      <w:r>
        <w:rPr>
          <w:rFonts w:eastAsia="方正仿宋简体"/>
          <w:b/>
          <w:snapToGrid w:val="0"/>
          <w:color w:val="000000" w:themeColor="text1"/>
          <w:kern w:val="0"/>
          <w:sz w:val="32"/>
          <w:szCs w:val="32"/>
          <w14:textFill>
            <w14:solidFill>
              <w14:schemeClr w14:val="tx1"/>
            </w14:solidFill>
          </w14:textFill>
        </w:rPr>
        <w:t>%。从支出科目看：一般公共服务支出</w:t>
      </w:r>
      <w:r>
        <w:rPr>
          <w:rFonts w:eastAsia="方正仿宋简体"/>
          <w:b/>
          <w:snapToGrid w:val="0"/>
          <w:color w:val="000000" w:themeColor="text1"/>
          <w:spacing w:val="-2"/>
          <w:kern w:val="0"/>
          <w:sz w:val="32"/>
          <w:szCs w:val="32"/>
          <w14:textFill>
            <w14:solidFill>
              <w14:schemeClr w14:val="tx1"/>
            </w14:solidFill>
          </w14:textFill>
        </w:rPr>
        <w:t>56088</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108.2</w:t>
      </w:r>
      <w:r>
        <w:rPr>
          <w:rFonts w:eastAsia="方正仿宋简体"/>
          <w:b/>
          <w:snapToGrid w:val="0"/>
          <w:color w:val="000000" w:themeColor="text1"/>
          <w:kern w:val="0"/>
          <w:sz w:val="32"/>
          <w:szCs w:val="32"/>
          <w14:textFill>
            <w14:solidFill>
              <w14:schemeClr w14:val="tx1"/>
            </w14:solidFill>
          </w14:textFill>
        </w:rPr>
        <w:t>%，下降</w:t>
      </w:r>
      <w:r>
        <w:rPr>
          <w:rFonts w:eastAsia="方正仿宋简体"/>
          <w:b/>
          <w:snapToGrid w:val="0"/>
          <w:color w:val="000000" w:themeColor="text1"/>
          <w:spacing w:val="-2"/>
          <w:kern w:val="0"/>
          <w:sz w:val="32"/>
          <w:szCs w:val="32"/>
          <w14:textFill>
            <w14:solidFill>
              <w14:schemeClr w14:val="tx1"/>
            </w14:solidFill>
          </w14:textFill>
        </w:rPr>
        <w:t>41.3</w:t>
      </w:r>
      <w:r>
        <w:rPr>
          <w:rFonts w:eastAsia="方正仿宋简体"/>
          <w:b/>
          <w:snapToGrid w:val="0"/>
          <w:color w:val="000000" w:themeColor="text1"/>
          <w:kern w:val="0"/>
          <w:sz w:val="32"/>
          <w:szCs w:val="32"/>
          <w14:textFill>
            <w14:solidFill>
              <w14:schemeClr w14:val="tx1"/>
            </w14:solidFill>
          </w14:textFill>
        </w:rPr>
        <w:t>%；国防支出</w:t>
      </w:r>
      <w:r>
        <w:rPr>
          <w:rFonts w:eastAsia="方正仿宋简体"/>
          <w:b/>
          <w:snapToGrid w:val="0"/>
          <w:color w:val="000000" w:themeColor="text1"/>
          <w:spacing w:val="-2"/>
          <w:kern w:val="0"/>
          <w:sz w:val="32"/>
          <w:szCs w:val="32"/>
          <w14:textFill>
            <w14:solidFill>
              <w14:schemeClr w14:val="tx1"/>
            </w14:solidFill>
          </w14:textFill>
        </w:rPr>
        <w:t>344</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101.2</w:t>
      </w:r>
      <w:r>
        <w:rPr>
          <w:rFonts w:eastAsia="方正仿宋简体"/>
          <w:b/>
          <w:snapToGrid w:val="0"/>
          <w:color w:val="000000" w:themeColor="text1"/>
          <w:kern w:val="0"/>
          <w:sz w:val="32"/>
          <w:szCs w:val="32"/>
          <w14:textFill>
            <w14:solidFill>
              <w14:schemeClr w14:val="tx1"/>
            </w14:solidFill>
          </w14:textFill>
        </w:rPr>
        <w:t>%，增长</w:t>
      </w:r>
      <w:r>
        <w:rPr>
          <w:rFonts w:eastAsia="方正仿宋简体"/>
          <w:b/>
          <w:snapToGrid w:val="0"/>
          <w:color w:val="000000" w:themeColor="text1"/>
          <w:spacing w:val="-2"/>
          <w:kern w:val="0"/>
          <w:sz w:val="32"/>
          <w:szCs w:val="32"/>
          <w14:textFill>
            <w14:solidFill>
              <w14:schemeClr w14:val="tx1"/>
            </w14:solidFill>
          </w14:textFill>
        </w:rPr>
        <w:t>278</w:t>
      </w:r>
      <w:r>
        <w:rPr>
          <w:rFonts w:eastAsia="方正仿宋简体"/>
          <w:b/>
          <w:snapToGrid w:val="0"/>
          <w:color w:val="000000" w:themeColor="text1"/>
          <w:kern w:val="0"/>
          <w:sz w:val="32"/>
          <w:szCs w:val="32"/>
          <w14:textFill>
            <w14:solidFill>
              <w14:schemeClr w14:val="tx1"/>
            </w14:solidFill>
          </w14:textFill>
        </w:rPr>
        <w:t>%；公共安全支出</w:t>
      </w:r>
      <w:r>
        <w:rPr>
          <w:rFonts w:eastAsia="方正仿宋简体"/>
          <w:b/>
          <w:snapToGrid w:val="0"/>
          <w:color w:val="000000" w:themeColor="text1"/>
          <w:spacing w:val="-2"/>
          <w:kern w:val="0"/>
          <w:sz w:val="32"/>
          <w:szCs w:val="32"/>
          <w14:textFill>
            <w14:solidFill>
              <w14:schemeClr w14:val="tx1"/>
            </w14:solidFill>
          </w14:textFill>
        </w:rPr>
        <w:t>16005</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100</w:t>
      </w:r>
      <w:r>
        <w:rPr>
          <w:rFonts w:eastAsia="方正仿宋简体"/>
          <w:b/>
          <w:snapToGrid w:val="0"/>
          <w:color w:val="000000" w:themeColor="text1"/>
          <w:kern w:val="0"/>
          <w:sz w:val="32"/>
          <w:szCs w:val="32"/>
          <w14:textFill>
            <w14:solidFill>
              <w14:schemeClr w14:val="tx1"/>
            </w14:solidFill>
          </w14:textFill>
        </w:rPr>
        <w:t>%，下降</w:t>
      </w:r>
      <w:r>
        <w:rPr>
          <w:rFonts w:eastAsia="方正仿宋简体"/>
          <w:b/>
          <w:snapToGrid w:val="0"/>
          <w:color w:val="000000" w:themeColor="text1"/>
          <w:spacing w:val="-2"/>
          <w:kern w:val="0"/>
          <w:sz w:val="32"/>
          <w:szCs w:val="32"/>
          <w14:textFill>
            <w14:solidFill>
              <w14:schemeClr w14:val="tx1"/>
            </w14:solidFill>
          </w14:textFill>
        </w:rPr>
        <w:t>33</w:t>
      </w:r>
      <w:r>
        <w:rPr>
          <w:rFonts w:eastAsia="方正仿宋简体"/>
          <w:b/>
          <w:snapToGrid w:val="0"/>
          <w:color w:val="000000" w:themeColor="text1"/>
          <w:kern w:val="0"/>
          <w:sz w:val="32"/>
          <w:szCs w:val="32"/>
          <w14:textFill>
            <w14:solidFill>
              <w14:schemeClr w14:val="tx1"/>
            </w14:solidFill>
          </w14:textFill>
        </w:rPr>
        <w:t>%；教育支出</w:t>
      </w:r>
      <w:r>
        <w:rPr>
          <w:rFonts w:eastAsia="方正仿宋简体"/>
          <w:b/>
          <w:snapToGrid w:val="0"/>
          <w:color w:val="000000" w:themeColor="text1"/>
          <w:spacing w:val="-2"/>
          <w:kern w:val="0"/>
          <w:sz w:val="32"/>
          <w:szCs w:val="32"/>
          <w14:textFill>
            <w14:solidFill>
              <w14:schemeClr w14:val="tx1"/>
            </w14:solidFill>
          </w14:textFill>
        </w:rPr>
        <w:t>136152</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100.1</w:t>
      </w:r>
      <w:r>
        <w:rPr>
          <w:rFonts w:eastAsia="方正仿宋简体"/>
          <w:b/>
          <w:snapToGrid w:val="0"/>
          <w:color w:val="000000" w:themeColor="text1"/>
          <w:kern w:val="0"/>
          <w:sz w:val="32"/>
          <w:szCs w:val="32"/>
          <w14:textFill>
            <w14:solidFill>
              <w14:schemeClr w14:val="tx1"/>
            </w14:solidFill>
          </w14:textFill>
        </w:rPr>
        <w:t>%，增长</w:t>
      </w:r>
      <w:r>
        <w:rPr>
          <w:rFonts w:eastAsia="方正仿宋简体"/>
          <w:b/>
          <w:snapToGrid w:val="0"/>
          <w:color w:val="000000" w:themeColor="text1"/>
          <w:spacing w:val="-2"/>
          <w:kern w:val="0"/>
          <w:sz w:val="32"/>
          <w:szCs w:val="32"/>
          <w14:textFill>
            <w14:solidFill>
              <w14:schemeClr w14:val="tx1"/>
            </w14:solidFill>
          </w14:textFill>
        </w:rPr>
        <w:t>0.2</w:t>
      </w:r>
      <w:r>
        <w:rPr>
          <w:rFonts w:eastAsia="方正仿宋简体"/>
          <w:b/>
          <w:snapToGrid w:val="0"/>
          <w:color w:val="000000" w:themeColor="text1"/>
          <w:kern w:val="0"/>
          <w:sz w:val="32"/>
          <w:szCs w:val="32"/>
          <w14:textFill>
            <w14:solidFill>
              <w14:schemeClr w14:val="tx1"/>
            </w14:solidFill>
          </w14:textFill>
        </w:rPr>
        <w:t>%；科学技术支出</w:t>
      </w:r>
      <w:r>
        <w:rPr>
          <w:rFonts w:eastAsia="方正仿宋简体"/>
          <w:b/>
          <w:snapToGrid w:val="0"/>
          <w:color w:val="000000" w:themeColor="text1"/>
          <w:spacing w:val="-2"/>
          <w:kern w:val="0"/>
          <w:sz w:val="32"/>
          <w:szCs w:val="32"/>
          <w14:textFill>
            <w14:solidFill>
              <w14:schemeClr w14:val="tx1"/>
            </w14:solidFill>
          </w14:textFill>
        </w:rPr>
        <w:t>2147</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102.2</w:t>
      </w:r>
      <w:r>
        <w:rPr>
          <w:rFonts w:eastAsia="方正仿宋简体"/>
          <w:b/>
          <w:snapToGrid w:val="0"/>
          <w:color w:val="000000" w:themeColor="text1"/>
          <w:kern w:val="0"/>
          <w:sz w:val="32"/>
          <w:szCs w:val="32"/>
          <w14:textFill>
            <w14:solidFill>
              <w14:schemeClr w14:val="tx1"/>
            </w14:solidFill>
          </w14:textFill>
        </w:rPr>
        <w:t>%，增长</w:t>
      </w:r>
      <w:r>
        <w:rPr>
          <w:rFonts w:eastAsia="方正仿宋简体"/>
          <w:b/>
          <w:snapToGrid w:val="0"/>
          <w:color w:val="000000" w:themeColor="text1"/>
          <w:spacing w:val="-2"/>
          <w:kern w:val="0"/>
          <w:sz w:val="32"/>
          <w:szCs w:val="32"/>
          <w14:textFill>
            <w14:solidFill>
              <w14:schemeClr w14:val="tx1"/>
            </w14:solidFill>
          </w14:textFill>
        </w:rPr>
        <w:t>22.5</w:t>
      </w:r>
      <w:r>
        <w:rPr>
          <w:rFonts w:eastAsia="方正仿宋简体"/>
          <w:b/>
          <w:snapToGrid w:val="0"/>
          <w:color w:val="000000" w:themeColor="text1"/>
          <w:kern w:val="0"/>
          <w:sz w:val="32"/>
          <w:szCs w:val="32"/>
          <w14:textFill>
            <w14:solidFill>
              <w14:schemeClr w14:val="tx1"/>
            </w14:solidFill>
          </w14:textFill>
        </w:rPr>
        <w:t>%；文化旅游体育与传媒支出</w:t>
      </w:r>
      <w:r>
        <w:rPr>
          <w:rFonts w:eastAsia="方正仿宋简体"/>
          <w:b/>
          <w:snapToGrid w:val="0"/>
          <w:color w:val="000000" w:themeColor="text1"/>
          <w:spacing w:val="-2"/>
          <w:kern w:val="0"/>
          <w:sz w:val="32"/>
          <w:szCs w:val="32"/>
          <w14:textFill>
            <w14:solidFill>
              <w14:schemeClr w14:val="tx1"/>
            </w14:solidFill>
          </w14:textFill>
        </w:rPr>
        <w:t>5173</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110.7</w:t>
      </w:r>
      <w:r>
        <w:rPr>
          <w:rFonts w:eastAsia="方正仿宋简体"/>
          <w:b/>
          <w:snapToGrid w:val="0"/>
          <w:color w:val="000000" w:themeColor="text1"/>
          <w:kern w:val="0"/>
          <w:sz w:val="32"/>
          <w:szCs w:val="32"/>
          <w14:textFill>
            <w14:solidFill>
              <w14:schemeClr w14:val="tx1"/>
            </w14:solidFill>
          </w14:textFill>
        </w:rPr>
        <w:t>%，下降29.6%；社会保障和就业支出</w:t>
      </w:r>
      <w:r>
        <w:rPr>
          <w:rFonts w:eastAsia="方正仿宋简体"/>
          <w:b/>
          <w:snapToGrid w:val="0"/>
          <w:color w:val="000000" w:themeColor="text1"/>
          <w:spacing w:val="-2"/>
          <w:kern w:val="0"/>
          <w:sz w:val="32"/>
          <w:szCs w:val="32"/>
          <w14:textFill>
            <w14:solidFill>
              <w14:schemeClr w14:val="tx1"/>
            </w14:solidFill>
          </w14:textFill>
        </w:rPr>
        <w:t>90529</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100.6</w:t>
      </w:r>
      <w:r>
        <w:rPr>
          <w:rFonts w:eastAsia="方正仿宋简体"/>
          <w:b/>
          <w:snapToGrid w:val="0"/>
          <w:color w:val="000000" w:themeColor="text1"/>
          <w:kern w:val="0"/>
          <w:sz w:val="32"/>
          <w:szCs w:val="32"/>
          <w14:textFill>
            <w14:solidFill>
              <w14:schemeClr w14:val="tx1"/>
            </w14:solidFill>
          </w14:textFill>
        </w:rPr>
        <w:t>%，增长</w:t>
      </w:r>
      <w:r>
        <w:rPr>
          <w:rFonts w:eastAsia="方正仿宋简体"/>
          <w:b/>
          <w:snapToGrid w:val="0"/>
          <w:color w:val="000000" w:themeColor="text1"/>
          <w:spacing w:val="-2"/>
          <w:kern w:val="0"/>
          <w:sz w:val="32"/>
          <w:szCs w:val="32"/>
          <w14:textFill>
            <w14:solidFill>
              <w14:schemeClr w14:val="tx1"/>
            </w14:solidFill>
          </w14:textFill>
        </w:rPr>
        <w:t>17</w:t>
      </w:r>
      <w:r>
        <w:rPr>
          <w:rFonts w:eastAsia="方正仿宋简体"/>
          <w:b/>
          <w:snapToGrid w:val="0"/>
          <w:color w:val="000000" w:themeColor="text1"/>
          <w:kern w:val="0"/>
          <w:sz w:val="32"/>
          <w:szCs w:val="32"/>
          <w14:textFill>
            <w14:solidFill>
              <w14:schemeClr w14:val="tx1"/>
            </w14:solidFill>
          </w14:textFill>
        </w:rPr>
        <w:t>%；卫生健康支出</w:t>
      </w:r>
      <w:r>
        <w:rPr>
          <w:rFonts w:eastAsia="方正仿宋简体"/>
          <w:b/>
          <w:snapToGrid w:val="0"/>
          <w:color w:val="000000" w:themeColor="text1"/>
          <w:spacing w:val="-2"/>
          <w:kern w:val="0"/>
          <w:sz w:val="32"/>
          <w:szCs w:val="32"/>
          <w14:textFill>
            <w14:solidFill>
              <w14:schemeClr w14:val="tx1"/>
            </w14:solidFill>
          </w14:textFill>
        </w:rPr>
        <w:t>41412</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112.9</w:t>
      </w:r>
      <w:r>
        <w:rPr>
          <w:rFonts w:eastAsia="方正仿宋简体"/>
          <w:b/>
          <w:snapToGrid w:val="0"/>
          <w:color w:val="000000" w:themeColor="text1"/>
          <w:kern w:val="0"/>
          <w:sz w:val="32"/>
          <w:szCs w:val="32"/>
          <w14:textFill>
            <w14:solidFill>
              <w14:schemeClr w14:val="tx1"/>
            </w14:solidFill>
          </w14:textFill>
        </w:rPr>
        <w:t>%，下降6.9%；节能环保支出</w:t>
      </w:r>
      <w:r>
        <w:rPr>
          <w:rFonts w:eastAsia="方正仿宋简体"/>
          <w:b/>
          <w:snapToGrid w:val="0"/>
          <w:color w:val="000000" w:themeColor="text1"/>
          <w:spacing w:val="-2"/>
          <w:kern w:val="0"/>
          <w:sz w:val="32"/>
          <w:szCs w:val="32"/>
          <w14:textFill>
            <w14:solidFill>
              <w14:schemeClr w14:val="tx1"/>
            </w14:solidFill>
          </w14:textFill>
        </w:rPr>
        <w:t>6348</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110.2</w:t>
      </w:r>
      <w:r>
        <w:rPr>
          <w:rFonts w:eastAsia="方正仿宋简体"/>
          <w:b/>
          <w:snapToGrid w:val="0"/>
          <w:color w:val="000000" w:themeColor="text1"/>
          <w:kern w:val="0"/>
          <w:sz w:val="32"/>
          <w:szCs w:val="32"/>
          <w14:textFill>
            <w14:solidFill>
              <w14:schemeClr w14:val="tx1"/>
            </w14:solidFill>
          </w14:textFill>
        </w:rPr>
        <w:t>%，下降</w:t>
      </w:r>
      <w:r>
        <w:rPr>
          <w:rFonts w:eastAsia="方正仿宋简体"/>
          <w:b/>
          <w:snapToGrid w:val="0"/>
          <w:color w:val="000000" w:themeColor="text1"/>
          <w:spacing w:val="-2"/>
          <w:kern w:val="0"/>
          <w:sz w:val="32"/>
          <w:szCs w:val="32"/>
          <w14:textFill>
            <w14:solidFill>
              <w14:schemeClr w14:val="tx1"/>
            </w14:solidFill>
          </w14:textFill>
        </w:rPr>
        <w:t>60.6</w:t>
      </w:r>
      <w:r>
        <w:rPr>
          <w:rFonts w:eastAsia="方正仿宋简体"/>
          <w:b/>
          <w:snapToGrid w:val="0"/>
          <w:color w:val="000000" w:themeColor="text1"/>
          <w:kern w:val="0"/>
          <w:sz w:val="32"/>
          <w:szCs w:val="32"/>
          <w14:textFill>
            <w14:solidFill>
              <w14:schemeClr w14:val="tx1"/>
            </w14:solidFill>
          </w14:textFill>
        </w:rPr>
        <w:t>%；城乡社区支出</w:t>
      </w:r>
      <w:r>
        <w:rPr>
          <w:rFonts w:eastAsia="方正仿宋简体"/>
          <w:b/>
          <w:snapToGrid w:val="0"/>
          <w:color w:val="000000" w:themeColor="text1"/>
          <w:spacing w:val="-2"/>
          <w:kern w:val="0"/>
          <w:sz w:val="32"/>
          <w:szCs w:val="32"/>
          <w14:textFill>
            <w14:solidFill>
              <w14:schemeClr w14:val="tx1"/>
            </w14:solidFill>
          </w14:textFill>
        </w:rPr>
        <w:t>185183</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103.5</w:t>
      </w:r>
      <w:r>
        <w:rPr>
          <w:rFonts w:eastAsia="方正仿宋简体"/>
          <w:b/>
          <w:snapToGrid w:val="0"/>
          <w:color w:val="000000" w:themeColor="text1"/>
          <w:kern w:val="0"/>
          <w:sz w:val="32"/>
          <w:szCs w:val="32"/>
          <w14:textFill>
            <w14:solidFill>
              <w14:schemeClr w14:val="tx1"/>
            </w14:solidFill>
          </w14:textFill>
        </w:rPr>
        <w:t>%，下降</w:t>
      </w:r>
      <w:r>
        <w:rPr>
          <w:rFonts w:eastAsia="方正仿宋简体"/>
          <w:b/>
          <w:snapToGrid w:val="0"/>
          <w:color w:val="000000" w:themeColor="text1"/>
          <w:spacing w:val="-2"/>
          <w:kern w:val="0"/>
          <w:sz w:val="32"/>
          <w:szCs w:val="32"/>
          <w14:textFill>
            <w14:solidFill>
              <w14:schemeClr w14:val="tx1"/>
            </w14:solidFill>
          </w14:textFill>
        </w:rPr>
        <w:t>2.8</w:t>
      </w:r>
      <w:r>
        <w:rPr>
          <w:rFonts w:eastAsia="方正仿宋简体"/>
          <w:b/>
          <w:snapToGrid w:val="0"/>
          <w:color w:val="000000" w:themeColor="text1"/>
          <w:kern w:val="0"/>
          <w:sz w:val="32"/>
          <w:szCs w:val="32"/>
          <w14:textFill>
            <w14:solidFill>
              <w14:schemeClr w14:val="tx1"/>
            </w14:solidFill>
          </w14:textFill>
        </w:rPr>
        <w:t>%；农林水支出</w:t>
      </w:r>
      <w:r>
        <w:rPr>
          <w:rFonts w:eastAsia="方正仿宋简体"/>
          <w:b/>
          <w:snapToGrid w:val="0"/>
          <w:color w:val="000000" w:themeColor="text1"/>
          <w:spacing w:val="-2"/>
          <w:kern w:val="0"/>
          <w:sz w:val="32"/>
          <w:szCs w:val="32"/>
          <w14:textFill>
            <w14:solidFill>
              <w14:schemeClr w14:val="tx1"/>
            </w14:solidFill>
          </w14:textFill>
        </w:rPr>
        <w:t>66781</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103.6</w:t>
      </w:r>
      <w:r>
        <w:rPr>
          <w:rFonts w:eastAsia="方正仿宋简体"/>
          <w:b/>
          <w:snapToGrid w:val="0"/>
          <w:color w:val="000000" w:themeColor="text1"/>
          <w:kern w:val="0"/>
          <w:sz w:val="32"/>
          <w:szCs w:val="32"/>
          <w14:textFill>
            <w14:solidFill>
              <w14:schemeClr w14:val="tx1"/>
            </w14:solidFill>
          </w14:textFill>
        </w:rPr>
        <w:t>%，增长</w:t>
      </w:r>
      <w:r>
        <w:rPr>
          <w:rFonts w:eastAsia="方正仿宋简体"/>
          <w:b/>
          <w:snapToGrid w:val="0"/>
          <w:color w:val="000000" w:themeColor="text1"/>
          <w:spacing w:val="-2"/>
          <w:kern w:val="0"/>
          <w:sz w:val="32"/>
          <w:szCs w:val="32"/>
          <w14:textFill>
            <w14:solidFill>
              <w14:schemeClr w14:val="tx1"/>
            </w14:solidFill>
          </w14:textFill>
        </w:rPr>
        <w:t>3.6</w:t>
      </w:r>
      <w:r>
        <w:rPr>
          <w:rFonts w:eastAsia="方正仿宋简体"/>
          <w:b/>
          <w:snapToGrid w:val="0"/>
          <w:color w:val="000000" w:themeColor="text1"/>
          <w:kern w:val="0"/>
          <w:sz w:val="32"/>
          <w:szCs w:val="32"/>
          <w14:textFill>
            <w14:solidFill>
              <w14:schemeClr w14:val="tx1"/>
            </w14:solidFill>
          </w14:textFill>
        </w:rPr>
        <w:t>%；交通运输支出</w:t>
      </w:r>
      <w:r>
        <w:rPr>
          <w:rFonts w:eastAsia="方正仿宋简体"/>
          <w:b/>
          <w:snapToGrid w:val="0"/>
          <w:color w:val="000000" w:themeColor="text1"/>
          <w:spacing w:val="-2"/>
          <w:kern w:val="0"/>
          <w:sz w:val="32"/>
          <w:szCs w:val="32"/>
          <w14:textFill>
            <w14:solidFill>
              <w14:schemeClr w14:val="tx1"/>
            </w14:solidFill>
          </w14:textFill>
        </w:rPr>
        <w:t>8527</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133.9</w:t>
      </w:r>
      <w:r>
        <w:rPr>
          <w:rFonts w:eastAsia="方正仿宋简体"/>
          <w:b/>
          <w:snapToGrid w:val="0"/>
          <w:color w:val="000000" w:themeColor="text1"/>
          <w:kern w:val="0"/>
          <w:sz w:val="32"/>
          <w:szCs w:val="32"/>
          <w14:textFill>
            <w14:solidFill>
              <w14:schemeClr w14:val="tx1"/>
            </w14:solidFill>
          </w14:textFill>
        </w:rPr>
        <w:t>%，下降</w:t>
      </w:r>
      <w:r>
        <w:rPr>
          <w:rFonts w:eastAsia="方正仿宋简体"/>
          <w:b/>
          <w:snapToGrid w:val="0"/>
          <w:color w:val="000000" w:themeColor="text1"/>
          <w:spacing w:val="-2"/>
          <w:kern w:val="0"/>
          <w:sz w:val="32"/>
          <w:szCs w:val="32"/>
          <w14:textFill>
            <w14:solidFill>
              <w14:schemeClr w14:val="tx1"/>
            </w14:solidFill>
          </w14:textFill>
        </w:rPr>
        <w:t>29.3</w:t>
      </w:r>
      <w:r>
        <w:rPr>
          <w:rFonts w:eastAsia="方正仿宋简体"/>
          <w:b/>
          <w:snapToGrid w:val="0"/>
          <w:color w:val="000000" w:themeColor="text1"/>
          <w:kern w:val="0"/>
          <w:sz w:val="32"/>
          <w:szCs w:val="32"/>
          <w14:textFill>
            <w14:solidFill>
              <w14:schemeClr w14:val="tx1"/>
            </w14:solidFill>
          </w14:textFill>
        </w:rPr>
        <w:t>%；资源勘探工业信息等支出</w:t>
      </w:r>
      <w:r>
        <w:rPr>
          <w:rFonts w:eastAsia="方正仿宋简体"/>
          <w:b/>
          <w:snapToGrid w:val="0"/>
          <w:color w:val="000000" w:themeColor="text1"/>
          <w:spacing w:val="-2"/>
          <w:kern w:val="0"/>
          <w:sz w:val="32"/>
          <w:szCs w:val="32"/>
          <w14:textFill>
            <w14:solidFill>
              <w14:schemeClr w14:val="tx1"/>
            </w14:solidFill>
          </w14:textFill>
        </w:rPr>
        <w:t>15870</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112.2</w:t>
      </w:r>
      <w:r>
        <w:rPr>
          <w:rFonts w:eastAsia="方正仿宋简体"/>
          <w:b/>
          <w:snapToGrid w:val="0"/>
          <w:color w:val="000000" w:themeColor="text1"/>
          <w:kern w:val="0"/>
          <w:sz w:val="32"/>
          <w:szCs w:val="32"/>
          <w14:textFill>
            <w14:solidFill>
              <w14:schemeClr w14:val="tx1"/>
            </w14:solidFill>
          </w14:textFill>
        </w:rPr>
        <w:t>%，增长</w:t>
      </w:r>
      <w:r>
        <w:rPr>
          <w:rFonts w:eastAsia="方正仿宋简体"/>
          <w:b/>
          <w:snapToGrid w:val="0"/>
          <w:color w:val="000000" w:themeColor="text1"/>
          <w:spacing w:val="-2"/>
          <w:kern w:val="0"/>
          <w:sz w:val="32"/>
          <w:szCs w:val="32"/>
          <w14:textFill>
            <w14:solidFill>
              <w14:schemeClr w14:val="tx1"/>
            </w14:solidFill>
          </w14:textFill>
        </w:rPr>
        <w:t>439.4</w:t>
      </w:r>
      <w:r>
        <w:rPr>
          <w:rFonts w:eastAsia="方正仿宋简体"/>
          <w:b/>
          <w:snapToGrid w:val="0"/>
          <w:color w:val="000000" w:themeColor="text1"/>
          <w:kern w:val="0"/>
          <w:sz w:val="32"/>
          <w:szCs w:val="32"/>
          <w14:textFill>
            <w14:solidFill>
              <w14:schemeClr w14:val="tx1"/>
            </w14:solidFill>
          </w14:textFill>
        </w:rPr>
        <w:t>%；商业服务业等支出</w:t>
      </w:r>
      <w:r>
        <w:rPr>
          <w:rFonts w:eastAsia="方正仿宋简体"/>
          <w:b/>
          <w:snapToGrid w:val="0"/>
          <w:color w:val="000000" w:themeColor="text1"/>
          <w:spacing w:val="-2"/>
          <w:kern w:val="0"/>
          <w:sz w:val="32"/>
          <w:szCs w:val="32"/>
          <w14:textFill>
            <w14:solidFill>
              <w14:schemeClr w14:val="tx1"/>
            </w14:solidFill>
          </w14:textFill>
        </w:rPr>
        <w:t>498</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104.2</w:t>
      </w:r>
      <w:r>
        <w:rPr>
          <w:rFonts w:eastAsia="方正仿宋简体"/>
          <w:b/>
          <w:snapToGrid w:val="0"/>
          <w:color w:val="000000" w:themeColor="text1"/>
          <w:kern w:val="0"/>
          <w:sz w:val="32"/>
          <w:szCs w:val="32"/>
          <w14:textFill>
            <w14:solidFill>
              <w14:schemeClr w14:val="tx1"/>
            </w14:solidFill>
          </w14:textFill>
        </w:rPr>
        <w:t>%，下降</w:t>
      </w:r>
      <w:r>
        <w:rPr>
          <w:rFonts w:eastAsia="方正仿宋简体"/>
          <w:b/>
          <w:snapToGrid w:val="0"/>
          <w:color w:val="000000" w:themeColor="text1"/>
          <w:spacing w:val="-2"/>
          <w:kern w:val="0"/>
          <w:sz w:val="32"/>
          <w:szCs w:val="32"/>
          <w14:textFill>
            <w14:solidFill>
              <w14:schemeClr w14:val="tx1"/>
            </w14:solidFill>
          </w14:textFill>
        </w:rPr>
        <w:t>91.6</w:t>
      </w:r>
      <w:r>
        <w:rPr>
          <w:rFonts w:eastAsia="方正仿宋简体"/>
          <w:b/>
          <w:snapToGrid w:val="0"/>
          <w:color w:val="000000" w:themeColor="text1"/>
          <w:kern w:val="0"/>
          <w:sz w:val="32"/>
          <w:szCs w:val="32"/>
          <w14:textFill>
            <w14:solidFill>
              <w14:schemeClr w14:val="tx1"/>
            </w14:solidFill>
          </w14:textFill>
        </w:rPr>
        <w:t>%；金融支出</w:t>
      </w:r>
      <w:r>
        <w:rPr>
          <w:rFonts w:eastAsia="方正仿宋简体"/>
          <w:b/>
          <w:snapToGrid w:val="0"/>
          <w:color w:val="000000" w:themeColor="text1"/>
          <w:spacing w:val="-2"/>
          <w:kern w:val="0"/>
          <w:sz w:val="32"/>
          <w:szCs w:val="32"/>
          <w14:textFill>
            <w14:solidFill>
              <w14:schemeClr w14:val="tx1"/>
            </w14:solidFill>
          </w14:textFill>
        </w:rPr>
        <w:t>60</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103.4</w:t>
      </w:r>
      <w:r>
        <w:rPr>
          <w:rFonts w:eastAsia="方正仿宋简体"/>
          <w:b/>
          <w:snapToGrid w:val="0"/>
          <w:color w:val="000000" w:themeColor="text1"/>
          <w:kern w:val="0"/>
          <w:sz w:val="32"/>
          <w:szCs w:val="32"/>
          <w14:textFill>
            <w14:solidFill>
              <w14:schemeClr w14:val="tx1"/>
            </w14:solidFill>
          </w14:textFill>
        </w:rPr>
        <w:t>%，下降</w:t>
      </w:r>
      <w:r>
        <w:rPr>
          <w:rFonts w:eastAsia="方正仿宋简体"/>
          <w:b/>
          <w:snapToGrid w:val="0"/>
          <w:color w:val="000000" w:themeColor="text1"/>
          <w:spacing w:val="-2"/>
          <w:kern w:val="0"/>
          <w:sz w:val="32"/>
          <w:szCs w:val="32"/>
          <w14:textFill>
            <w14:solidFill>
              <w14:schemeClr w14:val="tx1"/>
            </w14:solidFill>
          </w14:textFill>
        </w:rPr>
        <w:t>73.5</w:t>
      </w:r>
      <w:r>
        <w:rPr>
          <w:rFonts w:eastAsia="方正仿宋简体"/>
          <w:b/>
          <w:snapToGrid w:val="0"/>
          <w:color w:val="000000" w:themeColor="text1"/>
          <w:kern w:val="0"/>
          <w:sz w:val="32"/>
          <w:szCs w:val="32"/>
          <w14:textFill>
            <w14:solidFill>
              <w14:schemeClr w14:val="tx1"/>
            </w14:solidFill>
          </w14:textFill>
        </w:rPr>
        <w:t>%；自然资源海洋气象等支出</w:t>
      </w:r>
      <w:r>
        <w:rPr>
          <w:rFonts w:eastAsia="方正仿宋简体"/>
          <w:b/>
          <w:snapToGrid w:val="0"/>
          <w:color w:val="000000" w:themeColor="text1"/>
          <w:spacing w:val="-2"/>
          <w:kern w:val="0"/>
          <w:sz w:val="32"/>
          <w:szCs w:val="32"/>
          <w14:textFill>
            <w14:solidFill>
              <w14:schemeClr w14:val="tx1"/>
            </w14:solidFill>
          </w14:textFill>
        </w:rPr>
        <w:t>3326</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104.4</w:t>
      </w:r>
      <w:r>
        <w:rPr>
          <w:rFonts w:eastAsia="方正仿宋简体"/>
          <w:b/>
          <w:snapToGrid w:val="0"/>
          <w:color w:val="000000" w:themeColor="text1"/>
          <w:kern w:val="0"/>
          <w:sz w:val="32"/>
          <w:szCs w:val="32"/>
          <w14:textFill>
            <w14:solidFill>
              <w14:schemeClr w14:val="tx1"/>
            </w14:solidFill>
          </w14:textFill>
        </w:rPr>
        <w:t>%，下降</w:t>
      </w:r>
      <w:r>
        <w:rPr>
          <w:rFonts w:eastAsia="方正仿宋简体"/>
          <w:b/>
          <w:snapToGrid w:val="0"/>
          <w:color w:val="000000" w:themeColor="text1"/>
          <w:spacing w:val="-2"/>
          <w:kern w:val="0"/>
          <w:sz w:val="32"/>
          <w:szCs w:val="32"/>
          <w14:textFill>
            <w14:solidFill>
              <w14:schemeClr w14:val="tx1"/>
            </w14:solidFill>
          </w14:textFill>
        </w:rPr>
        <w:t>27</w:t>
      </w:r>
      <w:r>
        <w:rPr>
          <w:rFonts w:eastAsia="方正仿宋简体"/>
          <w:b/>
          <w:snapToGrid w:val="0"/>
          <w:color w:val="000000" w:themeColor="text1"/>
          <w:kern w:val="0"/>
          <w:sz w:val="32"/>
          <w:szCs w:val="32"/>
          <w14:textFill>
            <w14:solidFill>
              <w14:schemeClr w14:val="tx1"/>
            </w14:solidFill>
          </w14:textFill>
        </w:rPr>
        <w:t>%；住房保障支出</w:t>
      </w:r>
      <w:r>
        <w:rPr>
          <w:rFonts w:eastAsia="方正仿宋简体"/>
          <w:b/>
          <w:snapToGrid w:val="0"/>
          <w:color w:val="000000" w:themeColor="text1"/>
          <w:spacing w:val="-2"/>
          <w:kern w:val="0"/>
          <w:sz w:val="32"/>
          <w:szCs w:val="32"/>
          <w14:textFill>
            <w14:solidFill>
              <w14:schemeClr w14:val="tx1"/>
            </w14:solidFill>
          </w14:textFill>
        </w:rPr>
        <w:t>22476</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175.5</w:t>
      </w:r>
      <w:r>
        <w:rPr>
          <w:rFonts w:eastAsia="方正仿宋简体"/>
          <w:b/>
          <w:snapToGrid w:val="0"/>
          <w:color w:val="000000" w:themeColor="text1"/>
          <w:kern w:val="0"/>
          <w:sz w:val="32"/>
          <w:szCs w:val="32"/>
          <w14:textFill>
            <w14:solidFill>
              <w14:schemeClr w14:val="tx1"/>
            </w14:solidFill>
          </w14:textFill>
        </w:rPr>
        <w:t>%，增长</w:t>
      </w:r>
      <w:r>
        <w:rPr>
          <w:rFonts w:eastAsia="方正仿宋简体"/>
          <w:b/>
          <w:snapToGrid w:val="0"/>
          <w:color w:val="000000" w:themeColor="text1"/>
          <w:spacing w:val="-2"/>
          <w:kern w:val="0"/>
          <w:sz w:val="32"/>
          <w:szCs w:val="32"/>
          <w14:textFill>
            <w14:solidFill>
              <w14:schemeClr w14:val="tx1"/>
            </w14:solidFill>
          </w14:textFill>
        </w:rPr>
        <w:t>56.9</w:t>
      </w:r>
      <w:r>
        <w:rPr>
          <w:rFonts w:eastAsia="方正仿宋简体"/>
          <w:b/>
          <w:snapToGrid w:val="0"/>
          <w:color w:val="000000" w:themeColor="text1"/>
          <w:kern w:val="0"/>
          <w:sz w:val="32"/>
          <w:szCs w:val="32"/>
          <w14:textFill>
            <w14:solidFill>
              <w14:schemeClr w14:val="tx1"/>
            </w14:solidFill>
          </w14:textFill>
        </w:rPr>
        <w:t>%；灾害防治及应急管理支出</w:t>
      </w:r>
      <w:r>
        <w:rPr>
          <w:rFonts w:eastAsia="方正仿宋简体"/>
          <w:b/>
          <w:snapToGrid w:val="0"/>
          <w:color w:val="000000" w:themeColor="text1"/>
          <w:spacing w:val="-2"/>
          <w:kern w:val="0"/>
          <w:sz w:val="32"/>
          <w:szCs w:val="32"/>
          <w14:textFill>
            <w14:solidFill>
              <w14:schemeClr w14:val="tx1"/>
            </w14:solidFill>
          </w14:textFill>
        </w:rPr>
        <w:t>2022</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120.3</w:t>
      </w:r>
      <w:r>
        <w:rPr>
          <w:rFonts w:eastAsia="方正仿宋简体"/>
          <w:b/>
          <w:snapToGrid w:val="0"/>
          <w:color w:val="000000" w:themeColor="text1"/>
          <w:kern w:val="0"/>
          <w:sz w:val="32"/>
          <w:szCs w:val="32"/>
          <w14:textFill>
            <w14:solidFill>
              <w14:schemeClr w14:val="tx1"/>
            </w14:solidFill>
          </w14:textFill>
        </w:rPr>
        <w:t>%，增长</w:t>
      </w:r>
      <w:r>
        <w:rPr>
          <w:rFonts w:eastAsia="方正仿宋简体"/>
          <w:b/>
          <w:snapToGrid w:val="0"/>
          <w:color w:val="000000" w:themeColor="text1"/>
          <w:spacing w:val="-2"/>
          <w:kern w:val="0"/>
          <w:sz w:val="32"/>
          <w:szCs w:val="32"/>
          <w14:textFill>
            <w14:solidFill>
              <w14:schemeClr w14:val="tx1"/>
            </w14:solidFill>
          </w14:textFill>
        </w:rPr>
        <w:t>13</w:t>
      </w:r>
      <w:r>
        <w:rPr>
          <w:rFonts w:eastAsia="方正仿宋简体"/>
          <w:b/>
          <w:snapToGrid w:val="0"/>
          <w:color w:val="000000" w:themeColor="text1"/>
          <w:kern w:val="0"/>
          <w:sz w:val="32"/>
          <w:szCs w:val="32"/>
          <w14:textFill>
            <w14:solidFill>
              <w14:schemeClr w14:val="tx1"/>
            </w14:solidFill>
          </w14:textFill>
        </w:rPr>
        <w:t>%；债务付息支出</w:t>
      </w:r>
      <w:r>
        <w:rPr>
          <w:rFonts w:eastAsia="方正仿宋简体"/>
          <w:b/>
          <w:snapToGrid w:val="0"/>
          <w:color w:val="000000" w:themeColor="text1"/>
          <w:spacing w:val="-2"/>
          <w:kern w:val="0"/>
          <w:sz w:val="32"/>
          <w:szCs w:val="32"/>
          <w14:textFill>
            <w14:solidFill>
              <w14:schemeClr w14:val="tx1"/>
            </w14:solidFill>
          </w14:textFill>
        </w:rPr>
        <w:t>22854</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100</w:t>
      </w:r>
      <w:r>
        <w:rPr>
          <w:rFonts w:eastAsia="方正仿宋简体"/>
          <w:b/>
          <w:snapToGrid w:val="0"/>
          <w:color w:val="000000" w:themeColor="text1"/>
          <w:kern w:val="0"/>
          <w:sz w:val="32"/>
          <w:szCs w:val="32"/>
          <w14:textFill>
            <w14:solidFill>
              <w14:schemeClr w14:val="tx1"/>
            </w14:solidFill>
          </w14:textFill>
        </w:rPr>
        <w:t>%，下降</w:t>
      </w:r>
      <w:r>
        <w:rPr>
          <w:rFonts w:eastAsia="方正仿宋简体"/>
          <w:b/>
          <w:snapToGrid w:val="0"/>
          <w:color w:val="000000" w:themeColor="text1"/>
          <w:spacing w:val="-2"/>
          <w:kern w:val="0"/>
          <w:sz w:val="32"/>
          <w:szCs w:val="32"/>
          <w14:textFill>
            <w14:solidFill>
              <w14:schemeClr w14:val="tx1"/>
            </w14:solidFill>
          </w14:textFill>
        </w:rPr>
        <w:t>1.1</w:t>
      </w:r>
      <w:r>
        <w:rPr>
          <w:rFonts w:eastAsia="方正仿宋简体"/>
          <w:b/>
          <w:snapToGrid w:val="0"/>
          <w:color w:val="000000" w:themeColor="text1"/>
          <w:kern w:val="0"/>
          <w:sz w:val="32"/>
          <w:szCs w:val="32"/>
          <w14:textFill>
            <w14:solidFill>
              <w14:schemeClr w14:val="tx1"/>
            </w14:solidFill>
          </w14:textFill>
        </w:rPr>
        <w:t>%；粮油物资储备支出790万元，完成预算的</w:t>
      </w:r>
      <w:r>
        <w:rPr>
          <w:rFonts w:eastAsia="方正仿宋简体"/>
          <w:b/>
          <w:snapToGrid w:val="0"/>
          <w:color w:val="000000" w:themeColor="text1"/>
          <w:spacing w:val="-2"/>
          <w:kern w:val="0"/>
          <w:sz w:val="32"/>
          <w:szCs w:val="32"/>
          <w14:textFill>
            <w14:solidFill>
              <w14:schemeClr w14:val="tx1"/>
            </w14:solidFill>
          </w14:textFill>
        </w:rPr>
        <w:t>438.9</w:t>
      </w:r>
      <w:r>
        <w:rPr>
          <w:rFonts w:eastAsia="方正仿宋简体"/>
          <w:b/>
          <w:snapToGrid w:val="0"/>
          <w:color w:val="000000" w:themeColor="text1"/>
          <w:kern w:val="0"/>
          <w:sz w:val="32"/>
          <w:szCs w:val="32"/>
          <w14:textFill>
            <w14:solidFill>
              <w14:schemeClr w14:val="tx1"/>
            </w14:solidFill>
          </w14:textFill>
        </w:rPr>
        <w:t>%；</w:t>
      </w:r>
      <w:r>
        <w:rPr>
          <w:rFonts w:eastAsia="方正仿宋简体"/>
          <w:b/>
          <w:snapToGrid w:val="0"/>
          <w:color w:val="000000" w:themeColor="text1"/>
          <w:spacing w:val="-2"/>
          <w:kern w:val="0"/>
          <w:sz w:val="32"/>
          <w:szCs w:val="32"/>
          <w14:textFill>
            <w14:solidFill>
              <w14:schemeClr w14:val="tx1"/>
            </w14:solidFill>
          </w14:textFill>
        </w:rPr>
        <w:t>其他支出877万元。</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highlight w:val="yellow"/>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2023年一般公共预算收入</w:t>
      </w:r>
      <w:r>
        <w:rPr>
          <w:rFonts w:eastAsia="方正仿宋简体"/>
          <w:b/>
          <w:snapToGrid w:val="0"/>
          <w:color w:val="000000" w:themeColor="text1"/>
          <w:spacing w:val="-2"/>
          <w:kern w:val="0"/>
          <w:sz w:val="32"/>
          <w:szCs w:val="32"/>
          <w14:textFill>
            <w14:solidFill>
              <w14:schemeClr w14:val="tx1"/>
            </w14:solidFill>
          </w14:textFill>
        </w:rPr>
        <w:t>537905</w:t>
      </w:r>
      <w:r>
        <w:rPr>
          <w:rFonts w:eastAsia="方正仿宋简体"/>
          <w:b/>
          <w:snapToGrid w:val="0"/>
          <w:color w:val="000000" w:themeColor="text1"/>
          <w:kern w:val="0"/>
          <w:sz w:val="32"/>
          <w:szCs w:val="32"/>
          <w14:textFill>
            <w14:solidFill>
              <w14:schemeClr w14:val="tx1"/>
            </w14:solidFill>
          </w14:textFill>
        </w:rPr>
        <w:t>万元，加各项税收返还、上级转移支付、调入资金、上年结转、动用预算稳定调节基金和一般债务转贷收入等</w:t>
      </w:r>
      <w:r>
        <w:rPr>
          <w:rFonts w:eastAsia="方正仿宋简体"/>
          <w:b/>
          <w:snapToGrid w:val="0"/>
          <w:color w:val="000000" w:themeColor="text1"/>
          <w:spacing w:val="-2"/>
          <w:kern w:val="0"/>
          <w:sz w:val="32"/>
          <w:szCs w:val="32"/>
          <w14:textFill>
            <w14:solidFill>
              <w14:schemeClr w14:val="tx1"/>
            </w14:solidFill>
          </w14:textFill>
        </w:rPr>
        <w:t>410915</w:t>
      </w:r>
      <w:r>
        <w:rPr>
          <w:rFonts w:eastAsia="方正仿宋简体"/>
          <w:b/>
          <w:snapToGrid w:val="0"/>
          <w:color w:val="000000" w:themeColor="text1"/>
          <w:kern w:val="0"/>
          <w:sz w:val="32"/>
          <w:szCs w:val="32"/>
          <w14:textFill>
            <w14:solidFill>
              <w14:schemeClr w14:val="tx1"/>
            </w14:solidFill>
          </w14:textFill>
        </w:rPr>
        <w:t>万元，收入共计</w:t>
      </w:r>
      <w:r>
        <w:rPr>
          <w:rFonts w:eastAsia="方正仿宋简体"/>
          <w:b/>
          <w:snapToGrid w:val="0"/>
          <w:color w:val="000000" w:themeColor="text1"/>
          <w:spacing w:val="-2"/>
          <w:kern w:val="0"/>
          <w:sz w:val="32"/>
          <w:szCs w:val="32"/>
          <w14:textFill>
            <w14:solidFill>
              <w14:schemeClr w14:val="tx1"/>
            </w14:solidFill>
          </w14:textFill>
        </w:rPr>
        <w:t>948820</w:t>
      </w:r>
      <w:r>
        <w:rPr>
          <w:rFonts w:eastAsia="方正仿宋简体"/>
          <w:b/>
          <w:snapToGrid w:val="0"/>
          <w:color w:val="000000" w:themeColor="text1"/>
          <w:kern w:val="0"/>
          <w:sz w:val="32"/>
          <w:szCs w:val="32"/>
          <w14:textFill>
            <w14:solidFill>
              <w14:schemeClr w14:val="tx1"/>
            </w14:solidFill>
          </w14:textFill>
        </w:rPr>
        <w:t>万元。2023年一般公共预算支出</w:t>
      </w:r>
      <w:r>
        <w:rPr>
          <w:rFonts w:eastAsia="方正仿宋简体"/>
          <w:b/>
          <w:snapToGrid w:val="0"/>
          <w:color w:val="000000" w:themeColor="text1"/>
          <w:spacing w:val="-2"/>
          <w:kern w:val="0"/>
          <w:sz w:val="32"/>
          <w:szCs w:val="32"/>
          <w14:textFill>
            <w14:solidFill>
              <w14:schemeClr w14:val="tx1"/>
            </w14:solidFill>
          </w14:textFill>
        </w:rPr>
        <w:t>683462</w:t>
      </w:r>
      <w:r>
        <w:rPr>
          <w:rFonts w:eastAsia="方正仿宋简体"/>
          <w:b/>
          <w:snapToGrid w:val="0"/>
          <w:color w:val="000000" w:themeColor="text1"/>
          <w:kern w:val="0"/>
          <w:sz w:val="32"/>
          <w:szCs w:val="32"/>
          <w14:textFill>
            <w14:solidFill>
              <w14:schemeClr w14:val="tx1"/>
            </w14:solidFill>
          </w14:textFill>
        </w:rPr>
        <w:t>万元，加上解支出、安排预算稳定调节基金、年终结转和一般债务还本</w:t>
      </w:r>
      <w:r>
        <w:rPr>
          <w:rFonts w:hint="eastAsia" w:eastAsia="方正仿宋简体"/>
          <w:b/>
          <w:snapToGrid w:val="0"/>
          <w:color w:val="000000" w:themeColor="text1"/>
          <w:kern w:val="0"/>
          <w:sz w:val="32"/>
          <w:szCs w:val="32"/>
          <w14:textFill>
            <w14:solidFill>
              <w14:schemeClr w14:val="tx1"/>
            </w14:solidFill>
          </w14:textFill>
        </w:rPr>
        <w:t>支出</w:t>
      </w:r>
      <w:r>
        <w:rPr>
          <w:rFonts w:eastAsia="方正仿宋简体"/>
          <w:b/>
          <w:snapToGrid w:val="0"/>
          <w:color w:val="000000" w:themeColor="text1"/>
          <w:kern w:val="0"/>
          <w:sz w:val="32"/>
          <w:szCs w:val="32"/>
          <w14:textFill>
            <w14:solidFill>
              <w14:schemeClr w14:val="tx1"/>
            </w14:solidFill>
          </w14:textFill>
        </w:rPr>
        <w:t>等</w:t>
      </w:r>
      <w:r>
        <w:rPr>
          <w:rFonts w:eastAsia="方正仿宋简体"/>
          <w:b/>
          <w:snapToGrid w:val="0"/>
          <w:color w:val="000000" w:themeColor="text1"/>
          <w:spacing w:val="-2"/>
          <w:kern w:val="0"/>
          <w:sz w:val="32"/>
          <w:szCs w:val="32"/>
          <w14:textFill>
            <w14:solidFill>
              <w14:schemeClr w14:val="tx1"/>
            </w14:solidFill>
          </w14:textFill>
        </w:rPr>
        <w:t>265358</w:t>
      </w:r>
      <w:r>
        <w:rPr>
          <w:rFonts w:eastAsia="方正仿宋简体"/>
          <w:b/>
          <w:snapToGrid w:val="0"/>
          <w:color w:val="000000" w:themeColor="text1"/>
          <w:kern w:val="0"/>
          <w:sz w:val="32"/>
          <w:szCs w:val="32"/>
          <w14:textFill>
            <w14:solidFill>
              <w14:schemeClr w14:val="tx1"/>
            </w14:solidFill>
          </w14:textFill>
        </w:rPr>
        <w:t>万元，支出共计</w:t>
      </w:r>
      <w:r>
        <w:rPr>
          <w:rFonts w:eastAsia="方正仿宋简体"/>
          <w:b/>
          <w:snapToGrid w:val="0"/>
          <w:color w:val="000000" w:themeColor="text1"/>
          <w:spacing w:val="-2"/>
          <w:kern w:val="0"/>
          <w:sz w:val="32"/>
          <w:szCs w:val="32"/>
          <w14:textFill>
            <w14:solidFill>
              <w14:schemeClr w14:val="tx1"/>
            </w14:solidFill>
          </w14:textFill>
        </w:rPr>
        <w:t>948820</w:t>
      </w:r>
      <w:r>
        <w:rPr>
          <w:rFonts w:eastAsia="方正仿宋简体"/>
          <w:b/>
          <w:snapToGrid w:val="0"/>
          <w:color w:val="000000" w:themeColor="text1"/>
          <w:kern w:val="0"/>
          <w:sz w:val="32"/>
          <w:szCs w:val="32"/>
          <w14:textFill>
            <w14:solidFill>
              <w14:schemeClr w14:val="tx1"/>
            </w14:solidFill>
          </w14:textFill>
        </w:rPr>
        <w:t>万元。当年收支平衡。</w:t>
      </w:r>
    </w:p>
    <w:p>
      <w:pPr>
        <w:overflowPunct w:val="0"/>
        <w:adjustRightInd w:val="0"/>
        <w:snapToGrid w:val="0"/>
        <w:spacing w:line="560" w:lineRule="exact"/>
        <w:ind w:firstLine="643" w:firstLineChars="200"/>
        <w:rPr>
          <w:rFonts w:eastAsia="方正楷体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（二）政府性基金预算执行情况</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2023年全区政府性基金预算收入实现</w:t>
      </w:r>
      <w:r>
        <w:rPr>
          <w:rFonts w:eastAsia="方正仿宋简体"/>
          <w:b/>
          <w:snapToGrid w:val="0"/>
          <w:color w:val="000000" w:themeColor="text1"/>
          <w:spacing w:val="-2"/>
          <w:kern w:val="0"/>
          <w:sz w:val="32"/>
          <w:szCs w:val="32"/>
          <w14:textFill>
            <w14:solidFill>
              <w14:schemeClr w14:val="tx1"/>
            </w14:solidFill>
          </w14:textFill>
        </w:rPr>
        <w:t>447461</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109</w:t>
      </w:r>
      <w:r>
        <w:rPr>
          <w:rFonts w:eastAsia="方正仿宋简体"/>
          <w:b/>
          <w:snapToGrid w:val="0"/>
          <w:color w:val="000000" w:themeColor="text1"/>
          <w:kern w:val="0"/>
          <w:sz w:val="32"/>
          <w:szCs w:val="32"/>
          <w14:textFill>
            <w14:solidFill>
              <w14:schemeClr w14:val="tx1"/>
            </w14:solidFill>
          </w14:textFill>
        </w:rPr>
        <w:t>%，比上年下降</w:t>
      </w:r>
      <w:r>
        <w:rPr>
          <w:rFonts w:eastAsia="方正仿宋简体"/>
          <w:b/>
          <w:snapToGrid w:val="0"/>
          <w:color w:val="000000" w:themeColor="text1"/>
          <w:spacing w:val="-2"/>
          <w:kern w:val="0"/>
          <w:sz w:val="32"/>
          <w:szCs w:val="32"/>
          <w14:textFill>
            <w14:solidFill>
              <w14:schemeClr w14:val="tx1"/>
            </w14:solidFill>
          </w14:textFill>
        </w:rPr>
        <w:t>16.2</w:t>
      </w:r>
      <w:r>
        <w:rPr>
          <w:rFonts w:eastAsia="方正仿宋简体"/>
          <w:b/>
          <w:snapToGrid w:val="0"/>
          <w:color w:val="000000" w:themeColor="text1"/>
          <w:kern w:val="0"/>
          <w:sz w:val="32"/>
          <w:szCs w:val="32"/>
          <w14:textFill>
            <w14:solidFill>
              <w14:schemeClr w14:val="tx1"/>
            </w14:solidFill>
          </w14:textFill>
        </w:rPr>
        <w:t>%。其中：国有土地使用权出让收入</w:t>
      </w:r>
      <w:r>
        <w:rPr>
          <w:rFonts w:eastAsia="方正仿宋简体"/>
          <w:b/>
          <w:snapToGrid w:val="0"/>
          <w:color w:val="000000" w:themeColor="text1"/>
          <w:spacing w:val="-2"/>
          <w:kern w:val="0"/>
          <w:sz w:val="32"/>
          <w:szCs w:val="32"/>
          <w14:textFill>
            <w14:solidFill>
              <w14:schemeClr w14:val="tx1"/>
            </w14:solidFill>
          </w14:textFill>
        </w:rPr>
        <w:t>427225</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109.2</w:t>
      </w:r>
      <w:r>
        <w:rPr>
          <w:rFonts w:eastAsia="方正仿宋简体"/>
          <w:b/>
          <w:snapToGrid w:val="0"/>
          <w:color w:val="000000" w:themeColor="text1"/>
          <w:kern w:val="0"/>
          <w:sz w:val="32"/>
          <w:szCs w:val="32"/>
          <w14:textFill>
            <w14:solidFill>
              <w14:schemeClr w14:val="tx1"/>
            </w14:solidFill>
          </w14:textFill>
        </w:rPr>
        <w:t>%，下降</w:t>
      </w:r>
      <w:r>
        <w:rPr>
          <w:rFonts w:eastAsia="方正仿宋简体"/>
          <w:b/>
          <w:snapToGrid w:val="0"/>
          <w:color w:val="000000" w:themeColor="text1"/>
          <w:spacing w:val="-2"/>
          <w:kern w:val="0"/>
          <w:sz w:val="32"/>
          <w:szCs w:val="32"/>
          <w14:textFill>
            <w14:solidFill>
              <w14:schemeClr w14:val="tx1"/>
            </w14:solidFill>
          </w14:textFill>
        </w:rPr>
        <w:t>17.1</w:t>
      </w:r>
      <w:r>
        <w:rPr>
          <w:rFonts w:eastAsia="方正仿宋简体"/>
          <w:b/>
          <w:snapToGrid w:val="0"/>
          <w:color w:val="000000" w:themeColor="text1"/>
          <w:kern w:val="0"/>
          <w:sz w:val="32"/>
          <w:szCs w:val="32"/>
          <w14:textFill>
            <w14:solidFill>
              <w14:schemeClr w14:val="tx1"/>
            </w14:solidFill>
          </w14:textFill>
        </w:rPr>
        <w:t>%；彩票公益金收入</w:t>
      </w:r>
      <w:r>
        <w:rPr>
          <w:rFonts w:eastAsia="方正仿宋简体"/>
          <w:b/>
          <w:snapToGrid w:val="0"/>
          <w:color w:val="000000" w:themeColor="text1"/>
          <w:spacing w:val="-2"/>
          <w:kern w:val="0"/>
          <w:sz w:val="32"/>
          <w:szCs w:val="32"/>
          <w14:textFill>
            <w14:solidFill>
              <w14:schemeClr w14:val="tx1"/>
            </w14:solidFill>
          </w14:textFill>
        </w:rPr>
        <w:t>900</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101.1</w:t>
      </w:r>
      <w:r>
        <w:rPr>
          <w:rFonts w:eastAsia="方正仿宋简体"/>
          <w:b/>
          <w:snapToGrid w:val="0"/>
          <w:color w:val="000000" w:themeColor="text1"/>
          <w:kern w:val="0"/>
          <w:sz w:val="32"/>
          <w:szCs w:val="32"/>
          <w14:textFill>
            <w14:solidFill>
              <w14:schemeClr w14:val="tx1"/>
            </w14:solidFill>
          </w14:textFill>
        </w:rPr>
        <w:t>%，增长</w:t>
      </w:r>
      <w:r>
        <w:rPr>
          <w:rFonts w:eastAsia="方正仿宋简体"/>
          <w:b/>
          <w:snapToGrid w:val="0"/>
          <w:color w:val="000000" w:themeColor="text1"/>
          <w:spacing w:val="-2"/>
          <w:kern w:val="0"/>
          <w:sz w:val="32"/>
          <w:szCs w:val="32"/>
          <w14:textFill>
            <w14:solidFill>
              <w14:schemeClr w14:val="tx1"/>
            </w14:solidFill>
          </w14:textFill>
        </w:rPr>
        <w:t>76.8</w:t>
      </w:r>
      <w:r>
        <w:rPr>
          <w:rFonts w:eastAsia="方正仿宋简体"/>
          <w:b/>
          <w:snapToGrid w:val="0"/>
          <w:color w:val="000000" w:themeColor="text1"/>
          <w:kern w:val="0"/>
          <w:sz w:val="32"/>
          <w:szCs w:val="32"/>
          <w14:textFill>
            <w14:solidFill>
              <w14:schemeClr w14:val="tx1"/>
            </w14:solidFill>
          </w14:textFill>
        </w:rPr>
        <w:t>%；城市基础设施配套费收入</w:t>
      </w:r>
      <w:r>
        <w:rPr>
          <w:rFonts w:eastAsia="方正仿宋简体"/>
          <w:b/>
          <w:snapToGrid w:val="0"/>
          <w:color w:val="000000" w:themeColor="text1"/>
          <w:spacing w:val="-2"/>
          <w:kern w:val="0"/>
          <w:sz w:val="32"/>
          <w:szCs w:val="32"/>
          <w14:textFill>
            <w14:solidFill>
              <w14:schemeClr w14:val="tx1"/>
            </w14:solidFill>
          </w14:textFill>
        </w:rPr>
        <w:t>6068</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101.1</w:t>
      </w:r>
      <w:r>
        <w:rPr>
          <w:rFonts w:eastAsia="方正仿宋简体"/>
          <w:b/>
          <w:snapToGrid w:val="0"/>
          <w:color w:val="000000" w:themeColor="text1"/>
          <w:kern w:val="0"/>
          <w:sz w:val="32"/>
          <w:szCs w:val="32"/>
          <w14:textFill>
            <w14:solidFill>
              <w14:schemeClr w14:val="tx1"/>
            </w14:solidFill>
          </w14:textFill>
        </w:rPr>
        <w:t>%，下降</w:t>
      </w:r>
      <w:r>
        <w:rPr>
          <w:rFonts w:eastAsia="方正仿宋简体"/>
          <w:b/>
          <w:snapToGrid w:val="0"/>
          <w:color w:val="000000" w:themeColor="text1"/>
          <w:spacing w:val="-2"/>
          <w:kern w:val="0"/>
          <w:sz w:val="32"/>
          <w:szCs w:val="32"/>
          <w14:textFill>
            <w14:solidFill>
              <w14:schemeClr w14:val="tx1"/>
            </w14:solidFill>
          </w14:textFill>
        </w:rPr>
        <w:t>11.8</w:t>
      </w:r>
      <w:r>
        <w:rPr>
          <w:rFonts w:eastAsia="方正仿宋简体"/>
          <w:b/>
          <w:snapToGrid w:val="0"/>
          <w:color w:val="000000" w:themeColor="text1"/>
          <w:kern w:val="0"/>
          <w:sz w:val="32"/>
          <w:szCs w:val="32"/>
          <w14:textFill>
            <w14:solidFill>
              <w14:schemeClr w14:val="tx1"/>
            </w14:solidFill>
          </w14:textFill>
        </w:rPr>
        <w:t>%；污水处理费收入</w:t>
      </w:r>
      <w:r>
        <w:rPr>
          <w:rFonts w:eastAsia="方正仿宋简体"/>
          <w:b/>
          <w:snapToGrid w:val="0"/>
          <w:color w:val="000000" w:themeColor="text1"/>
          <w:spacing w:val="-2"/>
          <w:kern w:val="0"/>
          <w:sz w:val="32"/>
          <w:szCs w:val="32"/>
          <w14:textFill>
            <w14:solidFill>
              <w14:schemeClr w14:val="tx1"/>
            </w14:solidFill>
          </w14:textFill>
        </w:rPr>
        <w:t>2089</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102.4</w:t>
      </w:r>
      <w:r>
        <w:rPr>
          <w:rFonts w:eastAsia="方正仿宋简体"/>
          <w:b/>
          <w:snapToGrid w:val="0"/>
          <w:color w:val="000000" w:themeColor="text1"/>
          <w:kern w:val="0"/>
          <w:sz w:val="32"/>
          <w:szCs w:val="32"/>
          <w14:textFill>
            <w14:solidFill>
              <w14:schemeClr w14:val="tx1"/>
            </w14:solidFill>
          </w14:textFill>
        </w:rPr>
        <w:t>%，增长</w:t>
      </w:r>
      <w:r>
        <w:rPr>
          <w:rFonts w:eastAsia="方正仿宋简体"/>
          <w:b/>
          <w:snapToGrid w:val="0"/>
          <w:color w:val="000000" w:themeColor="text1"/>
          <w:spacing w:val="-2"/>
          <w:kern w:val="0"/>
          <w:sz w:val="32"/>
          <w:szCs w:val="32"/>
          <w14:textFill>
            <w14:solidFill>
              <w14:schemeClr w14:val="tx1"/>
            </w14:solidFill>
          </w14:textFill>
        </w:rPr>
        <w:t>2.4</w:t>
      </w:r>
      <w:r>
        <w:rPr>
          <w:rFonts w:eastAsia="方正仿宋简体"/>
          <w:b/>
          <w:snapToGrid w:val="0"/>
          <w:color w:val="000000" w:themeColor="text1"/>
          <w:kern w:val="0"/>
          <w:sz w:val="32"/>
          <w:szCs w:val="32"/>
          <w14:textFill>
            <w14:solidFill>
              <w14:schemeClr w14:val="tx1"/>
            </w14:solidFill>
          </w14:textFill>
        </w:rPr>
        <w:t>%；专项债务对应项目专项收入</w:t>
      </w:r>
      <w:r>
        <w:rPr>
          <w:rFonts w:eastAsia="方正仿宋简体"/>
          <w:b/>
          <w:snapToGrid w:val="0"/>
          <w:color w:val="000000" w:themeColor="text1"/>
          <w:spacing w:val="-2"/>
          <w:kern w:val="0"/>
          <w:sz w:val="32"/>
          <w:szCs w:val="32"/>
          <w14:textFill>
            <w14:solidFill>
              <w14:schemeClr w14:val="tx1"/>
            </w14:solidFill>
          </w14:textFill>
        </w:rPr>
        <w:t>11179</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105.3</w:t>
      </w:r>
      <w:r>
        <w:rPr>
          <w:rFonts w:eastAsia="方正仿宋简体"/>
          <w:b/>
          <w:snapToGrid w:val="0"/>
          <w:color w:val="000000" w:themeColor="text1"/>
          <w:kern w:val="0"/>
          <w:sz w:val="32"/>
          <w:szCs w:val="32"/>
          <w14:textFill>
            <w14:solidFill>
              <w14:schemeClr w14:val="tx1"/>
            </w14:solidFill>
          </w14:textFill>
        </w:rPr>
        <w:t>%，增长</w:t>
      </w:r>
      <w:r>
        <w:rPr>
          <w:rFonts w:eastAsia="方正仿宋简体"/>
          <w:b/>
          <w:snapToGrid w:val="0"/>
          <w:color w:val="000000" w:themeColor="text1"/>
          <w:spacing w:val="-2"/>
          <w:kern w:val="0"/>
          <w:sz w:val="32"/>
          <w:szCs w:val="32"/>
          <w14:textFill>
            <w14:solidFill>
              <w14:schemeClr w14:val="tx1"/>
            </w14:solidFill>
          </w14:textFill>
        </w:rPr>
        <w:t>19.2</w:t>
      </w:r>
      <w:r>
        <w:rPr>
          <w:rFonts w:eastAsia="方正仿宋简体"/>
          <w:b/>
          <w:snapToGrid w:val="0"/>
          <w:color w:val="000000" w:themeColor="text1"/>
          <w:kern w:val="0"/>
          <w:sz w:val="32"/>
          <w:szCs w:val="32"/>
          <w14:textFill>
            <w14:solidFill>
              <w14:schemeClr w14:val="tx1"/>
            </w14:solidFill>
          </w14:textFill>
        </w:rPr>
        <w:t>%。</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2023年全区政府性基金预算支出实现</w:t>
      </w:r>
      <w:r>
        <w:rPr>
          <w:rFonts w:eastAsia="方正仿宋简体"/>
          <w:b/>
          <w:snapToGrid w:val="0"/>
          <w:color w:val="000000" w:themeColor="text1"/>
          <w:spacing w:val="-2"/>
          <w:kern w:val="0"/>
          <w:sz w:val="32"/>
          <w:szCs w:val="32"/>
          <w14:textFill>
            <w14:solidFill>
              <w14:schemeClr w14:val="tx1"/>
            </w14:solidFill>
          </w14:textFill>
        </w:rPr>
        <w:t>446678</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116.1</w:t>
      </w:r>
      <w:r>
        <w:rPr>
          <w:rFonts w:eastAsia="方正仿宋简体"/>
          <w:b/>
          <w:snapToGrid w:val="0"/>
          <w:color w:val="000000" w:themeColor="text1"/>
          <w:kern w:val="0"/>
          <w:sz w:val="32"/>
          <w:szCs w:val="32"/>
          <w14:textFill>
            <w14:solidFill>
              <w14:schemeClr w14:val="tx1"/>
            </w14:solidFill>
          </w14:textFill>
        </w:rPr>
        <w:t>%，比上年下降</w:t>
      </w:r>
      <w:r>
        <w:rPr>
          <w:rFonts w:eastAsia="方正仿宋简体"/>
          <w:b/>
          <w:snapToGrid w:val="0"/>
          <w:color w:val="000000" w:themeColor="text1"/>
          <w:spacing w:val="-2"/>
          <w:kern w:val="0"/>
          <w:sz w:val="32"/>
          <w:szCs w:val="32"/>
          <w14:textFill>
            <w14:solidFill>
              <w14:schemeClr w14:val="tx1"/>
            </w14:solidFill>
          </w14:textFill>
        </w:rPr>
        <w:t>18.5</w:t>
      </w:r>
      <w:r>
        <w:rPr>
          <w:rFonts w:eastAsia="方正仿宋简体"/>
          <w:b/>
          <w:snapToGrid w:val="0"/>
          <w:color w:val="000000" w:themeColor="text1"/>
          <w:kern w:val="0"/>
          <w:sz w:val="32"/>
          <w:szCs w:val="32"/>
          <w14:textFill>
            <w14:solidFill>
              <w14:schemeClr w14:val="tx1"/>
            </w14:solidFill>
          </w14:textFill>
        </w:rPr>
        <w:t>%。其中：文化旅游体育与传媒支出</w:t>
      </w:r>
      <w:r>
        <w:rPr>
          <w:rFonts w:eastAsia="方正仿宋简体"/>
          <w:b/>
          <w:snapToGrid w:val="0"/>
          <w:color w:val="000000" w:themeColor="text1"/>
          <w:spacing w:val="-2"/>
          <w:kern w:val="0"/>
          <w:sz w:val="32"/>
          <w:szCs w:val="32"/>
          <w14:textFill>
            <w14:solidFill>
              <w14:schemeClr w14:val="tx1"/>
            </w14:solidFill>
          </w14:textFill>
        </w:rPr>
        <w:t>5</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100</w:t>
      </w:r>
      <w:r>
        <w:rPr>
          <w:rFonts w:eastAsia="方正仿宋简体"/>
          <w:b/>
          <w:snapToGrid w:val="0"/>
          <w:color w:val="000000" w:themeColor="text1"/>
          <w:kern w:val="0"/>
          <w:sz w:val="32"/>
          <w:szCs w:val="32"/>
          <w14:textFill>
            <w14:solidFill>
              <w14:schemeClr w14:val="tx1"/>
            </w14:solidFill>
          </w14:textFill>
        </w:rPr>
        <w:t>%，下降</w:t>
      </w:r>
      <w:r>
        <w:rPr>
          <w:rFonts w:eastAsia="方正仿宋简体"/>
          <w:b/>
          <w:snapToGrid w:val="0"/>
          <w:color w:val="000000" w:themeColor="text1"/>
          <w:spacing w:val="-2"/>
          <w:kern w:val="0"/>
          <w:sz w:val="32"/>
          <w:szCs w:val="32"/>
          <w14:textFill>
            <w14:solidFill>
              <w14:schemeClr w14:val="tx1"/>
            </w14:solidFill>
          </w14:textFill>
        </w:rPr>
        <w:t>80</w:t>
      </w:r>
      <w:r>
        <w:rPr>
          <w:rFonts w:eastAsia="方正仿宋简体"/>
          <w:b/>
          <w:snapToGrid w:val="0"/>
          <w:color w:val="000000" w:themeColor="text1"/>
          <w:kern w:val="0"/>
          <w:sz w:val="32"/>
          <w:szCs w:val="32"/>
          <w14:textFill>
            <w14:solidFill>
              <w14:schemeClr w14:val="tx1"/>
            </w14:solidFill>
          </w14:textFill>
        </w:rPr>
        <w:t>%；社会保障和就业支出</w:t>
      </w:r>
      <w:r>
        <w:rPr>
          <w:rFonts w:eastAsia="方正仿宋简体"/>
          <w:b/>
          <w:snapToGrid w:val="0"/>
          <w:color w:val="000000" w:themeColor="text1"/>
          <w:spacing w:val="-2"/>
          <w:kern w:val="0"/>
          <w:sz w:val="32"/>
          <w:szCs w:val="32"/>
          <w14:textFill>
            <w14:solidFill>
              <w14:schemeClr w14:val="tx1"/>
            </w14:solidFill>
          </w14:textFill>
        </w:rPr>
        <w:t>11</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100</w:t>
      </w:r>
      <w:r>
        <w:rPr>
          <w:rFonts w:eastAsia="方正仿宋简体"/>
          <w:b/>
          <w:snapToGrid w:val="0"/>
          <w:color w:val="000000" w:themeColor="text1"/>
          <w:kern w:val="0"/>
          <w:sz w:val="32"/>
          <w:szCs w:val="32"/>
          <w14:textFill>
            <w14:solidFill>
              <w14:schemeClr w14:val="tx1"/>
            </w14:solidFill>
          </w14:textFill>
        </w:rPr>
        <w:t>%，下降</w:t>
      </w:r>
      <w:r>
        <w:rPr>
          <w:rFonts w:eastAsia="方正仿宋简体"/>
          <w:b/>
          <w:snapToGrid w:val="0"/>
          <w:color w:val="000000" w:themeColor="text1"/>
          <w:spacing w:val="-2"/>
          <w:kern w:val="0"/>
          <w:sz w:val="32"/>
          <w:szCs w:val="32"/>
          <w14:textFill>
            <w14:solidFill>
              <w14:schemeClr w14:val="tx1"/>
            </w14:solidFill>
          </w14:textFill>
        </w:rPr>
        <w:t>21.4</w:t>
      </w:r>
      <w:r>
        <w:rPr>
          <w:rFonts w:eastAsia="方正仿宋简体"/>
          <w:b/>
          <w:snapToGrid w:val="0"/>
          <w:color w:val="000000" w:themeColor="text1"/>
          <w:kern w:val="0"/>
          <w:sz w:val="32"/>
          <w:szCs w:val="32"/>
          <w14:textFill>
            <w14:solidFill>
              <w14:schemeClr w14:val="tx1"/>
            </w14:solidFill>
          </w14:textFill>
        </w:rPr>
        <w:t>%；城乡社区支出</w:t>
      </w:r>
      <w:r>
        <w:rPr>
          <w:rFonts w:eastAsia="方正仿宋简体"/>
          <w:b/>
          <w:snapToGrid w:val="0"/>
          <w:color w:val="000000" w:themeColor="text1"/>
          <w:spacing w:val="-2"/>
          <w:kern w:val="0"/>
          <w:sz w:val="32"/>
          <w:szCs w:val="32"/>
          <w14:textFill>
            <w14:solidFill>
              <w14:schemeClr w14:val="tx1"/>
            </w14:solidFill>
          </w14:textFill>
        </w:rPr>
        <w:t>311846</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109.8</w:t>
      </w:r>
      <w:r>
        <w:rPr>
          <w:rFonts w:eastAsia="方正仿宋简体"/>
          <w:b/>
          <w:snapToGrid w:val="0"/>
          <w:color w:val="000000" w:themeColor="text1"/>
          <w:kern w:val="0"/>
          <w:sz w:val="32"/>
          <w:szCs w:val="32"/>
          <w14:textFill>
            <w14:solidFill>
              <w14:schemeClr w14:val="tx1"/>
            </w14:solidFill>
          </w14:textFill>
        </w:rPr>
        <w:t>%，下降</w:t>
      </w:r>
      <w:r>
        <w:rPr>
          <w:rFonts w:eastAsia="方正仿宋简体"/>
          <w:b/>
          <w:snapToGrid w:val="0"/>
          <w:color w:val="000000" w:themeColor="text1"/>
          <w:spacing w:val="-2"/>
          <w:kern w:val="0"/>
          <w:sz w:val="32"/>
          <w:szCs w:val="32"/>
          <w14:textFill>
            <w14:solidFill>
              <w14:schemeClr w14:val="tx1"/>
            </w14:solidFill>
          </w14:textFill>
        </w:rPr>
        <w:t>25.3</w:t>
      </w:r>
      <w:r>
        <w:rPr>
          <w:rFonts w:eastAsia="方正仿宋简体"/>
          <w:b/>
          <w:snapToGrid w:val="0"/>
          <w:color w:val="000000" w:themeColor="text1"/>
          <w:kern w:val="0"/>
          <w:sz w:val="32"/>
          <w:szCs w:val="32"/>
          <w14:textFill>
            <w14:solidFill>
              <w14:schemeClr w14:val="tx1"/>
            </w14:solidFill>
          </w14:textFill>
        </w:rPr>
        <w:t>%；农林水支出</w:t>
      </w:r>
      <w:r>
        <w:rPr>
          <w:rFonts w:eastAsia="方正仿宋简体"/>
          <w:b/>
          <w:snapToGrid w:val="0"/>
          <w:color w:val="000000" w:themeColor="text1"/>
          <w:spacing w:val="-2"/>
          <w:kern w:val="0"/>
          <w:sz w:val="32"/>
          <w:szCs w:val="32"/>
          <w14:textFill>
            <w14:solidFill>
              <w14:schemeClr w14:val="tx1"/>
            </w14:solidFill>
          </w14:textFill>
        </w:rPr>
        <w:t>64</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100</w:t>
      </w:r>
      <w:r>
        <w:rPr>
          <w:rFonts w:eastAsia="方正仿宋简体"/>
          <w:b/>
          <w:snapToGrid w:val="0"/>
          <w:color w:val="000000" w:themeColor="text1"/>
          <w:kern w:val="0"/>
          <w:sz w:val="32"/>
          <w:szCs w:val="32"/>
          <w14:textFill>
            <w14:solidFill>
              <w14:schemeClr w14:val="tx1"/>
            </w14:solidFill>
          </w14:textFill>
        </w:rPr>
        <w:t>%，下降5.9%；其他支出</w:t>
      </w:r>
      <w:r>
        <w:rPr>
          <w:rFonts w:eastAsia="方正仿宋简体"/>
          <w:b/>
          <w:snapToGrid w:val="0"/>
          <w:color w:val="000000" w:themeColor="text1"/>
          <w:spacing w:val="-2"/>
          <w:kern w:val="0"/>
          <w:sz w:val="32"/>
          <w:szCs w:val="32"/>
          <w14:textFill>
            <w14:solidFill>
              <w14:schemeClr w14:val="tx1"/>
            </w14:solidFill>
          </w14:textFill>
        </w:rPr>
        <w:t>104360</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148.3</w:t>
      </w:r>
      <w:r>
        <w:rPr>
          <w:rFonts w:eastAsia="方正仿宋简体"/>
          <w:b/>
          <w:snapToGrid w:val="0"/>
          <w:color w:val="000000" w:themeColor="text1"/>
          <w:kern w:val="0"/>
          <w:sz w:val="32"/>
          <w:szCs w:val="32"/>
          <w14:textFill>
            <w14:solidFill>
              <w14:schemeClr w14:val="tx1"/>
            </w14:solidFill>
          </w14:textFill>
        </w:rPr>
        <w:t>%，增长</w:t>
      </w:r>
      <w:r>
        <w:rPr>
          <w:rFonts w:eastAsia="方正仿宋简体"/>
          <w:b/>
          <w:snapToGrid w:val="0"/>
          <w:color w:val="000000" w:themeColor="text1"/>
          <w:spacing w:val="-2"/>
          <w:kern w:val="0"/>
          <w:sz w:val="32"/>
          <w:szCs w:val="32"/>
          <w14:textFill>
            <w14:solidFill>
              <w14:schemeClr w14:val="tx1"/>
            </w14:solidFill>
          </w14:textFill>
        </w:rPr>
        <w:t>1</w:t>
      </w:r>
      <w:r>
        <w:rPr>
          <w:rFonts w:eastAsia="方正仿宋简体"/>
          <w:b/>
          <w:snapToGrid w:val="0"/>
          <w:color w:val="000000" w:themeColor="text1"/>
          <w:kern w:val="0"/>
          <w:sz w:val="32"/>
          <w:szCs w:val="32"/>
          <w14:textFill>
            <w14:solidFill>
              <w14:schemeClr w14:val="tx1"/>
            </w14:solidFill>
          </w14:textFill>
        </w:rPr>
        <w:t>%；债务付息支出</w:t>
      </w:r>
      <w:r>
        <w:rPr>
          <w:rFonts w:eastAsia="方正仿宋简体"/>
          <w:b/>
          <w:snapToGrid w:val="0"/>
          <w:color w:val="000000" w:themeColor="text1"/>
          <w:spacing w:val="-2"/>
          <w:kern w:val="0"/>
          <w:sz w:val="32"/>
          <w:szCs w:val="32"/>
          <w14:textFill>
            <w14:solidFill>
              <w14:schemeClr w14:val="tx1"/>
            </w14:solidFill>
          </w14:textFill>
        </w:rPr>
        <w:t>30392</w:t>
      </w:r>
      <w:r>
        <w:rPr>
          <w:rFonts w:eastAsia="方正仿宋简体"/>
          <w:b/>
          <w:snapToGrid w:val="0"/>
          <w:color w:val="000000" w:themeColor="text1"/>
          <w:kern w:val="0"/>
          <w:sz w:val="32"/>
          <w:szCs w:val="32"/>
          <w14:textFill>
            <w14:solidFill>
              <w14:schemeClr w14:val="tx1"/>
            </w14:solidFill>
          </w14:textFill>
        </w:rPr>
        <w:t>万元，完成预算的</w:t>
      </w:r>
      <w:r>
        <w:rPr>
          <w:rFonts w:eastAsia="方正仿宋简体"/>
          <w:b/>
          <w:snapToGrid w:val="0"/>
          <w:color w:val="000000" w:themeColor="text1"/>
          <w:spacing w:val="-2"/>
          <w:kern w:val="0"/>
          <w:sz w:val="32"/>
          <w:szCs w:val="32"/>
          <w14:textFill>
            <w14:solidFill>
              <w14:schemeClr w14:val="tx1"/>
            </w14:solidFill>
          </w14:textFill>
        </w:rPr>
        <w:t>100</w:t>
      </w:r>
      <w:r>
        <w:rPr>
          <w:rFonts w:eastAsia="方正仿宋简体"/>
          <w:b/>
          <w:snapToGrid w:val="0"/>
          <w:color w:val="000000" w:themeColor="text1"/>
          <w:kern w:val="0"/>
          <w:sz w:val="32"/>
          <w:szCs w:val="32"/>
          <w14:textFill>
            <w14:solidFill>
              <w14:schemeClr w14:val="tx1"/>
            </w14:solidFill>
          </w14:textFill>
        </w:rPr>
        <w:t>%，增长</w:t>
      </w:r>
      <w:r>
        <w:rPr>
          <w:rFonts w:eastAsia="方正仿宋简体"/>
          <w:b/>
          <w:snapToGrid w:val="0"/>
          <w:color w:val="000000" w:themeColor="text1"/>
          <w:spacing w:val="-2"/>
          <w:kern w:val="0"/>
          <w:sz w:val="32"/>
          <w:szCs w:val="32"/>
          <w14:textFill>
            <w14:solidFill>
              <w14:schemeClr w14:val="tx1"/>
            </w14:solidFill>
          </w14:textFill>
        </w:rPr>
        <w:t>10.8</w:t>
      </w:r>
      <w:r>
        <w:rPr>
          <w:rFonts w:eastAsia="方正仿宋简体"/>
          <w:b/>
          <w:snapToGrid w:val="0"/>
          <w:color w:val="000000" w:themeColor="text1"/>
          <w:kern w:val="0"/>
          <w:sz w:val="32"/>
          <w:szCs w:val="32"/>
          <w14:textFill>
            <w14:solidFill>
              <w14:schemeClr w14:val="tx1"/>
            </w14:solidFill>
          </w14:textFill>
        </w:rPr>
        <w:t>%。</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2023年政府性基金预算收入</w:t>
      </w:r>
      <w:r>
        <w:rPr>
          <w:rFonts w:eastAsia="方正仿宋简体"/>
          <w:b/>
          <w:snapToGrid w:val="0"/>
          <w:color w:val="000000" w:themeColor="text1"/>
          <w:spacing w:val="-2"/>
          <w:kern w:val="0"/>
          <w:sz w:val="32"/>
          <w:szCs w:val="32"/>
          <w14:textFill>
            <w14:solidFill>
              <w14:schemeClr w14:val="tx1"/>
            </w14:solidFill>
          </w14:textFill>
        </w:rPr>
        <w:t>447461</w:t>
      </w:r>
      <w:r>
        <w:rPr>
          <w:rFonts w:eastAsia="方正仿宋简体"/>
          <w:b/>
          <w:snapToGrid w:val="0"/>
          <w:color w:val="000000" w:themeColor="text1"/>
          <w:kern w:val="0"/>
          <w:sz w:val="32"/>
          <w:szCs w:val="32"/>
          <w14:textFill>
            <w14:solidFill>
              <w14:schemeClr w14:val="tx1"/>
            </w14:solidFill>
          </w14:textFill>
        </w:rPr>
        <w:t>万元，加上级补助、上年结转、专项债务转贷收入等</w:t>
      </w:r>
      <w:r>
        <w:rPr>
          <w:rFonts w:eastAsia="方正仿宋简体"/>
          <w:b/>
          <w:snapToGrid w:val="0"/>
          <w:color w:val="000000" w:themeColor="text1"/>
          <w:spacing w:val="-2"/>
          <w:kern w:val="0"/>
          <w:sz w:val="32"/>
          <w:szCs w:val="32"/>
          <w14:textFill>
            <w14:solidFill>
              <w14:schemeClr w14:val="tx1"/>
            </w14:solidFill>
          </w14:textFill>
        </w:rPr>
        <w:t>190086</w:t>
      </w:r>
      <w:r>
        <w:rPr>
          <w:rFonts w:eastAsia="方正仿宋简体"/>
          <w:b/>
          <w:snapToGrid w:val="0"/>
          <w:color w:val="000000" w:themeColor="text1"/>
          <w:kern w:val="0"/>
          <w:sz w:val="32"/>
          <w:szCs w:val="32"/>
          <w14:textFill>
            <w14:solidFill>
              <w14:schemeClr w14:val="tx1"/>
            </w14:solidFill>
          </w14:textFill>
        </w:rPr>
        <w:t>万元，收入共计</w:t>
      </w:r>
      <w:r>
        <w:rPr>
          <w:rFonts w:eastAsia="方正仿宋简体"/>
          <w:b/>
          <w:snapToGrid w:val="0"/>
          <w:color w:val="000000" w:themeColor="text1"/>
          <w:spacing w:val="-2"/>
          <w:kern w:val="0"/>
          <w:sz w:val="32"/>
          <w:szCs w:val="32"/>
          <w14:textFill>
            <w14:solidFill>
              <w14:schemeClr w14:val="tx1"/>
            </w14:solidFill>
          </w14:textFill>
        </w:rPr>
        <w:t>637547</w:t>
      </w:r>
      <w:r>
        <w:rPr>
          <w:rFonts w:eastAsia="方正仿宋简体"/>
          <w:b/>
          <w:snapToGrid w:val="0"/>
          <w:color w:val="000000" w:themeColor="text1"/>
          <w:kern w:val="0"/>
          <w:sz w:val="32"/>
          <w:szCs w:val="32"/>
          <w14:textFill>
            <w14:solidFill>
              <w14:schemeClr w14:val="tx1"/>
            </w14:solidFill>
          </w14:textFill>
        </w:rPr>
        <w:t>万元。2023年政府性基金预算支出446678万元，加上解支出、调出资金、专项债务还本支出及年终结转等</w:t>
      </w:r>
      <w:r>
        <w:rPr>
          <w:rFonts w:eastAsia="方正仿宋简体"/>
          <w:b/>
          <w:snapToGrid w:val="0"/>
          <w:color w:val="000000" w:themeColor="text1"/>
          <w:spacing w:val="-2"/>
          <w:kern w:val="0"/>
          <w:sz w:val="32"/>
          <w:szCs w:val="32"/>
          <w14:textFill>
            <w14:solidFill>
              <w14:schemeClr w14:val="tx1"/>
            </w14:solidFill>
          </w14:textFill>
        </w:rPr>
        <w:t>190869</w:t>
      </w:r>
      <w:r>
        <w:rPr>
          <w:rFonts w:eastAsia="方正仿宋简体"/>
          <w:b/>
          <w:snapToGrid w:val="0"/>
          <w:color w:val="000000" w:themeColor="text1"/>
          <w:kern w:val="0"/>
          <w:sz w:val="32"/>
          <w:szCs w:val="32"/>
          <w14:textFill>
            <w14:solidFill>
              <w14:schemeClr w14:val="tx1"/>
            </w14:solidFill>
          </w14:textFill>
        </w:rPr>
        <w:t>万元，支出共计</w:t>
      </w:r>
      <w:r>
        <w:rPr>
          <w:rFonts w:eastAsia="方正仿宋简体"/>
          <w:b/>
          <w:snapToGrid w:val="0"/>
          <w:color w:val="000000" w:themeColor="text1"/>
          <w:spacing w:val="-2"/>
          <w:kern w:val="0"/>
          <w:sz w:val="32"/>
          <w:szCs w:val="32"/>
          <w14:textFill>
            <w14:solidFill>
              <w14:schemeClr w14:val="tx1"/>
            </w14:solidFill>
          </w14:textFill>
        </w:rPr>
        <w:t>637547</w:t>
      </w:r>
      <w:r>
        <w:rPr>
          <w:rFonts w:eastAsia="方正仿宋简体"/>
          <w:b/>
          <w:snapToGrid w:val="0"/>
          <w:color w:val="000000" w:themeColor="text1"/>
          <w:kern w:val="0"/>
          <w:sz w:val="32"/>
          <w:szCs w:val="32"/>
          <w14:textFill>
            <w14:solidFill>
              <w14:schemeClr w14:val="tx1"/>
            </w14:solidFill>
          </w14:textFill>
        </w:rPr>
        <w:t>万元。当年收支平衡。</w:t>
      </w:r>
    </w:p>
    <w:p>
      <w:pPr>
        <w:overflowPunct w:val="0"/>
        <w:adjustRightInd w:val="0"/>
        <w:snapToGrid w:val="0"/>
        <w:spacing w:line="560" w:lineRule="exact"/>
        <w:ind w:firstLine="643" w:firstLineChars="200"/>
        <w:rPr>
          <w:rFonts w:eastAsia="方正楷体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（三）国有资本经营预算执行情况</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2023年全区国有资本经营预算收入实现</w:t>
      </w:r>
      <w:r>
        <w:rPr>
          <w:rFonts w:eastAsia="方正仿宋简体"/>
          <w:b/>
          <w:snapToGrid w:val="0"/>
          <w:color w:val="000000" w:themeColor="text1"/>
          <w:spacing w:val="-2"/>
          <w:kern w:val="0"/>
          <w:sz w:val="32"/>
          <w:szCs w:val="32"/>
          <w14:textFill>
            <w14:solidFill>
              <w14:schemeClr w14:val="tx1"/>
            </w14:solidFill>
          </w14:textFill>
        </w:rPr>
        <w:t>493</w:t>
      </w:r>
      <w:r>
        <w:rPr>
          <w:rFonts w:eastAsia="方正仿宋简体"/>
          <w:b/>
          <w:snapToGrid w:val="0"/>
          <w:color w:val="000000" w:themeColor="text1"/>
          <w:kern w:val="0"/>
          <w:sz w:val="32"/>
          <w:szCs w:val="32"/>
          <w14:textFill>
            <w14:solidFill>
              <w14:schemeClr w14:val="tx1"/>
            </w14:solidFill>
          </w14:textFill>
        </w:rPr>
        <w:t>万元，完成预算的135.8%，增长35.8%，加上级转移支付、上年结转收入等605万元，收入共计1098万元。</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highlight w:val="yellow"/>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2023年全区国有资本经营预算支出实现1020万元，完成预算的106.8%，增长142.3%，加调出资金、年终结转等78万元，支出共计1098万元。当年收支平衡。</w:t>
      </w:r>
    </w:p>
    <w:p>
      <w:pPr>
        <w:overflowPunct w:val="0"/>
        <w:adjustRightInd w:val="0"/>
        <w:snapToGrid w:val="0"/>
        <w:spacing w:line="560" w:lineRule="exact"/>
        <w:ind w:firstLine="643" w:firstLineChars="200"/>
        <w:rPr>
          <w:rFonts w:eastAsia="方正楷体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（四）社会保险基金预算执行情况</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2023年全区社会保险基金预算收入实现89218万元，完成预算的97%，比上年增长2.2%。其中：机关事业单位基本养老保险基金收入62016万元，完成预算的100%，增长32.9%。城乡居民基本养老保险基金收入27202万元，完成预算的90%，下降33%。</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2023年全区社会保险基金预算支出实现86737万元，完成预算的100%，比上年增长12.6%。其中：机关事业单位基本养老保险基金支出60837万元，完成预算的99%，增长11%；城乡居民基本养老保险基金支出25900万元，完成预算的103%，增长16%。</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收支相抵，当年收支结余2481万元。</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需要说明的是，由于2023年省市区各级财政结算还在进行中，以上“四本预算”涉及数据还将相应调整。</w:t>
      </w:r>
    </w:p>
    <w:p>
      <w:pPr>
        <w:overflowPunct w:val="0"/>
        <w:adjustRightInd w:val="0"/>
        <w:snapToGrid w:val="0"/>
        <w:spacing w:line="560" w:lineRule="exact"/>
        <w:ind w:firstLine="643" w:firstLineChars="200"/>
        <w:rPr>
          <w:rFonts w:eastAsia="方正楷体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（五）地方政府债券执行情况</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2023年，济宁市批准我区地方政府债务总限额</w:t>
      </w:r>
      <w:r>
        <w:rPr>
          <w:rFonts w:eastAsia="方正仿宋简体"/>
          <w:b/>
          <w:snapToGrid w:val="0"/>
          <w:color w:val="000000" w:themeColor="text1"/>
          <w:spacing w:val="-2"/>
          <w:kern w:val="0"/>
          <w:sz w:val="32"/>
          <w:szCs w:val="32"/>
          <w14:textFill>
            <w14:solidFill>
              <w14:schemeClr w14:val="tx1"/>
            </w14:solidFill>
          </w14:textFill>
        </w:rPr>
        <w:t>1671880</w:t>
      </w:r>
      <w:r>
        <w:rPr>
          <w:rFonts w:eastAsia="方正仿宋简体"/>
          <w:b/>
          <w:snapToGrid w:val="0"/>
          <w:color w:val="000000" w:themeColor="text1"/>
          <w:kern w:val="0"/>
          <w:sz w:val="32"/>
          <w:szCs w:val="32"/>
          <w14:textFill>
            <w14:solidFill>
              <w14:schemeClr w14:val="tx1"/>
            </w14:solidFill>
          </w14:textFill>
        </w:rPr>
        <w:t>万元，包括：一般债务限额</w:t>
      </w:r>
      <w:r>
        <w:rPr>
          <w:rFonts w:eastAsia="方正仿宋简体"/>
          <w:b/>
          <w:snapToGrid w:val="0"/>
          <w:color w:val="000000" w:themeColor="text1"/>
          <w:spacing w:val="-2"/>
          <w:kern w:val="0"/>
          <w:sz w:val="32"/>
          <w:szCs w:val="32"/>
          <w14:textFill>
            <w14:solidFill>
              <w14:schemeClr w14:val="tx1"/>
            </w14:solidFill>
          </w14:textFill>
        </w:rPr>
        <w:t>683668</w:t>
      </w:r>
      <w:r>
        <w:rPr>
          <w:rFonts w:eastAsia="方正仿宋简体"/>
          <w:b/>
          <w:snapToGrid w:val="0"/>
          <w:color w:val="000000" w:themeColor="text1"/>
          <w:kern w:val="0"/>
          <w:sz w:val="32"/>
          <w:szCs w:val="32"/>
          <w14:textFill>
            <w14:solidFill>
              <w14:schemeClr w14:val="tx1"/>
            </w14:solidFill>
          </w14:textFill>
        </w:rPr>
        <w:t>万元、专项债务限额</w:t>
      </w:r>
      <w:r>
        <w:rPr>
          <w:rFonts w:eastAsia="方正仿宋简体"/>
          <w:b/>
          <w:snapToGrid w:val="0"/>
          <w:color w:val="000000" w:themeColor="text1"/>
          <w:spacing w:val="-2"/>
          <w:kern w:val="0"/>
          <w:sz w:val="32"/>
          <w:szCs w:val="32"/>
          <w14:textFill>
            <w14:solidFill>
              <w14:schemeClr w14:val="tx1"/>
            </w14:solidFill>
          </w14:textFill>
        </w:rPr>
        <w:t>988212</w:t>
      </w:r>
      <w:r>
        <w:rPr>
          <w:rFonts w:eastAsia="方正仿宋简体"/>
          <w:b/>
          <w:snapToGrid w:val="0"/>
          <w:color w:val="000000" w:themeColor="text1"/>
          <w:kern w:val="0"/>
          <w:sz w:val="32"/>
          <w:szCs w:val="32"/>
          <w14:textFill>
            <w14:solidFill>
              <w14:schemeClr w14:val="tx1"/>
            </w14:solidFill>
          </w14:textFill>
        </w:rPr>
        <w:t>万元。2023年末，我区地方政府债务余额1655342万元，其中一般债务余额669040万元、专项债务余额986302万元，未超过济宁市下达的债务限额。</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2023年，济宁市分配我区地方政府债券总额311700万元，其中：再融资一般债券</w:t>
      </w:r>
      <w:r>
        <w:rPr>
          <w:rFonts w:eastAsia="方正仿宋简体"/>
          <w:b/>
          <w:snapToGrid w:val="0"/>
          <w:color w:val="000000" w:themeColor="text1"/>
          <w:spacing w:val="-2"/>
          <w:kern w:val="0"/>
          <w:sz w:val="32"/>
          <w:szCs w:val="32"/>
          <w14:textFill>
            <w14:solidFill>
              <w14:schemeClr w14:val="tx1"/>
            </w14:solidFill>
          </w14:textFill>
        </w:rPr>
        <w:t>125100</w:t>
      </w:r>
      <w:r>
        <w:rPr>
          <w:rFonts w:eastAsia="方正仿宋简体"/>
          <w:b/>
          <w:snapToGrid w:val="0"/>
          <w:color w:val="000000" w:themeColor="text1"/>
          <w:kern w:val="0"/>
          <w:sz w:val="32"/>
          <w:szCs w:val="32"/>
          <w14:textFill>
            <w14:solidFill>
              <w14:schemeClr w14:val="tx1"/>
            </w14:solidFill>
          </w14:textFill>
        </w:rPr>
        <w:t>万元、再融资专项债券</w:t>
      </w:r>
      <w:r>
        <w:rPr>
          <w:rFonts w:eastAsia="方正仿宋简体"/>
          <w:b/>
          <w:snapToGrid w:val="0"/>
          <w:color w:val="000000" w:themeColor="text1"/>
          <w:spacing w:val="-2"/>
          <w:kern w:val="0"/>
          <w:sz w:val="32"/>
          <w:szCs w:val="32"/>
          <w14:textFill>
            <w14:solidFill>
              <w14:schemeClr w14:val="tx1"/>
            </w14:solidFill>
          </w14:textFill>
        </w:rPr>
        <w:t>58100</w:t>
      </w:r>
      <w:r>
        <w:rPr>
          <w:rFonts w:eastAsia="方正仿宋简体"/>
          <w:b/>
          <w:snapToGrid w:val="0"/>
          <w:color w:val="000000" w:themeColor="text1"/>
          <w:kern w:val="0"/>
          <w:sz w:val="32"/>
          <w:szCs w:val="32"/>
          <w14:textFill>
            <w14:solidFill>
              <w14:schemeClr w14:val="tx1"/>
            </w14:solidFill>
          </w14:textFill>
        </w:rPr>
        <w:t>万元，分别纳入一般公共预算和政府性基金预算管理，用于偿还进入地方政府债务管理系统2023年到期的地方政府债券本金。新增专项债券</w:t>
      </w:r>
      <w:r>
        <w:rPr>
          <w:rFonts w:eastAsia="方正仿宋简体"/>
          <w:b/>
          <w:snapToGrid w:val="0"/>
          <w:color w:val="000000" w:themeColor="text1"/>
          <w:spacing w:val="-2"/>
          <w:kern w:val="0"/>
          <w:sz w:val="32"/>
          <w:szCs w:val="32"/>
          <w14:textFill>
            <w14:solidFill>
              <w14:schemeClr w14:val="tx1"/>
            </w14:solidFill>
          </w14:textFill>
        </w:rPr>
        <w:t>128500</w:t>
      </w:r>
      <w:r>
        <w:rPr>
          <w:rFonts w:eastAsia="方正仿宋简体"/>
          <w:b/>
          <w:snapToGrid w:val="0"/>
          <w:color w:val="000000" w:themeColor="text1"/>
          <w:kern w:val="0"/>
          <w:sz w:val="32"/>
          <w:szCs w:val="32"/>
          <w14:textFill>
            <w14:solidFill>
              <w14:schemeClr w14:val="tx1"/>
            </w14:solidFill>
          </w14:textFill>
        </w:rPr>
        <w:t>万元（含年底到位的第六批34000万元），全部纳入政府性基金预算管理，用于科技创孵公共服务中心、太阳新材料产业园基础设施、公铁联运物流园基础设施、学前教育系统二期工程、棚户区改造、农业产业发展示范园、</w:t>
      </w:r>
      <w:r>
        <w:rPr>
          <w:b/>
          <w:snapToGrid w:val="0"/>
          <w:color w:val="000000" w:themeColor="text1"/>
          <w:kern w:val="0"/>
          <w:sz w:val="32"/>
          <w:szCs w:val="32"/>
          <w14:textFill>
            <w14:solidFill>
              <w14:schemeClr w14:val="tx1"/>
            </w14:solidFill>
          </w14:textFill>
        </w:rPr>
        <w:t>洸</w:t>
      </w:r>
      <w:r>
        <w:rPr>
          <w:rFonts w:eastAsia="方正仿宋简体"/>
          <w:b/>
          <w:snapToGrid w:val="0"/>
          <w:color w:val="000000" w:themeColor="text1"/>
          <w:kern w:val="0"/>
          <w:sz w:val="32"/>
          <w:szCs w:val="32"/>
          <w14:textFill>
            <w14:solidFill>
              <w14:schemeClr w14:val="tx1"/>
            </w14:solidFill>
          </w14:textFill>
        </w:rPr>
        <w:t>府河流域引调水灌溉等重点项目建设。</w:t>
      </w:r>
    </w:p>
    <w:p>
      <w:pPr>
        <w:overflowPunct w:val="0"/>
        <w:adjustRightInd w:val="0"/>
        <w:snapToGrid w:val="0"/>
        <w:spacing w:line="560" w:lineRule="exact"/>
        <w:ind w:firstLine="643" w:firstLineChars="200"/>
        <w:rPr>
          <w:rFonts w:eastAsia="方正楷体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（六）落实区人大决议及主要工作情况</w:t>
      </w:r>
    </w:p>
    <w:p>
      <w:pPr>
        <w:widowControl/>
        <w:overflowPunct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1、在“收”上下功夫，千方百计筹措资金增财力稳运行。</w:t>
      </w:r>
      <w:r>
        <w:rPr>
          <w:rFonts w:eastAsia="方正楷体简体"/>
          <w:b/>
          <w:bCs/>
          <w:color w:val="000000" w:themeColor="text1"/>
          <w:sz w:val="32"/>
          <w:szCs w:val="32"/>
          <w14:textFill>
            <w14:solidFill>
              <w14:schemeClr w14:val="tx1"/>
            </w14:solidFill>
          </w14:textFill>
        </w:rPr>
        <w:t>一是强力挖潜税费促增收。</w:t>
      </w:r>
      <w:r>
        <w:rPr>
          <w:rFonts w:eastAsia="方正仿宋简体"/>
          <w:b/>
          <w:bCs/>
          <w:color w:val="000000" w:themeColor="text1"/>
          <w:sz w:val="32"/>
          <w:szCs w:val="32"/>
          <w14:textFill>
            <w14:solidFill>
              <w14:schemeClr w14:val="tx1"/>
            </w14:solidFill>
          </w14:textFill>
        </w:rPr>
        <w:t>依托财税保障指挥部，通过开展重点企业会计质量信息检查、强化房地产企业取用水监管、实行工程项目台账式管理等综合治税措施，挖潜增收3.6亿元。准确把握国家增值税留抵退税政策，抓住企业经济效益回暖的良好态势，加强重点行业、重点税种跟踪监控，增值税同比增收</w:t>
      </w:r>
      <w:r>
        <w:rPr>
          <w:rFonts w:eastAsia="方正仿宋简体"/>
          <w:b/>
          <w:snapToGrid w:val="0"/>
          <w:color w:val="000000" w:themeColor="text1"/>
          <w:spacing w:val="-2"/>
          <w:kern w:val="0"/>
          <w:sz w:val="32"/>
          <w:szCs w:val="32"/>
          <w14:textFill>
            <w14:solidFill>
              <w14:schemeClr w14:val="tx1"/>
            </w14:solidFill>
          </w14:textFill>
        </w:rPr>
        <w:t>5.5亿元</w:t>
      </w:r>
      <w:r>
        <w:rPr>
          <w:rFonts w:eastAsia="方正仿宋简体"/>
          <w:b/>
          <w:bCs/>
          <w:color w:val="000000" w:themeColor="text1"/>
          <w:sz w:val="32"/>
          <w:szCs w:val="32"/>
          <w14:textFill>
            <w14:solidFill>
              <w14:schemeClr w14:val="tx1"/>
            </w14:solidFill>
          </w14:textFill>
        </w:rPr>
        <w:t>，制造业税收同比增收</w:t>
      </w:r>
      <w:r>
        <w:rPr>
          <w:rFonts w:eastAsia="方正仿宋简体"/>
          <w:b/>
          <w:snapToGrid w:val="0"/>
          <w:color w:val="000000" w:themeColor="text1"/>
          <w:spacing w:val="-2"/>
          <w:kern w:val="0"/>
          <w:sz w:val="32"/>
          <w:szCs w:val="32"/>
          <w14:textFill>
            <w14:solidFill>
              <w14:schemeClr w14:val="tx1"/>
            </w14:solidFill>
          </w14:textFill>
        </w:rPr>
        <w:t>1.9亿元</w:t>
      </w:r>
      <w:r>
        <w:rPr>
          <w:rFonts w:eastAsia="方正仿宋简体"/>
          <w:b/>
          <w:bCs/>
          <w:color w:val="000000" w:themeColor="text1"/>
          <w:sz w:val="32"/>
          <w:szCs w:val="32"/>
          <w14:textFill>
            <w14:solidFill>
              <w14:schemeClr w14:val="tx1"/>
            </w14:solidFill>
          </w14:textFill>
        </w:rPr>
        <w:t>，有力保障了全区财税收入稳增长。</w:t>
      </w:r>
      <w:r>
        <w:rPr>
          <w:rFonts w:eastAsia="方正楷体简体"/>
          <w:b/>
          <w:bCs/>
          <w:color w:val="000000" w:themeColor="text1"/>
          <w:sz w:val="32"/>
          <w:szCs w:val="32"/>
          <w14:textFill>
            <w14:solidFill>
              <w14:schemeClr w14:val="tx1"/>
            </w14:solidFill>
          </w14:textFill>
        </w:rPr>
        <w:t>二是全力突破土地收入。</w:t>
      </w:r>
      <w:r>
        <w:rPr>
          <w:rFonts w:eastAsia="方正仿宋简体"/>
          <w:b/>
          <w:snapToGrid w:val="0"/>
          <w:color w:val="000000" w:themeColor="text1"/>
          <w:kern w:val="0"/>
          <w:sz w:val="32"/>
          <w:szCs w:val="32"/>
          <w14:textFill>
            <w14:solidFill>
              <w14:schemeClr w14:val="tx1"/>
            </w14:solidFill>
          </w14:textFill>
        </w:rPr>
        <w:t>加大供地规模、优化供地结构</w:t>
      </w:r>
      <w:r>
        <w:rPr>
          <w:rFonts w:eastAsia="方正仿宋简体"/>
          <w:b/>
          <w:bCs/>
          <w:color w:val="000000" w:themeColor="text1"/>
          <w:sz w:val="32"/>
          <w:szCs w:val="32"/>
          <w14:textFill>
            <w14:solidFill>
              <w14:schemeClr w14:val="tx1"/>
            </w14:solidFill>
          </w14:textFill>
        </w:rPr>
        <w:t>，全程紧盯每块土地变化，严防土地流拍，实现土地出让收入42.7亿元。</w:t>
      </w:r>
      <w:r>
        <w:rPr>
          <w:rFonts w:eastAsia="方正楷体简体"/>
          <w:b/>
          <w:bCs/>
          <w:color w:val="000000" w:themeColor="text1"/>
          <w:sz w:val="32"/>
          <w:szCs w:val="32"/>
          <w14:textFill>
            <w14:solidFill>
              <w14:schemeClr w14:val="tx1"/>
            </w14:solidFill>
          </w14:textFill>
        </w:rPr>
        <w:t>三是加力盘活资金资产。</w:t>
      </w:r>
      <w:r>
        <w:rPr>
          <w:rFonts w:eastAsia="方正仿宋简体"/>
          <w:b/>
          <w:snapToGrid w:val="0"/>
          <w:color w:val="000000" w:themeColor="text1"/>
          <w:kern w:val="0"/>
          <w:sz w:val="32"/>
          <w:szCs w:val="32"/>
          <w14:textFill>
            <w14:solidFill>
              <w14:schemeClr w14:val="tx1"/>
            </w14:solidFill>
          </w14:textFill>
        </w:rPr>
        <w:t>按照“能用则用、不用则售、不售则租、能融则融”的原则，依法依规盘活</w:t>
      </w:r>
      <w:r>
        <w:rPr>
          <w:rFonts w:eastAsia="方正仿宋简体"/>
          <w:b/>
          <w:bCs/>
          <w:color w:val="000000" w:themeColor="text1"/>
          <w:sz w:val="32"/>
          <w:szCs w:val="32"/>
          <w14:textFill>
            <w14:solidFill>
              <w14:schemeClr w14:val="tx1"/>
            </w14:solidFill>
          </w14:textFill>
        </w:rPr>
        <w:t>有变现价值的闲置房屋、公共基础设施、公用建筑、农村安置社区资产，</w:t>
      </w:r>
      <w:r>
        <w:rPr>
          <w:rFonts w:eastAsia="方正仿宋简体"/>
          <w:b/>
          <w:snapToGrid w:val="0"/>
          <w:color w:val="000000" w:themeColor="text1"/>
          <w:kern w:val="0"/>
          <w:sz w:val="32"/>
          <w:szCs w:val="32"/>
          <w14:textFill>
            <w14:solidFill>
              <w14:schemeClr w14:val="tx1"/>
            </w14:solidFill>
          </w14:textFill>
        </w:rPr>
        <w:t>增加收入3.4亿元。</w:t>
      </w:r>
      <w:r>
        <w:rPr>
          <w:rFonts w:eastAsia="方正楷体简体"/>
          <w:b/>
          <w:bCs/>
          <w:color w:val="000000" w:themeColor="text1"/>
          <w:sz w:val="32"/>
          <w:szCs w:val="32"/>
          <w14:textFill>
            <w14:solidFill>
              <w14:schemeClr w14:val="tx1"/>
            </w14:solidFill>
          </w14:textFill>
        </w:rPr>
        <w:t>四是大力对上争取。</w:t>
      </w:r>
      <w:r>
        <w:rPr>
          <w:rFonts w:eastAsia="方正仿宋简体"/>
          <w:b/>
          <w:bCs/>
          <w:color w:val="000000" w:themeColor="text1"/>
          <w:sz w:val="32"/>
          <w:szCs w:val="32"/>
          <w14:textFill>
            <w14:solidFill>
              <w14:schemeClr w14:val="tx1"/>
            </w14:solidFill>
          </w14:textFill>
        </w:rPr>
        <w:t>凝聚部门合力，</w:t>
      </w:r>
      <w:r>
        <w:rPr>
          <w:rFonts w:eastAsia="方正仿宋简体"/>
          <w:b/>
          <w:snapToGrid w:val="0"/>
          <w:color w:val="000000" w:themeColor="text1"/>
          <w:kern w:val="0"/>
          <w:sz w:val="32"/>
          <w:szCs w:val="32"/>
          <w14:textFill>
            <w14:solidFill>
              <w14:schemeClr w14:val="tx1"/>
            </w14:solidFill>
          </w14:textFill>
        </w:rPr>
        <w:t>密切对上沟通协调，争取到位</w:t>
      </w:r>
      <w:r>
        <w:rPr>
          <w:rFonts w:eastAsia="方正仿宋简体"/>
          <w:b/>
          <w:bCs/>
          <w:color w:val="000000" w:themeColor="text1"/>
          <w:sz w:val="32"/>
          <w:szCs w:val="32"/>
          <w14:textFill>
            <w14:solidFill>
              <w14:schemeClr w14:val="tx1"/>
            </w14:solidFill>
          </w14:textFill>
        </w:rPr>
        <w:t>上级转移支付资金15.9</w:t>
      </w:r>
      <w:r>
        <w:rPr>
          <w:rFonts w:eastAsia="方正仿宋简体"/>
          <w:b/>
          <w:snapToGrid w:val="0"/>
          <w:color w:val="000000" w:themeColor="text1"/>
          <w:kern w:val="0"/>
          <w:sz w:val="32"/>
          <w:szCs w:val="32"/>
          <w14:textFill>
            <w14:solidFill>
              <w14:schemeClr w14:val="tx1"/>
            </w14:solidFill>
          </w14:textFill>
        </w:rPr>
        <w:t>亿元，争取发行新增专项债券12.85亿元，有效缓解了财政支出压力。</w:t>
      </w:r>
    </w:p>
    <w:p>
      <w:pPr>
        <w:widowControl/>
        <w:overflowPunct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楷体简体"/>
          <w:b/>
          <w:bCs/>
          <w:color w:val="000000" w:themeColor="text1"/>
          <w:sz w:val="32"/>
          <w:szCs w:val="32"/>
          <w14:textFill>
            <w14:solidFill>
              <w14:schemeClr w14:val="tx1"/>
            </w14:solidFill>
          </w14:textFill>
        </w:rPr>
        <w:t>2、在“支”上做文章，从严从紧管控资金保民生兜底线</w:t>
      </w:r>
      <w:r>
        <w:rPr>
          <w:rFonts w:eastAsia="方正仿宋简体"/>
          <w:b/>
          <w:bCs/>
          <w:color w:val="000000" w:themeColor="text1"/>
          <w:sz w:val="32"/>
          <w:szCs w:val="32"/>
          <w14:textFill>
            <w14:solidFill>
              <w14:schemeClr w14:val="tx1"/>
            </w14:solidFill>
          </w14:textFill>
        </w:rPr>
        <w:t>。</w:t>
      </w:r>
      <w:r>
        <w:rPr>
          <w:rFonts w:eastAsia="方正楷体简体"/>
          <w:b/>
          <w:bCs/>
          <w:color w:val="000000" w:themeColor="text1"/>
          <w:sz w:val="32"/>
          <w:szCs w:val="32"/>
          <w14:textFill>
            <w14:solidFill>
              <w14:schemeClr w14:val="tx1"/>
            </w14:solidFill>
          </w14:textFill>
        </w:rPr>
        <w:t>一是精打细算控支出。</w:t>
      </w:r>
      <w:r>
        <w:rPr>
          <w:rFonts w:eastAsia="方正仿宋简体"/>
          <w:b/>
          <w:bCs/>
          <w:color w:val="000000" w:themeColor="text1"/>
          <w:sz w:val="32"/>
          <w:szCs w:val="32"/>
          <w14:textFill>
            <w14:solidFill>
              <w14:schemeClr w14:val="tx1"/>
            </w14:solidFill>
          </w14:textFill>
        </w:rPr>
        <w:t>大力压减一般性支出，日常公用经费定额压减20%，单位新配置办公物品优先从公物仓调剂，从严管控部门预算追加调剂事项，压减非刚性、非急需支出，把能不花的钱“省”下来。推进全成本绩效管理，通过测算工作量、核定支出单价等方式形成定额标准，把花钱的标准“降”下来。制定了《兖州区政府投资项目建设控制标准（试行）》，控制造价方式由“评项目”转为“评标准”，全年评审项目137个，审减资金6.4亿元，审减率21.7%，把工程资金“减”下来。</w:t>
      </w:r>
      <w:r>
        <w:rPr>
          <w:rFonts w:eastAsia="方正楷体简体"/>
          <w:b/>
          <w:bCs/>
          <w:color w:val="000000" w:themeColor="text1"/>
          <w:sz w:val="32"/>
          <w:szCs w:val="32"/>
          <w14:textFill>
            <w14:solidFill>
              <w14:schemeClr w14:val="tx1"/>
            </w14:solidFill>
          </w14:textFill>
        </w:rPr>
        <w:t>二是竭尽全力保“三保”</w:t>
      </w:r>
      <w:r>
        <w:rPr>
          <w:rFonts w:eastAsia="方正仿宋简体"/>
          <w:b/>
          <w:bCs/>
          <w:color w:val="000000" w:themeColor="text1"/>
          <w:sz w:val="32"/>
          <w:szCs w:val="32"/>
          <w14:textFill>
            <w14:solidFill>
              <w14:schemeClr w14:val="tx1"/>
            </w14:solidFill>
          </w14:textFill>
        </w:rPr>
        <w:t>。牢固树立“三保”支出的优先地位，无论财政支出压力多大，想方设法克服困难保障发放工资、兜底基本民生，保障干部安心干事创业，坚决维护社会大局稳定。</w:t>
      </w:r>
      <w:r>
        <w:rPr>
          <w:rFonts w:eastAsia="方正仿宋简体"/>
          <w:b/>
          <w:snapToGrid w:val="0"/>
          <w:color w:val="000000" w:themeColor="text1"/>
          <w:kern w:val="0"/>
          <w:sz w:val="32"/>
          <w:szCs w:val="32"/>
          <w14:textFill>
            <w14:solidFill>
              <w14:schemeClr w14:val="tx1"/>
            </w14:solidFill>
          </w14:textFill>
        </w:rPr>
        <w:t>2023年全区“三保”支出31.1亿元。</w:t>
      </w:r>
      <w:r>
        <w:rPr>
          <w:rFonts w:eastAsia="方正楷体简体"/>
          <w:b/>
          <w:snapToGrid w:val="0"/>
          <w:color w:val="000000" w:themeColor="text1"/>
          <w:kern w:val="0"/>
          <w:sz w:val="32"/>
          <w:szCs w:val="32"/>
          <w14:textFill>
            <w14:solidFill>
              <w14:schemeClr w14:val="tx1"/>
            </w14:solidFill>
          </w14:textFill>
        </w:rPr>
        <w:t>三是突出重点惠民生。</w:t>
      </w:r>
      <w:r>
        <w:rPr>
          <w:rFonts w:eastAsia="方正仿宋简体"/>
          <w:b/>
          <w:snapToGrid w:val="0"/>
          <w:color w:val="000000" w:themeColor="text1"/>
          <w:kern w:val="0"/>
          <w:sz w:val="32"/>
          <w:szCs w:val="32"/>
          <w14:textFill>
            <w14:solidFill>
              <w14:schemeClr w14:val="tx1"/>
            </w14:solidFill>
          </w14:textFill>
        </w:rPr>
        <w:t>促进教育优质均衡发展，从学前到高中、职教各阶段教育经费投入</w:t>
      </w:r>
      <w:r>
        <w:rPr>
          <w:rFonts w:eastAsia="方正仿宋简体"/>
          <w:b/>
          <w:bCs/>
          <w:color w:val="000000" w:themeColor="text1"/>
          <w:sz w:val="32"/>
          <w:szCs w:val="32"/>
          <w14:textFill>
            <w14:solidFill>
              <w14:schemeClr w14:val="tx1"/>
            </w14:solidFill>
          </w14:textFill>
        </w:rPr>
        <w:t>1.2亿元、学生资助资金1865万元</w:t>
      </w:r>
      <w:r>
        <w:rPr>
          <w:rFonts w:eastAsia="方正仿宋简体"/>
          <w:b/>
          <w:snapToGrid w:val="0"/>
          <w:color w:val="000000" w:themeColor="text1"/>
          <w:kern w:val="0"/>
          <w:sz w:val="32"/>
          <w:szCs w:val="32"/>
          <w14:textFill>
            <w14:solidFill>
              <w14:schemeClr w14:val="tx1"/>
            </w14:solidFill>
          </w14:textFill>
        </w:rPr>
        <w:t>，中小学及幼儿园办学条件改善、资源扩增投入</w:t>
      </w:r>
      <w:r>
        <w:rPr>
          <w:rFonts w:eastAsia="方正仿宋简体"/>
          <w:b/>
          <w:bCs/>
          <w:color w:val="000000" w:themeColor="text1"/>
          <w:sz w:val="32"/>
          <w:szCs w:val="32"/>
          <w14:textFill>
            <w14:solidFill>
              <w14:schemeClr w14:val="tx1"/>
            </w14:solidFill>
          </w14:textFill>
        </w:rPr>
        <w:t>5629</w:t>
      </w:r>
      <w:r>
        <w:rPr>
          <w:rFonts w:eastAsia="方正仿宋简体"/>
          <w:b/>
          <w:snapToGrid w:val="0"/>
          <w:color w:val="000000" w:themeColor="text1"/>
          <w:kern w:val="0"/>
          <w:sz w:val="32"/>
          <w:szCs w:val="32"/>
          <w14:textFill>
            <w14:solidFill>
              <w14:schemeClr w14:val="tx1"/>
            </w14:solidFill>
          </w14:textFill>
        </w:rPr>
        <w:t>万元，提高班主任津贴、专项培训教师新增支出</w:t>
      </w:r>
      <w:r>
        <w:rPr>
          <w:rFonts w:eastAsia="方正仿宋简体"/>
          <w:b/>
          <w:bCs/>
          <w:color w:val="000000" w:themeColor="text1"/>
          <w:sz w:val="32"/>
          <w:szCs w:val="32"/>
          <w14:textFill>
            <w14:solidFill>
              <w14:schemeClr w14:val="tx1"/>
            </w14:solidFill>
          </w14:textFill>
        </w:rPr>
        <w:t>929</w:t>
      </w:r>
      <w:r>
        <w:rPr>
          <w:rFonts w:eastAsia="方正仿宋简体"/>
          <w:b/>
          <w:snapToGrid w:val="0"/>
          <w:color w:val="000000" w:themeColor="text1"/>
          <w:kern w:val="0"/>
          <w:sz w:val="32"/>
          <w:szCs w:val="32"/>
          <w14:textFill>
            <w14:solidFill>
              <w14:schemeClr w14:val="tx1"/>
            </w14:solidFill>
          </w14:textFill>
        </w:rPr>
        <w:t>万元，全区教师工资保险等待遇支出</w:t>
      </w:r>
      <w:r>
        <w:rPr>
          <w:rFonts w:eastAsia="方正仿宋简体"/>
          <w:b/>
          <w:bCs/>
          <w:color w:val="000000" w:themeColor="text1"/>
          <w:sz w:val="32"/>
          <w:szCs w:val="32"/>
          <w14:textFill>
            <w14:solidFill>
              <w14:schemeClr w14:val="tx1"/>
            </w14:solidFill>
          </w14:textFill>
        </w:rPr>
        <w:t>10.4</w:t>
      </w:r>
      <w:r>
        <w:rPr>
          <w:rFonts w:eastAsia="方正仿宋简体"/>
          <w:b/>
          <w:snapToGrid w:val="0"/>
          <w:color w:val="000000" w:themeColor="text1"/>
          <w:kern w:val="0"/>
          <w:sz w:val="32"/>
          <w:szCs w:val="32"/>
          <w14:textFill>
            <w14:solidFill>
              <w14:schemeClr w14:val="tx1"/>
            </w14:solidFill>
          </w14:textFill>
        </w:rPr>
        <w:t>亿元。将人民健康放在心上，拨付1.1亿元补助居民医疗保险及实施城乡医疗救助，拨付1.6亿元推进基本公共卫生服务均等化、落实基本药物制度、保障各级医疗卫生机构正常运转。健全多层次社会保障体系，城乡低保、临时救助和特困人员救助等支出1.1亿元，拨付各类优抚安置资金9978万元，拨付城乡居民基础养老金1.9亿元，补助机关事业单位养老保险2.9亿元，拨付公益岗补贴、安置资金</w:t>
      </w:r>
      <w:r>
        <w:rPr>
          <w:rFonts w:eastAsia="方正仿宋简体"/>
          <w:b/>
          <w:bCs/>
          <w:color w:val="000000" w:themeColor="text1"/>
          <w:sz w:val="32"/>
          <w:szCs w:val="32"/>
          <w14:textFill>
            <w14:solidFill>
              <w14:schemeClr w14:val="tx1"/>
            </w14:solidFill>
          </w14:textFill>
        </w:rPr>
        <w:t>1.1亿</w:t>
      </w:r>
      <w:r>
        <w:rPr>
          <w:rFonts w:eastAsia="方正仿宋简体"/>
          <w:b/>
          <w:snapToGrid w:val="0"/>
          <w:color w:val="000000" w:themeColor="text1"/>
          <w:kern w:val="0"/>
          <w:sz w:val="32"/>
          <w:szCs w:val="32"/>
          <w14:textFill>
            <w14:solidFill>
              <w14:schemeClr w14:val="tx1"/>
            </w14:solidFill>
          </w14:textFill>
        </w:rPr>
        <w:t>元，兑现各类就业创业补贴2194万元。支持实施乡村振兴战略，投入</w:t>
      </w:r>
      <w:r>
        <w:rPr>
          <w:rFonts w:eastAsia="方正仿宋简体"/>
          <w:b/>
          <w:bCs/>
          <w:color w:val="000000" w:themeColor="text1"/>
          <w:sz w:val="32"/>
          <w:szCs w:val="32"/>
          <w14:textFill>
            <w14:solidFill>
              <w14:schemeClr w14:val="tx1"/>
            </w14:solidFill>
          </w14:textFill>
        </w:rPr>
        <w:t>1.8</w:t>
      </w:r>
      <w:r>
        <w:rPr>
          <w:rFonts w:eastAsia="方正仿宋简体"/>
          <w:b/>
          <w:snapToGrid w:val="0"/>
          <w:color w:val="000000" w:themeColor="text1"/>
          <w:kern w:val="0"/>
          <w:sz w:val="32"/>
          <w:szCs w:val="32"/>
          <w14:textFill>
            <w14:solidFill>
              <w14:schemeClr w14:val="tx1"/>
            </w14:solidFill>
          </w14:textFill>
        </w:rPr>
        <w:t>亿元因地制宜打造宜居宜业和美乡村、精准支持特色农业产业发展，投入</w:t>
      </w:r>
      <w:r>
        <w:rPr>
          <w:rFonts w:eastAsia="方正仿宋简体"/>
          <w:b/>
          <w:bCs/>
          <w:color w:val="000000" w:themeColor="text1"/>
          <w:sz w:val="32"/>
          <w:szCs w:val="32"/>
          <w14:textFill>
            <w14:solidFill>
              <w14:schemeClr w14:val="tx1"/>
            </w14:solidFill>
          </w14:textFill>
        </w:rPr>
        <w:t>7003万元</w:t>
      </w:r>
      <w:r>
        <w:rPr>
          <w:rFonts w:eastAsia="方正仿宋简体"/>
          <w:b/>
          <w:snapToGrid w:val="0"/>
          <w:color w:val="000000" w:themeColor="text1"/>
          <w:kern w:val="0"/>
          <w:sz w:val="32"/>
          <w:szCs w:val="32"/>
          <w14:textFill>
            <w14:solidFill>
              <w14:schemeClr w14:val="tx1"/>
            </w14:solidFill>
          </w14:textFill>
        </w:rPr>
        <w:t>持续改善城乡生态环境，争取上级扶持资金4588万元建设产粮大县，财政负担2695万元支持政策性农业保险提标、扩面、增品。全区民生支出达到57亿元，占一般公共预算支出的83.5%。</w:t>
      </w:r>
    </w:p>
    <w:p>
      <w:pPr>
        <w:pStyle w:val="12"/>
        <w:overflowPunct w:val="0"/>
        <w:spacing w:line="560" w:lineRule="exact"/>
        <w:ind w:firstLine="643" w:firstLineChars="200"/>
        <w:rPr>
          <w:rFonts w:eastAsia="方正仿宋简体" w:cs="Times New Roman"/>
          <w:b/>
          <w:snapToGrid w:val="0"/>
          <w:color w:val="000000" w:themeColor="text1"/>
          <w:kern w:val="0"/>
          <w14:textFill>
            <w14:solidFill>
              <w14:schemeClr w14:val="tx1"/>
            </w14:solidFill>
          </w14:textFill>
        </w:rPr>
      </w:pPr>
      <w:r>
        <w:rPr>
          <w:rFonts w:eastAsia="方正仿宋简体" w:cs="Times New Roman"/>
          <w:b/>
          <w:snapToGrid w:val="0"/>
          <w:color w:val="000000" w:themeColor="text1"/>
          <w:kern w:val="0"/>
          <w14:textFill>
            <w14:solidFill>
              <w14:schemeClr w14:val="tx1"/>
            </w14:solidFill>
          </w14:textFill>
        </w:rPr>
        <w:t>3、</w:t>
      </w:r>
      <w:r>
        <w:rPr>
          <w:rFonts w:eastAsia="方正楷体简体" w:cs="Times New Roman"/>
          <w:b/>
          <w:snapToGrid w:val="0"/>
          <w:color w:val="000000" w:themeColor="text1"/>
          <w:kern w:val="0"/>
          <w14:textFill>
            <w14:solidFill>
              <w14:schemeClr w14:val="tx1"/>
            </w14:solidFill>
          </w14:textFill>
        </w:rPr>
        <w:t>在“扶”上想办法，精准施策助企纾困保实体促发展。一是助推产业发展提质增速</w:t>
      </w:r>
      <w:r>
        <w:rPr>
          <w:rFonts w:eastAsia="方正仿宋简体" w:cs="Times New Roman"/>
          <w:b/>
          <w:snapToGrid w:val="0"/>
          <w:color w:val="000000" w:themeColor="text1"/>
          <w:kern w:val="0"/>
          <w14:textFill>
            <w14:solidFill>
              <w14:schemeClr w14:val="tx1"/>
            </w14:solidFill>
          </w14:textFill>
        </w:rPr>
        <w:t>。落实《支持制造强区建设的十条意见》，拨付1.3亿元奖补重点工业企业、支持企业技术创新、加快产业转型升级，发展先进制造业集群。</w:t>
      </w:r>
      <w:r>
        <w:rPr>
          <w:rFonts w:eastAsia="方正楷体简体" w:cs="Times New Roman"/>
          <w:b/>
          <w:snapToGrid w:val="0"/>
          <w:color w:val="000000" w:themeColor="text1"/>
          <w:kern w:val="0"/>
          <w14:textFill>
            <w14:solidFill>
              <w14:schemeClr w14:val="tx1"/>
            </w14:solidFill>
          </w14:textFill>
        </w:rPr>
        <w:t>二是积极贯彻稳经济系列措施。</w:t>
      </w:r>
      <w:r>
        <w:rPr>
          <w:rFonts w:eastAsia="方正仿宋简体" w:cs="Times New Roman"/>
          <w:b/>
          <w:snapToGrid w:val="0"/>
          <w:color w:val="000000" w:themeColor="text1"/>
          <w:kern w:val="0"/>
          <w14:textFill>
            <w14:solidFill>
              <w14:schemeClr w14:val="tx1"/>
            </w14:solidFill>
          </w14:textFill>
        </w:rPr>
        <w:t>落实《支持商贸流通发展促进消费增长的十二条政策措施》，拨付</w:t>
      </w:r>
      <w:r>
        <w:rPr>
          <w:rFonts w:eastAsia="方正仿宋简体" w:cs="Times New Roman"/>
          <w:b/>
          <w:bCs/>
          <w:color w:val="000000" w:themeColor="text1"/>
          <w14:textFill>
            <w14:solidFill>
              <w14:schemeClr w14:val="tx1"/>
            </w14:solidFill>
          </w14:textFill>
        </w:rPr>
        <w:t>2072</w:t>
      </w:r>
      <w:r>
        <w:rPr>
          <w:rFonts w:eastAsia="方正仿宋简体" w:cs="Times New Roman"/>
          <w:b/>
          <w:snapToGrid w:val="0"/>
          <w:color w:val="000000" w:themeColor="text1"/>
          <w:kern w:val="0"/>
          <w14:textFill>
            <w14:solidFill>
              <w14:schemeClr w14:val="tx1"/>
            </w14:solidFill>
          </w14:textFill>
        </w:rPr>
        <w:t>万元核销消费券，激活消费潜力；为各类市场主体退减免缓税费25亿元；拨付创业担保贷款贴息1352万元。</w:t>
      </w:r>
      <w:r>
        <w:rPr>
          <w:rFonts w:eastAsia="方正楷体简体" w:cs="Times New Roman"/>
          <w:b/>
          <w:snapToGrid w:val="0"/>
          <w:color w:val="000000" w:themeColor="text1"/>
          <w:kern w:val="0"/>
          <w14:textFill>
            <w14:solidFill>
              <w14:schemeClr w14:val="tx1"/>
            </w14:solidFill>
          </w14:textFill>
        </w:rPr>
        <w:t>三是财金联动支持中小微企业</w:t>
      </w:r>
      <w:r>
        <w:rPr>
          <w:rFonts w:eastAsia="方正仿宋简体" w:cs="Times New Roman"/>
          <w:b/>
          <w:snapToGrid w:val="0"/>
          <w:color w:val="000000" w:themeColor="text1"/>
          <w:kern w:val="0"/>
          <w14:textFill>
            <w14:solidFill>
              <w14:schemeClr w14:val="tx1"/>
            </w14:solidFill>
          </w14:textFill>
        </w:rPr>
        <w:t>。依托市财信融资担保集团为中小企业新增融资担保</w:t>
      </w:r>
      <w:r>
        <w:rPr>
          <w:rFonts w:eastAsia="方正仿宋简体" w:cs="Times New Roman"/>
          <w:b/>
          <w:bCs/>
          <w:color w:val="000000" w:themeColor="text1"/>
          <w14:textFill>
            <w14:solidFill>
              <w14:schemeClr w14:val="tx1"/>
            </w14:solidFill>
          </w14:textFill>
        </w:rPr>
        <w:t>1036</w:t>
      </w:r>
      <w:r>
        <w:rPr>
          <w:rFonts w:eastAsia="方正仿宋简体" w:cs="Times New Roman"/>
          <w:b/>
          <w:snapToGrid w:val="0"/>
          <w:color w:val="000000" w:themeColor="text1"/>
          <w:kern w:val="0"/>
          <w14:textFill>
            <w14:solidFill>
              <w14:schemeClr w14:val="tx1"/>
            </w14:solidFill>
          </w14:textFill>
        </w:rPr>
        <w:t>笔</w:t>
      </w:r>
      <w:r>
        <w:rPr>
          <w:rFonts w:eastAsia="方正仿宋简体" w:cs="Times New Roman"/>
          <w:b/>
          <w:bCs/>
          <w:color w:val="000000" w:themeColor="text1"/>
          <w14:textFill>
            <w14:solidFill>
              <w14:schemeClr w14:val="tx1"/>
            </w14:solidFill>
          </w14:textFill>
        </w:rPr>
        <w:t>11.8</w:t>
      </w:r>
      <w:r>
        <w:rPr>
          <w:rFonts w:eastAsia="方正仿宋简体" w:cs="Times New Roman"/>
          <w:b/>
          <w:snapToGrid w:val="0"/>
          <w:color w:val="000000" w:themeColor="text1"/>
          <w:kern w:val="0"/>
          <w14:textFill>
            <w14:solidFill>
              <w14:schemeClr w14:val="tx1"/>
            </w14:solidFill>
          </w14:textFill>
        </w:rPr>
        <w:t>亿元；“鲁担惠农贷”为</w:t>
      </w:r>
      <w:r>
        <w:rPr>
          <w:rFonts w:eastAsia="方正仿宋简体" w:cs="Times New Roman"/>
          <w:b/>
          <w:bCs/>
          <w:color w:val="000000" w:themeColor="text1"/>
          <w14:textFill>
            <w14:solidFill>
              <w14:schemeClr w14:val="tx1"/>
            </w14:solidFill>
          </w14:textFill>
        </w:rPr>
        <w:t>613</w:t>
      </w:r>
      <w:r>
        <w:rPr>
          <w:rFonts w:eastAsia="方正仿宋简体" w:cs="Times New Roman"/>
          <w:b/>
          <w:snapToGrid w:val="0"/>
          <w:color w:val="000000" w:themeColor="text1"/>
          <w:kern w:val="0"/>
          <w14:textFill>
            <w14:solidFill>
              <w14:schemeClr w14:val="tx1"/>
            </w14:solidFill>
          </w14:textFill>
        </w:rPr>
        <w:t>户新型农业经营主体新增担保贷款</w:t>
      </w:r>
      <w:r>
        <w:rPr>
          <w:rFonts w:eastAsia="方正仿宋简体" w:cs="Times New Roman"/>
          <w:b/>
          <w:bCs/>
          <w:color w:val="000000" w:themeColor="text1"/>
          <w14:textFill>
            <w14:solidFill>
              <w14:schemeClr w14:val="tx1"/>
            </w14:solidFill>
          </w14:textFill>
        </w:rPr>
        <w:t>5.5亿元</w:t>
      </w:r>
      <w:r>
        <w:rPr>
          <w:rFonts w:eastAsia="方正仿宋简体" w:cs="Times New Roman"/>
          <w:b/>
          <w:snapToGrid w:val="0"/>
          <w:color w:val="000000" w:themeColor="text1"/>
          <w:kern w:val="0"/>
          <w14:textFill>
            <w14:solidFill>
              <w14:schemeClr w14:val="tx1"/>
            </w14:solidFill>
          </w14:textFill>
        </w:rPr>
        <w:t>；通过政府采购合同</w:t>
      </w:r>
      <w:r>
        <w:rPr>
          <w:rFonts w:eastAsia="方正仿宋简体" w:cs="Times New Roman"/>
          <w:b/>
          <w:bCs/>
          <w:color w:val="000000" w:themeColor="text1"/>
          <w14:textFill>
            <w14:solidFill>
              <w14:schemeClr w14:val="tx1"/>
            </w14:solidFill>
          </w14:textFill>
        </w:rPr>
        <w:t>为12家中小企业融资授信3983万元。</w:t>
      </w:r>
      <w:r>
        <w:rPr>
          <w:rFonts w:eastAsia="方正楷体简体" w:cs="Times New Roman"/>
          <w:b/>
          <w:snapToGrid w:val="0"/>
          <w:color w:val="000000" w:themeColor="text1"/>
          <w:kern w:val="0"/>
          <w14:textFill>
            <w14:solidFill>
              <w14:schemeClr w14:val="tx1"/>
            </w14:solidFill>
          </w14:textFill>
        </w:rPr>
        <w:t>四是统筹兼顾保障项目建设</w:t>
      </w:r>
      <w:r>
        <w:rPr>
          <w:rFonts w:eastAsia="方正仿宋简体" w:cs="Times New Roman"/>
          <w:b/>
          <w:snapToGrid w:val="0"/>
          <w:color w:val="000000" w:themeColor="text1"/>
          <w:kern w:val="0"/>
          <w14:textFill>
            <w14:solidFill>
              <w14:schemeClr w14:val="tx1"/>
            </w14:solidFill>
          </w14:textFill>
        </w:rPr>
        <w:t>。统筹各类财政性资金17.2亿元支持济微高速北段、城区内涝治理排水设施改造、城乡供水一体化提升改造、城区基础设施提升、城镇老旧小区及棚户区改造等重点项目建设，切实扩大有效投资。</w:t>
      </w:r>
    </w:p>
    <w:p>
      <w:pPr>
        <w:overflowPunct w:val="0"/>
        <w:spacing w:line="560" w:lineRule="exact"/>
        <w:ind w:firstLine="643" w:firstLineChars="200"/>
        <w:rPr>
          <w:rFonts w:eastAsia="方正仿宋简体"/>
          <w:b/>
          <w:snapToGrid w:val="0"/>
          <w:color w:val="000000" w:themeColor="text1"/>
          <w:kern w:val="0"/>
          <w:sz w:val="32"/>
          <w:szCs w:val="32"/>
          <w:highlight w:val="cyan"/>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4、在“效”上动脑筋，多维深化绩效管理降成本增效益。一是抓牢目标管理关键点</w:t>
      </w:r>
      <w:r>
        <w:rPr>
          <w:rFonts w:eastAsia="方正仿宋简体"/>
          <w:b/>
          <w:snapToGrid w:val="0"/>
          <w:color w:val="000000" w:themeColor="text1"/>
          <w:kern w:val="0"/>
          <w:sz w:val="32"/>
          <w:szCs w:val="32"/>
          <w14:textFill>
            <w14:solidFill>
              <w14:schemeClr w14:val="tx1"/>
            </w14:solidFill>
          </w14:textFill>
        </w:rPr>
        <w:t>。聘请培训机构对全区预算单位开展为期3个月的预算绩效目标管理业务培训，为预算单位绩效目标“量体裁衣”，构建部门核心指标库70套、项目绩效核心指标1.2万条，形成了相对成熟的共性指标框架和19个分行业分领域的绩效指标标准。</w:t>
      </w:r>
      <w:r>
        <w:rPr>
          <w:rFonts w:eastAsia="方正楷体简体"/>
          <w:b/>
          <w:snapToGrid w:val="0"/>
          <w:color w:val="000000" w:themeColor="text1"/>
          <w:kern w:val="0"/>
          <w:sz w:val="32"/>
          <w:szCs w:val="32"/>
          <w14:textFill>
            <w14:solidFill>
              <w14:schemeClr w14:val="tx1"/>
            </w14:solidFill>
          </w14:textFill>
        </w:rPr>
        <w:t>二是找准成本绩效突破口。</w:t>
      </w:r>
      <w:r>
        <w:rPr>
          <w:rFonts w:eastAsia="方正仿宋简体"/>
          <w:b/>
          <w:snapToGrid w:val="0"/>
          <w:color w:val="000000" w:themeColor="text1"/>
          <w:kern w:val="0"/>
          <w:sz w:val="32"/>
          <w:szCs w:val="32"/>
          <w14:textFill>
            <w14:solidFill>
              <w14:schemeClr w14:val="tx1"/>
            </w14:solidFill>
          </w14:textFill>
        </w:rPr>
        <w:t>实施“项目入库分析成本、预算编制细化成本、预算审核核定成本、预算执行控制成本、预算完成评价成本”五个环节闭环管理，搭建“成本和效益并重”的预算绩效管理机制。选择“环境卫生运营管理费”开展重点项目成本效益分析，建成与财政保障能力挂钩的环卫成本动态测算标准库。</w:t>
      </w:r>
      <w:r>
        <w:rPr>
          <w:rFonts w:eastAsia="方正楷体简体"/>
          <w:b/>
          <w:snapToGrid w:val="0"/>
          <w:color w:val="000000" w:themeColor="text1"/>
          <w:kern w:val="0"/>
          <w:sz w:val="32"/>
          <w:szCs w:val="32"/>
          <w14:textFill>
            <w14:solidFill>
              <w14:schemeClr w14:val="tx1"/>
            </w14:solidFill>
          </w14:textFill>
        </w:rPr>
        <w:t>三是提升重点评价能效比。</w:t>
      </w:r>
      <w:r>
        <w:rPr>
          <w:rFonts w:eastAsia="方正仿宋简体"/>
          <w:b/>
          <w:snapToGrid w:val="0"/>
          <w:color w:val="000000" w:themeColor="text1"/>
          <w:kern w:val="0"/>
          <w:sz w:val="32"/>
          <w:szCs w:val="32"/>
          <w14:textFill>
            <w14:solidFill>
              <w14:schemeClr w14:val="tx1"/>
            </w14:solidFill>
          </w14:textFill>
        </w:rPr>
        <w:t>推动财政重点评价扩围提质，在政府采购、政府购买服务、政府债券等领域选取13个项目，实施指标跟踪、数据控制、整改提升；选取教体局、卫健局开展部门整体绩效评价，整体绩效结果与预算编制、指标调整挂钩；选取大安镇开展镇街财政运行综合绩效评价试点，探索建立镇街财政运行“健康指数”体系。</w:t>
      </w:r>
    </w:p>
    <w:p>
      <w:pPr>
        <w:pStyle w:val="16"/>
        <w:overflowPunct w:val="0"/>
        <w:spacing w:after="0" w:line="560" w:lineRule="exact"/>
        <w:ind w:firstLine="643" w:firstLineChars="200"/>
        <w:rPr>
          <w:rFonts w:eastAsia="方正仿宋简体"/>
          <w:b/>
          <w:bCs/>
          <w:color w:val="000000" w:themeColor="text1"/>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5、</w:t>
      </w:r>
      <w:r>
        <w:rPr>
          <w:rFonts w:eastAsia="方正楷体简体"/>
          <w:b/>
          <w:snapToGrid w:val="0"/>
          <w:color w:val="000000" w:themeColor="text1"/>
          <w:kern w:val="0"/>
          <w:sz w:val="32"/>
          <w:szCs w:val="32"/>
          <w14:textFill>
            <w14:solidFill>
              <w14:schemeClr w14:val="tx1"/>
            </w14:solidFill>
          </w14:textFill>
        </w:rPr>
        <w:t>在“改”上出实招，改革创新优化管理激动能提效率。一是镇街财政运转更有活力。</w:t>
      </w:r>
      <w:r>
        <w:rPr>
          <w:rFonts w:eastAsia="方正仿宋简体"/>
          <w:b/>
          <w:snapToGrid w:val="0"/>
          <w:color w:val="000000" w:themeColor="text1"/>
          <w:kern w:val="0"/>
          <w:sz w:val="32"/>
          <w:szCs w:val="32"/>
          <w14:textFill>
            <w14:solidFill>
              <w14:schemeClr w14:val="tx1"/>
            </w14:solidFill>
          </w14:textFill>
        </w:rPr>
        <w:t>以“夯实基础、加快发展”为目标，按照“界定事权、匹配财权，适度施压、鼓励先进”的思路，实施了新一轮镇街财政体制改革，重塑“保障与激励并重、更加注重激励”的新体制，促进镇街更好地管钱管事管人。</w:t>
      </w:r>
      <w:r>
        <w:rPr>
          <w:rFonts w:eastAsia="方正楷体简体"/>
          <w:b/>
          <w:snapToGrid w:val="0"/>
          <w:color w:val="000000" w:themeColor="text1"/>
          <w:kern w:val="0"/>
          <w:sz w:val="32"/>
          <w:szCs w:val="32"/>
          <w14:textFill>
            <w14:solidFill>
              <w14:schemeClr w14:val="tx1"/>
            </w14:solidFill>
          </w14:textFill>
        </w:rPr>
        <w:t>二是国资国企管理更加规范。</w:t>
      </w:r>
      <w:r>
        <w:rPr>
          <w:rFonts w:eastAsia="方正仿宋简体"/>
          <w:b/>
          <w:snapToGrid w:val="0"/>
          <w:color w:val="000000" w:themeColor="text1"/>
          <w:kern w:val="0"/>
          <w:sz w:val="32"/>
          <w:szCs w:val="32"/>
          <w14:textFill>
            <w14:solidFill>
              <w14:schemeClr w14:val="tx1"/>
            </w14:solidFill>
          </w14:textFill>
        </w:rPr>
        <w:t>成立区属国有企业综合党委，从行业部门划转了4个党支部，把党的领导融入企业管人、管事、管资产等治理环节。实施新一轮国企改革，整合金地粮食购销、盐业公司等4家“小散弱”国企，组建一级国企山东兖兴商贸服务集团，分类整合、统一运营国有资产，破解国有企业层级过多、经营不善问题。</w:t>
      </w:r>
      <w:r>
        <w:rPr>
          <w:rFonts w:eastAsia="方正楷体简体"/>
          <w:b/>
          <w:snapToGrid w:val="0"/>
          <w:color w:val="000000" w:themeColor="text1"/>
          <w:kern w:val="0"/>
          <w:sz w:val="32"/>
          <w:szCs w:val="32"/>
          <w14:textFill>
            <w14:solidFill>
              <w14:schemeClr w14:val="tx1"/>
            </w14:solidFill>
          </w14:textFill>
        </w:rPr>
        <w:t>三是债务风险防控更加严密。</w:t>
      </w:r>
      <w:r>
        <w:rPr>
          <w:rFonts w:eastAsia="方正仿宋简体"/>
          <w:b/>
          <w:snapToGrid w:val="0"/>
          <w:color w:val="000000" w:themeColor="text1"/>
          <w:kern w:val="0"/>
          <w:sz w:val="32"/>
          <w:szCs w:val="32"/>
          <w14:textFill>
            <w14:solidFill>
              <w14:schemeClr w14:val="tx1"/>
            </w14:solidFill>
          </w14:textFill>
        </w:rPr>
        <w:t>建立债券支出进度跟踪机制，开展专项债项目绩效评价，确保债券资金落地见效。通过开源节流、统筹各类资金资产资源等措施，稳妥化解存量隐性债务。实施城投公司举债提级管理，从发债、流贷和项目贷等多个角度发力，持续压降融资成本。</w:t>
      </w:r>
      <w:r>
        <w:rPr>
          <w:rFonts w:eastAsia="方正楷体简体"/>
          <w:b/>
          <w:bCs/>
          <w:color w:val="000000" w:themeColor="text1"/>
          <w:sz w:val="32"/>
          <w:szCs w:val="32"/>
          <w14:textFill>
            <w14:solidFill>
              <w14:schemeClr w14:val="tx1"/>
            </w14:solidFill>
          </w14:textFill>
        </w:rPr>
        <w:t>四是财政财会监督更加深入。</w:t>
      </w:r>
      <w:r>
        <w:rPr>
          <w:rFonts w:eastAsia="方正仿宋简体"/>
          <w:b/>
          <w:snapToGrid w:val="0"/>
          <w:color w:val="000000" w:themeColor="text1"/>
          <w:kern w:val="0"/>
          <w:sz w:val="32"/>
          <w:szCs w:val="32"/>
          <w14:textFill>
            <w14:solidFill>
              <w14:schemeClr w14:val="tx1"/>
            </w14:solidFill>
          </w14:textFill>
        </w:rPr>
        <w:t>对全区97家行政事业单位的财政资金管理、绩效管理、会计信息质量管理等情况分批次开展“体检”，用监督的利剑“除弊治病”，督促预算单位落实财会监督主体责任，绷紧财经纪律之弦</w:t>
      </w:r>
      <w:r>
        <w:rPr>
          <w:rFonts w:eastAsia="方正仿宋简体"/>
          <w:b/>
          <w:bCs/>
          <w:color w:val="000000" w:themeColor="text1"/>
          <w:sz w:val="32"/>
          <w:szCs w:val="32"/>
          <w14:textFill>
            <w14:solidFill>
              <w14:schemeClr w14:val="tx1"/>
            </w14:solidFill>
          </w14:textFill>
        </w:rPr>
        <w:t xml:space="preserve">。聚焦重大政策、重点民生资金、镇街财政运行、中介机构执业开展了专项监督检查，强化财经纪律刚性约束和财经秩序整治。进一步完善财政管理制度、优化业务工作流程、强化内控体系建设，筑牢全流程财政风险“防火墙”。 </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bCs/>
          <w:color w:val="000000" w:themeColor="text1"/>
          <w:sz w:val="32"/>
          <w:szCs w:val="32"/>
          <w14:textFill>
            <w14:solidFill>
              <w14:schemeClr w14:val="tx1"/>
            </w14:solidFill>
          </w14:textFill>
        </w:rPr>
        <w:t>各位代表，在总结成绩的同时，我们也清醒地看到面临的诸多困难和挑战，主要是部分行业、重点企业税收持续下滑，收入增长缺乏接续财源，而经济社会发展各方面的资金需求不断加大、“三保”等刚性支出持续增长，收支矛盾愈发突出，当前和今后一段时期，全区财政将处于“紧平衡”状态。对这些问题，我们将采取有效措施，</w:t>
      </w:r>
      <w:r>
        <w:rPr>
          <w:rFonts w:eastAsia="方正仿宋简体"/>
          <w:b/>
          <w:snapToGrid w:val="0"/>
          <w:color w:val="000000" w:themeColor="text1"/>
          <w:kern w:val="0"/>
          <w:sz w:val="32"/>
          <w:szCs w:val="32"/>
          <w14:textFill>
            <w14:solidFill>
              <w14:schemeClr w14:val="tx1"/>
            </w14:solidFill>
          </w14:textFill>
        </w:rPr>
        <w:t>努力加以解决。</w:t>
      </w:r>
    </w:p>
    <w:p>
      <w:pPr>
        <w:pStyle w:val="2"/>
        <w:overflowPunct w:val="0"/>
        <w:spacing w:line="560" w:lineRule="exact"/>
        <w:ind w:firstLine="723"/>
        <w:rPr>
          <w:b/>
          <w:color w:val="000000" w:themeColor="text1"/>
          <w14:textFill>
            <w14:solidFill>
              <w14:schemeClr w14:val="tx1"/>
            </w14:solidFill>
          </w14:textFill>
        </w:rPr>
      </w:pPr>
    </w:p>
    <w:p>
      <w:pPr>
        <w:overflowPunct w:val="0"/>
        <w:adjustRightInd w:val="0"/>
        <w:snapToGrid w:val="0"/>
        <w:spacing w:line="560" w:lineRule="exact"/>
        <w:jc w:val="center"/>
        <w:rPr>
          <w:rFonts w:eastAsia="方正黑体简体"/>
          <w:b/>
          <w:snapToGrid w:val="0"/>
          <w:color w:val="000000" w:themeColor="text1"/>
          <w:kern w:val="0"/>
          <w:sz w:val="32"/>
          <w:szCs w:val="32"/>
          <w14:textFill>
            <w14:solidFill>
              <w14:schemeClr w14:val="tx1"/>
            </w14:solidFill>
          </w14:textFill>
        </w:rPr>
      </w:pPr>
      <w:r>
        <w:rPr>
          <w:rFonts w:eastAsia="方正黑体简体"/>
          <w:b/>
          <w:snapToGrid w:val="0"/>
          <w:color w:val="000000" w:themeColor="text1"/>
          <w:kern w:val="0"/>
          <w:sz w:val="32"/>
          <w:szCs w:val="32"/>
          <w14:textFill>
            <w14:solidFill>
              <w14:schemeClr w14:val="tx1"/>
            </w14:solidFill>
          </w14:textFill>
        </w:rPr>
        <w:t>二、2024年预算安排意见</w:t>
      </w:r>
    </w:p>
    <w:p>
      <w:pPr>
        <w:overflowPunct w:val="0"/>
        <w:adjustRightInd w:val="0"/>
        <w:snapToGrid w:val="0"/>
        <w:spacing w:line="560" w:lineRule="exact"/>
        <w:jc w:val="center"/>
        <w:rPr>
          <w:rFonts w:eastAsia="方正仿宋简体"/>
          <w:b/>
          <w:snapToGrid w:val="0"/>
          <w:color w:val="000000" w:themeColor="text1"/>
          <w:kern w:val="0"/>
          <w:sz w:val="32"/>
          <w:szCs w:val="32"/>
          <w14:textFill>
            <w14:solidFill>
              <w14:schemeClr w14:val="tx1"/>
            </w14:solidFill>
          </w14:textFill>
        </w:rPr>
      </w:pPr>
    </w:p>
    <w:p>
      <w:pPr>
        <w:overflowPunct w:val="0"/>
        <w:adjustRightInd w:val="0"/>
        <w:snapToGrid w:val="0"/>
        <w:spacing w:line="560" w:lineRule="exact"/>
        <w:ind w:firstLine="643" w:firstLineChars="200"/>
        <w:rPr>
          <w:rFonts w:eastAsia="方正楷体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（一）2024年全区预算安排的指导思想</w:t>
      </w:r>
    </w:p>
    <w:p>
      <w:pPr>
        <w:widowControl/>
        <w:overflowPunct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以习近平新时代中国特色社会主义思想为指导，全面贯彻党的二十大和二十届二中全会精神，完整准确全面贯彻新发展理念，锚定“走在前、开新局”，紧紧围绕绿色低碳高质量发展先行区建设，加强财政资源统筹，集中财力办大事，保障区委、区政府重大决策部署落地；落实政府过“紧日子”要求，强化预算约束和绩效管理，提高支出精准性、有效性；统筹高质量发展和高水平安全，深化改革创新，严肃财经纪律，守好风险底线，奋力推动中国式现代化兖州实践取得新成效。</w:t>
      </w:r>
    </w:p>
    <w:p>
      <w:pPr>
        <w:overflowPunct w:val="0"/>
        <w:adjustRightInd w:val="0"/>
        <w:snapToGrid w:val="0"/>
        <w:spacing w:line="560" w:lineRule="exact"/>
        <w:ind w:firstLine="643" w:firstLineChars="200"/>
        <w:rPr>
          <w:rFonts w:eastAsia="方正楷体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（二）2024年预算草案</w:t>
      </w:r>
    </w:p>
    <w:p>
      <w:pPr>
        <w:overflowPunct w:val="0"/>
        <w:adjustRightInd w:val="0"/>
        <w:snapToGrid w:val="0"/>
        <w:spacing w:line="560" w:lineRule="exact"/>
        <w:ind w:firstLine="643" w:firstLineChars="200"/>
        <w:rPr>
          <w:rFonts w:eastAsia="方正楷体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1、2024年一般公共预算安排意见</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2024年全区一般公共预算收入安排570180万元，比上年增长6%。2024年全区一般公共预算支出安排687714万元，比上年增长0.6%。其中：一般公共服务支出57511万元，国防支出344万元，公共安全支出16524万元，教育支出144776万元，科学技术支出2200万元，文化旅游体育与传媒支出6182万元，社会保障和就业支出120570万元，卫生健康支出50033万元，节能环保支出9370万元，城乡社区支出130378万元，农林水支出68965万元，交通运输支出8791万元，资源勘探工业信息等支出10985万元，商业服务业等支出498万元，金融支出1575万元，自然资源海洋气象等支出3676万元，住房保障支出19503万元，粮油物资储备支出890万元，灾害防治及应急管理支出2022万元，债务付息支出22179万元，其他支出742万元。另外，设立预备费用于当年预算执行中的上级政策调整及其他不可预见的开支。</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按照现行财政体制，2024年一般公共预算收入570180万元，加各项税收返还、上级转移支付、调入资金、上年结转、动用预算稳定调节基金等220609万元，收入共计790789万元。2024年一般公共预算支出687714万元，加上解支出、一般债务还本支出、年终结转等103075万元，支出共计790789万元。全年预算收支平衡。</w:t>
      </w:r>
    </w:p>
    <w:p>
      <w:pPr>
        <w:overflowPunct w:val="0"/>
        <w:adjustRightInd w:val="0"/>
        <w:snapToGrid w:val="0"/>
        <w:spacing w:line="560" w:lineRule="exact"/>
        <w:ind w:firstLine="643" w:firstLineChars="200"/>
        <w:rPr>
          <w:rFonts w:eastAsia="方正楷体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2、2024年政府性基金预算安排意见</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2024年全区政府性基金预算收入安排236479万元，比上年下降47.2%。其中：国有土地使用权出让收入212193万元，彩票公益金收入900万元，城市基础设施配套费收入6068万元，污水处理费收入2000万元，专项债务对应项目专项收入15318万元。</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2024年全区政府性基金预算支出安排183202万元，比上年下降59%。其中：文化旅游体育与传媒支出20万元，城乡社区支出147198万元，农林水支出79万元，债务付息支出34545万元，其他支出1360万元。</w:t>
      </w:r>
    </w:p>
    <w:p>
      <w:pPr>
        <w:overflowPunct w:val="0"/>
        <w:adjustRightInd w:val="0"/>
        <w:snapToGrid w:val="0"/>
        <w:spacing w:line="560" w:lineRule="exact"/>
        <w:ind w:firstLine="635" w:firstLineChars="200"/>
        <w:rPr>
          <w:rFonts w:eastAsia="方正仿宋简体"/>
          <w:b/>
          <w:snapToGrid w:val="0"/>
          <w:color w:val="000000" w:themeColor="text1"/>
          <w:spacing w:val="-2"/>
          <w:kern w:val="0"/>
          <w:sz w:val="32"/>
          <w:szCs w:val="32"/>
          <w14:textFill>
            <w14:solidFill>
              <w14:schemeClr w14:val="tx1"/>
            </w14:solidFill>
          </w14:textFill>
        </w:rPr>
      </w:pPr>
      <w:r>
        <w:rPr>
          <w:rFonts w:eastAsia="方正仿宋简体"/>
          <w:b/>
          <w:snapToGrid w:val="0"/>
          <w:color w:val="000000" w:themeColor="text1"/>
          <w:spacing w:val="-2"/>
          <w:kern w:val="0"/>
          <w:sz w:val="32"/>
          <w:szCs w:val="32"/>
          <w14:textFill>
            <w14:solidFill>
              <w14:schemeClr w14:val="tx1"/>
            </w14:solidFill>
          </w14:textFill>
        </w:rPr>
        <w:t>2024年政府性基金预算收入</w:t>
      </w:r>
      <w:r>
        <w:rPr>
          <w:rFonts w:eastAsia="方正仿宋简体"/>
          <w:b/>
          <w:snapToGrid w:val="0"/>
          <w:color w:val="000000" w:themeColor="text1"/>
          <w:kern w:val="0"/>
          <w:sz w:val="32"/>
          <w:szCs w:val="32"/>
          <w14:textFill>
            <w14:solidFill>
              <w14:schemeClr w14:val="tx1"/>
            </w14:solidFill>
          </w14:textFill>
        </w:rPr>
        <w:t>236479</w:t>
      </w:r>
      <w:r>
        <w:rPr>
          <w:rFonts w:eastAsia="方正仿宋简体"/>
          <w:b/>
          <w:snapToGrid w:val="0"/>
          <w:color w:val="000000" w:themeColor="text1"/>
          <w:spacing w:val="-2"/>
          <w:kern w:val="0"/>
          <w:sz w:val="32"/>
          <w:szCs w:val="32"/>
          <w14:textFill>
            <w14:solidFill>
              <w14:schemeClr w14:val="tx1"/>
            </w14:solidFill>
          </w14:textFill>
        </w:rPr>
        <w:t>万元，加上年结转、上级补助收入等</w:t>
      </w:r>
      <w:r>
        <w:rPr>
          <w:rFonts w:eastAsia="方正仿宋简体"/>
          <w:b/>
          <w:snapToGrid w:val="0"/>
          <w:color w:val="000000" w:themeColor="text1"/>
          <w:kern w:val="0"/>
          <w:sz w:val="32"/>
          <w:szCs w:val="32"/>
          <w14:textFill>
            <w14:solidFill>
              <w14:schemeClr w14:val="tx1"/>
            </w14:solidFill>
          </w14:textFill>
        </w:rPr>
        <w:t>4183</w:t>
      </w:r>
      <w:r>
        <w:rPr>
          <w:rFonts w:eastAsia="方正仿宋简体"/>
          <w:b/>
          <w:snapToGrid w:val="0"/>
          <w:color w:val="000000" w:themeColor="text1"/>
          <w:spacing w:val="-2"/>
          <w:kern w:val="0"/>
          <w:sz w:val="32"/>
          <w:szCs w:val="32"/>
          <w14:textFill>
            <w14:solidFill>
              <w14:schemeClr w14:val="tx1"/>
            </w14:solidFill>
          </w14:textFill>
        </w:rPr>
        <w:t>元，收入共计</w:t>
      </w:r>
      <w:r>
        <w:rPr>
          <w:rFonts w:eastAsia="方正仿宋简体"/>
          <w:b/>
          <w:snapToGrid w:val="0"/>
          <w:color w:val="000000" w:themeColor="text1"/>
          <w:kern w:val="0"/>
          <w:sz w:val="32"/>
          <w:szCs w:val="32"/>
          <w14:textFill>
            <w14:solidFill>
              <w14:schemeClr w14:val="tx1"/>
            </w14:solidFill>
          </w14:textFill>
        </w:rPr>
        <w:t>240662</w:t>
      </w:r>
      <w:r>
        <w:rPr>
          <w:rFonts w:eastAsia="方正仿宋简体"/>
          <w:b/>
          <w:snapToGrid w:val="0"/>
          <w:color w:val="000000" w:themeColor="text1"/>
          <w:spacing w:val="-2"/>
          <w:kern w:val="0"/>
          <w:sz w:val="32"/>
          <w:szCs w:val="32"/>
          <w14:textFill>
            <w14:solidFill>
              <w14:schemeClr w14:val="tx1"/>
            </w14:solidFill>
          </w14:textFill>
        </w:rPr>
        <w:t>万元。2024年政府性基金预算支出</w:t>
      </w:r>
      <w:r>
        <w:rPr>
          <w:rFonts w:eastAsia="方正仿宋简体"/>
          <w:b/>
          <w:snapToGrid w:val="0"/>
          <w:color w:val="000000" w:themeColor="text1"/>
          <w:kern w:val="0"/>
          <w:sz w:val="32"/>
          <w:szCs w:val="32"/>
          <w14:textFill>
            <w14:solidFill>
              <w14:schemeClr w14:val="tx1"/>
            </w14:solidFill>
          </w14:textFill>
        </w:rPr>
        <w:t>183202</w:t>
      </w:r>
      <w:r>
        <w:rPr>
          <w:rFonts w:eastAsia="方正仿宋简体"/>
          <w:b/>
          <w:snapToGrid w:val="0"/>
          <w:color w:val="000000" w:themeColor="text1"/>
          <w:spacing w:val="-2"/>
          <w:kern w:val="0"/>
          <w:sz w:val="32"/>
          <w:szCs w:val="32"/>
          <w14:textFill>
            <w14:solidFill>
              <w14:schemeClr w14:val="tx1"/>
            </w14:solidFill>
          </w14:textFill>
        </w:rPr>
        <w:t>万元，加上解支出、调出资金</w:t>
      </w:r>
      <w:r>
        <w:rPr>
          <w:rFonts w:hint="eastAsia" w:eastAsia="方正仿宋简体"/>
          <w:b/>
          <w:snapToGrid w:val="0"/>
          <w:color w:val="000000" w:themeColor="text1"/>
          <w:spacing w:val="-2"/>
          <w:kern w:val="0"/>
          <w:sz w:val="32"/>
          <w:szCs w:val="32"/>
          <w14:textFill>
            <w14:solidFill>
              <w14:schemeClr w14:val="tx1"/>
            </w14:solidFill>
          </w14:textFill>
        </w:rPr>
        <w:t>、年终结转</w:t>
      </w:r>
      <w:r>
        <w:rPr>
          <w:rFonts w:eastAsia="方正仿宋简体"/>
          <w:b/>
          <w:snapToGrid w:val="0"/>
          <w:color w:val="000000" w:themeColor="text1"/>
          <w:spacing w:val="-2"/>
          <w:kern w:val="0"/>
          <w:sz w:val="32"/>
          <w:szCs w:val="32"/>
          <w14:textFill>
            <w14:solidFill>
              <w14:schemeClr w14:val="tx1"/>
            </w14:solidFill>
          </w14:textFill>
        </w:rPr>
        <w:t>等</w:t>
      </w:r>
      <w:r>
        <w:rPr>
          <w:rFonts w:eastAsia="方正仿宋简体"/>
          <w:b/>
          <w:snapToGrid w:val="0"/>
          <w:color w:val="000000" w:themeColor="text1"/>
          <w:kern w:val="0"/>
          <w:sz w:val="32"/>
          <w:szCs w:val="32"/>
          <w14:textFill>
            <w14:solidFill>
              <w14:schemeClr w14:val="tx1"/>
            </w14:solidFill>
          </w14:textFill>
        </w:rPr>
        <w:t>57460</w:t>
      </w:r>
      <w:r>
        <w:rPr>
          <w:rFonts w:eastAsia="方正仿宋简体"/>
          <w:b/>
          <w:snapToGrid w:val="0"/>
          <w:color w:val="000000" w:themeColor="text1"/>
          <w:spacing w:val="-2"/>
          <w:kern w:val="0"/>
          <w:sz w:val="32"/>
          <w:szCs w:val="32"/>
          <w14:textFill>
            <w14:solidFill>
              <w14:schemeClr w14:val="tx1"/>
            </w14:solidFill>
          </w14:textFill>
        </w:rPr>
        <w:t>万元，支出共计</w:t>
      </w:r>
      <w:r>
        <w:rPr>
          <w:rFonts w:eastAsia="方正仿宋简体"/>
          <w:b/>
          <w:snapToGrid w:val="0"/>
          <w:color w:val="000000" w:themeColor="text1"/>
          <w:kern w:val="0"/>
          <w:sz w:val="32"/>
          <w:szCs w:val="32"/>
          <w14:textFill>
            <w14:solidFill>
              <w14:schemeClr w14:val="tx1"/>
            </w14:solidFill>
          </w14:textFill>
        </w:rPr>
        <w:t>240662</w:t>
      </w:r>
      <w:r>
        <w:rPr>
          <w:rFonts w:eastAsia="方正仿宋简体"/>
          <w:b/>
          <w:snapToGrid w:val="0"/>
          <w:color w:val="000000" w:themeColor="text1"/>
          <w:spacing w:val="-2"/>
          <w:kern w:val="0"/>
          <w:sz w:val="32"/>
          <w:szCs w:val="32"/>
          <w14:textFill>
            <w14:solidFill>
              <w14:schemeClr w14:val="tx1"/>
            </w14:solidFill>
          </w14:textFill>
        </w:rPr>
        <w:t>万元。全年预算收支平衡。</w:t>
      </w:r>
    </w:p>
    <w:p>
      <w:pPr>
        <w:overflowPunct w:val="0"/>
        <w:adjustRightInd w:val="0"/>
        <w:snapToGrid w:val="0"/>
        <w:spacing w:line="560" w:lineRule="exact"/>
        <w:ind w:firstLine="643" w:firstLineChars="200"/>
        <w:rPr>
          <w:rFonts w:eastAsia="方正楷体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3、2024年国有资本经营预算安排意见</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2024年全区国有资本经营预算收入安排493万元，加上年结转、上级补助收入等338万元，收入共计831万元。相应安排国有资本经营预算支出831万元。全年预算收支平衡。</w:t>
      </w:r>
    </w:p>
    <w:p>
      <w:pPr>
        <w:overflowPunct w:val="0"/>
        <w:adjustRightInd w:val="0"/>
        <w:snapToGrid w:val="0"/>
        <w:spacing w:line="560" w:lineRule="exact"/>
        <w:ind w:firstLine="643" w:firstLineChars="200"/>
        <w:rPr>
          <w:rFonts w:eastAsia="方正楷体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4、2024年社会保险基金预算安排意见</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 xml:space="preserve">2024年全区社会保险基金预算收入安排98573万元，其中：机关事业单位基本养老保险基金收入68658万元，城乡居民基本养老保险基金收入29915万元。 </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2024年全区社会保险基金预算支出安排93702万元，其中：机关事业单位基本养老保险基金支出65951万元，城乡居民基本养老保险基金支出27751万元。</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highlight w:val="yellow"/>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收支相抵，当年收支结余4871万元。</w:t>
      </w:r>
    </w:p>
    <w:p>
      <w:pPr>
        <w:pStyle w:val="2"/>
        <w:overflowPunct w:val="0"/>
        <w:spacing w:line="560" w:lineRule="exact"/>
        <w:ind w:firstLine="643"/>
        <w:rPr>
          <w:rFonts w:eastAsia="仿宋_GB2312"/>
          <w:b/>
          <w:snapToGrid w:val="0"/>
          <w:color w:val="000000" w:themeColor="text1"/>
          <w:kern w:val="0"/>
          <w:sz w:val="32"/>
          <w:szCs w:val="32"/>
          <w14:textFill>
            <w14:solidFill>
              <w14:schemeClr w14:val="tx1"/>
            </w14:solidFill>
          </w14:textFill>
        </w:rPr>
      </w:pPr>
    </w:p>
    <w:p>
      <w:pPr>
        <w:overflowPunct w:val="0"/>
        <w:adjustRightInd w:val="0"/>
        <w:snapToGrid w:val="0"/>
        <w:spacing w:line="560" w:lineRule="exact"/>
        <w:jc w:val="center"/>
        <w:rPr>
          <w:rFonts w:eastAsia="方正黑体简体"/>
          <w:b/>
          <w:snapToGrid w:val="0"/>
          <w:color w:val="000000" w:themeColor="text1"/>
          <w:kern w:val="0"/>
          <w:sz w:val="32"/>
          <w:szCs w:val="32"/>
          <w14:textFill>
            <w14:solidFill>
              <w14:schemeClr w14:val="tx1"/>
            </w14:solidFill>
          </w14:textFill>
        </w:rPr>
      </w:pPr>
      <w:r>
        <w:rPr>
          <w:rFonts w:eastAsia="方正黑体简体"/>
          <w:b/>
          <w:snapToGrid w:val="0"/>
          <w:color w:val="000000" w:themeColor="text1"/>
          <w:kern w:val="0"/>
          <w:sz w:val="32"/>
          <w:szCs w:val="32"/>
          <w14:textFill>
            <w14:solidFill>
              <w14:schemeClr w14:val="tx1"/>
            </w14:solidFill>
          </w14:textFill>
        </w:rPr>
        <w:t>三、确保完成预算任务的工作措施</w:t>
      </w:r>
    </w:p>
    <w:p>
      <w:pPr>
        <w:overflowPunct w:val="0"/>
        <w:adjustRightInd w:val="0"/>
        <w:snapToGrid w:val="0"/>
        <w:spacing w:line="560" w:lineRule="exact"/>
        <w:jc w:val="center"/>
        <w:rPr>
          <w:rFonts w:eastAsia="方正仿宋简体"/>
          <w:b/>
          <w:snapToGrid w:val="0"/>
          <w:color w:val="000000" w:themeColor="text1"/>
          <w:kern w:val="0"/>
          <w:sz w:val="32"/>
          <w:szCs w:val="32"/>
          <w14:textFill>
            <w14:solidFill>
              <w14:schemeClr w14:val="tx1"/>
            </w14:solidFill>
          </w14:textFill>
        </w:rPr>
      </w:pPr>
    </w:p>
    <w:p>
      <w:pPr>
        <w:overflowPunct w:val="0"/>
        <w:spacing w:line="560" w:lineRule="exact"/>
        <w:ind w:firstLine="643" w:firstLineChars="200"/>
        <w:rPr>
          <w:b/>
          <w:color w:val="000000" w:themeColor="text1"/>
          <w14:textFill>
            <w14:solidFill>
              <w14:schemeClr w14:val="tx1"/>
            </w14:solidFill>
          </w14:textFill>
        </w:rPr>
      </w:pPr>
      <w:r>
        <w:rPr>
          <w:rFonts w:eastAsia="方正仿宋简体"/>
          <w:b/>
          <w:snapToGrid w:val="0"/>
          <w:color w:val="000000" w:themeColor="text1"/>
          <w:kern w:val="0"/>
          <w:sz w:val="32"/>
          <w:szCs w:val="32"/>
          <w14:textFill>
            <w14:solidFill>
              <w14:schemeClr w14:val="tx1"/>
            </w14:solidFill>
          </w14:textFill>
        </w:rPr>
        <w:t>2024年，我们将认真贯彻区委决策部署，全面落实区人大有关决议，更加聚力组织收入和培育财源，更加强化统筹兼顾和结构优化，更加关注财政可持续和风险可控，推动财政平稳运行、资源有力统筹、资金高效使用。</w:t>
      </w:r>
    </w:p>
    <w:p>
      <w:pPr>
        <w:overflowPunct w:val="0"/>
        <w:adjustRightInd w:val="0"/>
        <w:snapToGrid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（一）聚焦财力保障，以更大力度推进财政增收。一是紧抓收入组织。</w:t>
      </w:r>
      <w:r>
        <w:rPr>
          <w:rFonts w:eastAsia="方正仿宋简体"/>
          <w:b/>
          <w:snapToGrid w:val="0"/>
          <w:color w:val="000000" w:themeColor="text1"/>
          <w:kern w:val="0"/>
          <w:sz w:val="32"/>
          <w:szCs w:val="32"/>
          <w14:textFill>
            <w14:solidFill>
              <w14:schemeClr w14:val="tx1"/>
            </w14:solidFill>
          </w14:textFill>
        </w:rPr>
        <w:t>持续优化财税联动机制，加强收入动态监控，强化涉税信息互联共享，抓住重点税源、挖掘零散税源，实现财政收入质的有效提升和量的合理增长。加强区级部门横向沟通、区镇（街）纵向合作，有序推进土地运营，推动土地出让收入合理增长。</w:t>
      </w:r>
      <w:r>
        <w:rPr>
          <w:rFonts w:eastAsia="方正楷体简体"/>
          <w:b/>
          <w:snapToGrid w:val="0"/>
          <w:color w:val="000000" w:themeColor="text1"/>
          <w:kern w:val="0"/>
          <w:sz w:val="32"/>
          <w:szCs w:val="32"/>
          <w14:textFill>
            <w14:solidFill>
              <w14:schemeClr w14:val="tx1"/>
            </w14:solidFill>
          </w14:textFill>
        </w:rPr>
        <w:t>二是强化资金资产统筹。</w:t>
      </w:r>
      <w:r>
        <w:rPr>
          <w:rFonts w:eastAsia="方正仿宋简体"/>
          <w:b/>
          <w:snapToGrid w:val="0"/>
          <w:color w:val="000000" w:themeColor="text1"/>
          <w:kern w:val="0"/>
          <w:sz w:val="32"/>
          <w:szCs w:val="32"/>
          <w14:textFill>
            <w14:solidFill>
              <w14:schemeClr w14:val="tx1"/>
            </w14:solidFill>
          </w14:textFill>
        </w:rPr>
        <w:t>及时清理收回财政存量资金，确保沉淀资金“涓滴归公”。推进行政事业单位和国有企业资产资源盘活利用，通过调剂、出租、处置等方式，及时形成有效收入。着力构建资金统筹盘活调配、资产统一运营管理、资源流动处置变现的“大财源”管理运行机制。</w:t>
      </w:r>
      <w:r>
        <w:rPr>
          <w:rFonts w:eastAsia="方正楷体简体"/>
          <w:b/>
          <w:snapToGrid w:val="0"/>
          <w:color w:val="000000" w:themeColor="text1"/>
          <w:kern w:val="0"/>
          <w:sz w:val="32"/>
          <w:szCs w:val="32"/>
          <w14:textFill>
            <w14:solidFill>
              <w14:schemeClr w14:val="tx1"/>
            </w14:solidFill>
          </w14:textFill>
        </w:rPr>
        <w:t>三是突出税源财源培育。</w:t>
      </w:r>
      <w:r>
        <w:rPr>
          <w:rFonts w:eastAsia="方正仿宋简体"/>
          <w:b/>
          <w:snapToGrid w:val="0"/>
          <w:color w:val="000000" w:themeColor="text1"/>
          <w:kern w:val="0"/>
          <w:sz w:val="32"/>
          <w:szCs w:val="32"/>
          <w14:textFill>
            <w14:solidFill>
              <w14:schemeClr w14:val="tx1"/>
            </w14:solidFill>
          </w14:textFill>
        </w:rPr>
        <w:t>以更强的激励措施调动镇街、部门招商引资、发展经济的积极性，吸引更多企业来兖拓展项目或建立子公司，形成发展培育税源、税源形成税收、税收夯实财力的良性循环。</w:t>
      </w:r>
    </w:p>
    <w:p>
      <w:pPr>
        <w:widowControl/>
        <w:overflowPunct w:val="0"/>
        <w:spacing w:line="560" w:lineRule="exact"/>
        <w:ind w:firstLine="640"/>
        <w:rPr>
          <w:rFonts w:eastAsia="方正仿宋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（二）聚焦提质增效，以更实举措提升支出效能。一是在落实过“紧日子”要求上下功夫。</w:t>
      </w:r>
      <w:r>
        <w:rPr>
          <w:rFonts w:eastAsia="方正仿宋简体"/>
          <w:b/>
          <w:snapToGrid w:val="0"/>
          <w:color w:val="000000" w:themeColor="text1"/>
          <w:kern w:val="0"/>
          <w:sz w:val="32"/>
          <w:szCs w:val="32"/>
          <w14:textFill>
            <w14:solidFill>
              <w14:schemeClr w14:val="tx1"/>
            </w14:solidFill>
          </w14:textFill>
        </w:rPr>
        <w:t>大力压减运转经费，严控“三公”、会议培训、委托业务、信息化建设运维等一般性支出。充分发挥政府公物仓作用，能够通过公物仓调剂、租用等方式解决的资产，原则上不得新增购置或建设。统筹整合编外长期聘用人员，严格控制增人增资，优化人力资源配置。</w:t>
      </w:r>
      <w:r>
        <w:rPr>
          <w:rFonts w:eastAsia="方正楷体简体"/>
          <w:b/>
          <w:snapToGrid w:val="0"/>
          <w:color w:val="000000" w:themeColor="text1"/>
          <w:kern w:val="0"/>
          <w:sz w:val="32"/>
          <w:szCs w:val="32"/>
          <w14:textFill>
            <w14:solidFill>
              <w14:schemeClr w14:val="tx1"/>
            </w14:solidFill>
          </w14:textFill>
        </w:rPr>
        <w:t>二是在优化财政支出结构上下功夫。</w:t>
      </w:r>
      <w:r>
        <w:rPr>
          <w:rFonts w:eastAsia="方正仿宋简体"/>
          <w:b/>
          <w:snapToGrid w:val="0"/>
          <w:color w:val="000000" w:themeColor="text1"/>
          <w:kern w:val="0"/>
          <w:sz w:val="32"/>
          <w:szCs w:val="32"/>
          <w14:textFill>
            <w14:solidFill>
              <w14:schemeClr w14:val="tx1"/>
            </w14:solidFill>
          </w14:textFill>
        </w:rPr>
        <w:t>建立政策和项目按照“轻重缓急”分类保障机制，对刚性必保支出“应保尽保”，对上级有投入要求和具体标准的支出“尽力而为”，对上级有投入要求但无具体标准的支出“统筹保障”，对部门合理需求“量力而行”，确保有限资金投向重点、急需领域。</w:t>
      </w:r>
      <w:r>
        <w:rPr>
          <w:rFonts w:eastAsia="方正楷体简体"/>
          <w:b/>
          <w:snapToGrid w:val="0"/>
          <w:color w:val="000000" w:themeColor="text1"/>
          <w:kern w:val="0"/>
          <w:sz w:val="32"/>
          <w:szCs w:val="32"/>
          <w14:textFill>
            <w14:solidFill>
              <w14:schemeClr w14:val="tx1"/>
            </w14:solidFill>
          </w14:textFill>
        </w:rPr>
        <w:t>三是在强化绩效管理上下功夫。</w:t>
      </w:r>
      <w:r>
        <w:rPr>
          <w:rFonts w:eastAsia="方正仿宋简体"/>
          <w:b/>
          <w:snapToGrid w:val="0"/>
          <w:color w:val="000000" w:themeColor="text1"/>
          <w:kern w:val="0"/>
          <w:sz w:val="32"/>
          <w:szCs w:val="32"/>
          <w14:textFill>
            <w14:solidFill>
              <w14:schemeClr w14:val="tx1"/>
            </w14:solidFill>
          </w14:textFill>
        </w:rPr>
        <w:t>强化绩效目标质量审核，对未按要求设定绩效目标或审核未通过的项目，不予安排预算。对预算项目全面开展成本效益分析。优化全过程绩效管理链条，强化事前、事中、事后绩效评价结果应用。围绕部门履职效能和核心业务实施效果，推动预算绩效管理重心从项目支出向部门整体转变。</w:t>
      </w:r>
    </w:p>
    <w:p>
      <w:pPr>
        <w:overflowPunct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（三）聚焦稳中求进，以更足能量服务经济发展。一是推进政策释能</w:t>
      </w:r>
      <w:r>
        <w:rPr>
          <w:rFonts w:eastAsia="方正仿宋简体"/>
          <w:b/>
          <w:snapToGrid w:val="0"/>
          <w:color w:val="000000" w:themeColor="text1"/>
          <w:kern w:val="0"/>
          <w:sz w:val="32"/>
          <w:szCs w:val="32"/>
          <w14:textFill>
            <w14:solidFill>
              <w14:schemeClr w14:val="tx1"/>
            </w14:solidFill>
          </w14:textFill>
        </w:rPr>
        <w:t>。积极落实国家和省、市惠企政策，集成协调财政和其他政策，增强时效性和精准性，适度加力支持制造强区建设，推进产业链条延伸、实施科技创新驱动、发展数字经济、助推企业梯次攀登，加快培育新质生产力。</w:t>
      </w:r>
      <w:r>
        <w:rPr>
          <w:rFonts w:eastAsia="方正楷体简体"/>
          <w:b/>
          <w:snapToGrid w:val="0"/>
          <w:color w:val="000000" w:themeColor="text1"/>
          <w:kern w:val="0"/>
          <w:sz w:val="32"/>
          <w:szCs w:val="32"/>
          <w14:textFill>
            <w14:solidFill>
              <w14:schemeClr w14:val="tx1"/>
            </w14:solidFill>
          </w14:textFill>
        </w:rPr>
        <w:t>二是强化投资赋能。</w:t>
      </w:r>
      <w:r>
        <w:rPr>
          <w:rFonts w:eastAsia="方正仿宋简体"/>
          <w:b/>
          <w:snapToGrid w:val="0"/>
          <w:color w:val="000000" w:themeColor="text1"/>
          <w:kern w:val="0"/>
          <w:sz w:val="32"/>
          <w:szCs w:val="32"/>
          <w14:textFill>
            <w14:solidFill>
              <w14:schemeClr w14:val="tx1"/>
            </w14:solidFill>
          </w14:textFill>
        </w:rPr>
        <w:t>高质量谋划储备和筛选债券项目，全力争取新增债券额度，更好发挥债券资金稳增长、扩投资、补短板的积极作用。充分考虑财政承受能力，政府投资支出注重轻重缓急，重点保障在建续建项目，强化当年总量平衡和今后年度均衡。</w:t>
      </w:r>
      <w:r>
        <w:rPr>
          <w:rFonts w:eastAsia="方正楷体简体"/>
          <w:b/>
          <w:snapToGrid w:val="0"/>
          <w:color w:val="000000" w:themeColor="text1"/>
          <w:kern w:val="0"/>
          <w:sz w:val="32"/>
          <w:szCs w:val="32"/>
          <w14:textFill>
            <w14:solidFill>
              <w14:schemeClr w14:val="tx1"/>
            </w14:solidFill>
          </w14:textFill>
        </w:rPr>
        <w:t>三是激发消费潜能。</w:t>
      </w:r>
      <w:r>
        <w:rPr>
          <w:rFonts w:eastAsia="方正仿宋简体"/>
          <w:b/>
          <w:snapToGrid w:val="0"/>
          <w:color w:val="000000" w:themeColor="text1"/>
          <w:kern w:val="0"/>
          <w:sz w:val="32"/>
          <w:szCs w:val="32"/>
          <w14:textFill>
            <w14:solidFill>
              <w14:schemeClr w14:val="tx1"/>
            </w14:solidFill>
          </w14:textFill>
        </w:rPr>
        <w:t>积极落实促进消费的政策措施，支持扩大传统消费、激活汽车家电消费、提振房地产消费、推动文旅消费，拉动消费市场复苏回暖。</w:t>
      </w:r>
      <w:r>
        <w:rPr>
          <w:rFonts w:eastAsia="方正楷体简体"/>
          <w:b/>
          <w:snapToGrid w:val="0"/>
          <w:color w:val="000000" w:themeColor="text1"/>
          <w:kern w:val="0"/>
          <w:sz w:val="32"/>
          <w:szCs w:val="32"/>
          <w14:textFill>
            <w14:solidFill>
              <w14:schemeClr w14:val="tx1"/>
            </w14:solidFill>
          </w14:textFill>
        </w:rPr>
        <w:t>四是放大财金融合效能。</w:t>
      </w:r>
      <w:r>
        <w:rPr>
          <w:rFonts w:eastAsia="方正仿宋简体"/>
          <w:b/>
          <w:snapToGrid w:val="0"/>
          <w:color w:val="000000" w:themeColor="text1"/>
          <w:kern w:val="0"/>
          <w:sz w:val="32"/>
          <w:szCs w:val="32"/>
          <w14:textFill>
            <w14:solidFill>
              <w14:schemeClr w14:val="tx1"/>
            </w14:solidFill>
          </w14:textFill>
        </w:rPr>
        <w:t>强化政府投资基金市场化运作，积极争取与国家、省级基金合作，加快基金项目投资落地。继续发挥融资担保增信与分险作用，解决中小微企业、农业经营主体融资难题。支持金融机构紧贴企业需求开展产品创新，协同支持实体经济发展。</w:t>
      </w:r>
    </w:p>
    <w:p>
      <w:pPr>
        <w:widowControl/>
        <w:overflowPunct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（四）聚焦群众期盼，以更多成果增进民生福祉。一方面，持续推进节用裕民。</w:t>
      </w:r>
      <w:r>
        <w:rPr>
          <w:rFonts w:eastAsia="方正仿宋简体"/>
          <w:b/>
          <w:snapToGrid w:val="0"/>
          <w:color w:val="000000" w:themeColor="text1"/>
          <w:kern w:val="0"/>
          <w:sz w:val="32"/>
          <w:szCs w:val="32"/>
          <w14:textFill>
            <w14:solidFill>
              <w14:schemeClr w14:val="tx1"/>
            </w14:solidFill>
          </w14:textFill>
        </w:rPr>
        <w:t>结合政策要求和兖州实际，进一步强化各类财政性资金统筹使用，更加精准地安排投入，支持高质量充分就业、发展优质均衡教育、办好人民满意普惠托育、提升医疗服务能力、落实困难群体兜底政策、提升养老服务质量等重点民生领域。继续深化涉农资金统筹整合，支持保障乡村振兴提质扩面，助力农民增收共富，建设农业强区。拓宽老旧小区、安置社区筹融资渠道，支持交通基础设施和公共服务设施改造。夯实安全生产和生态环保资金保障，支持打好安全生产、污染防治攻坚战。</w:t>
      </w:r>
      <w:r>
        <w:rPr>
          <w:rFonts w:eastAsia="方正楷体简体"/>
          <w:b/>
          <w:snapToGrid w:val="0"/>
          <w:color w:val="000000" w:themeColor="text1"/>
          <w:kern w:val="0"/>
          <w:sz w:val="32"/>
          <w:szCs w:val="32"/>
          <w14:textFill>
            <w14:solidFill>
              <w14:schemeClr w14:val="tx1"/>
            </w14:solidFill>
          </w14:textFill>
        </w:rPr>
        <w:t>另一方面，注重民生投入质效</w:t>
      </w:r>
      <w:r>
        <w:rPr>
          <w:rFonts w:eastAsia="方正仿宋简体"/>
          <w:b/>
          <w:snapToGrid w:val="0"/>
          <w:color w:val="000000" w:themeColor="text1"/>
          <w:kern w:val="0"/>
          <w:sz w:val="32"/>
          <w:szCs w:val="32"/>
          <w14:textFill>
            <w14:solidFill>
              <w14:schemeClr w14:val="tx1"/>
            </w14:solidFill>
          </w14:textFill>
        </w:rPr>
        <w:t>。落实新增或调整民生支出政策论证评估制度，不脱离财力实际提过高目标、搞过度保障，推动区级财政民生投入当期可承受、长期可持续。强化民生支出绩效评价，调整优化相同或相近民生政策，压减低效、清理无效民生政策，确保民生资金投入提质增效。</w:t>
      </w:r>
    </w:p>
    <w:p>
      <w:pPr>
        <w:widowControl/>
        <w:overflowPunct w:val="0"/>
        <w:spacing w:line="560" w:lineRule="exact"/>
        <w:ind w:firstLine="643" w:firstLineChars="200"/>
        <w:rPr>
          <w:rFonts w:eastAsia="方正仿宋简体"/>
          <w:b/>
          <w:snapToGrid w:val="0"/>
          <w:color w:val="000000" w:themeColor="text1"/>
          <w:kern w:val="0"/>
          <w:sz w:val="32"/>
          <w:szCs w:val="32"/>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（五）聚焦安全合规，以更强担当防范底线风险。一是坚决兜牢“三保”底线。</w:t>
      </w:r>
      <w:r>
        <w:rPr>
          <w:rFonts w:eastAsia="方正仿宋简体"/>
          <w:b/>
          <w:snapToGrid w:val="0"/>
          <w:color w:val="000000" w:themeColor="text1"/>
          <w:kern w:val="0"/>
          <w:sz w:val="32"/>
          <w:szCs w:val="32"/>
          <w14:textFill>
            <w14:solidFill>
              <w14:schemeClr w14:val="tx1"/>
            </w14:solidFill>
          </w14:textFill>
        </w:rPr>
        <w:t>2024年全区“三保”支出预算29.4亿元。积极应对财政运行压力，坚持“三保”支出优先顺序，按照轻重缓急拉出必保支出清单，统筹把握预算支出的“时、度、效”，把“三保”兜牢兜实。</w:t>
      </w:r>
      <w:r>
        <w:rPr>
          <w:rFonts w:eastAsia="方正楷体简体"/>
          <w:b/>
          <w:snapToGrid w:val="0"/>
          <w:color w:val="000000" w:themeColor="text1"/>
          <w:kern w:val="0"/>
          <w:sz w:val="32"/>
          <w:szCs w:val="32"/>
          <w14:textFill>
            <w14:solidFill>
              <w14:schemeClr w14:val="tx1"/>
            </w14:solidFill>
          </w14:textFill>
        </w:rPr>
        <w:t>二是坚决守住政府债务风险底线</w:t>
      </w:r>
      <w:r>
        <w:rPr>
          <w:rFonts w:eastAsia="方正仿宋简体"/>
          <w:b/>
          <w:snapToGrid w:val="0"/>
          <w:color w:val="000000" w:themeColor="text1"/>
          <w:kern w:val="0"/>
          <w:sz w:val="32"/>
          <w:szCs w:val="32"/>
          <w14:textFill>
            <w14:solidFill>
              <w14:schemeClr w14:val="tx1"/>
            </w14:solidFill>
          </w14:textFill>
        </w:rPr>
        <w:t>。严格落实政府债务限额管理要求，全过程穿透式跟踪监控债券项目。通过预算足额安排偿债资金、争取再融资债券，如期偿还政府债务本息。严格落实化债主体责任，进一步统筹资金资产资源加大化债力度，确保债务风险等级控制在合理区间。</w:t>
      </w:r>
      <w:r>
        <w:rPr>
          <w:rFonts w:eastAsia="方正楷体简体"/>
          <w:b/>
          <w:snapToGrid w:val="0"/>
          <w:color w:val="000000" w:themeColor="text1"/>
          <w:kern w:val="0"/>
          <w:sz w:val="32"/>
          <w:szCs w:val="32"/>
          <w14:textFill>
            <w14:solidFill>
              <w14:schemeClr w14:val="tx1"/>
            </w14:solidFill>
          </w14:textFill>
        </w:rPr>
        <w:t>三是坚决预防处置融资平台风险。</w:t>
      </w:r>
      <w:r>
        <w:rPr>
          <w:rFonts w:eastAsia="方正仿宋简体"/>
          <w:b/>
          <w:snapToGrid w:val="0"/>
          <w:color w:val="000000" w:themeColor="text1"/>
          <w:kern w:val="0"/>
          <w:sz w:val="32"/>
          <w:szCs w:val="32"/>
          <w14:textFill>
            <w14:solidFill>
              <w14:schemeClr w14:val="tx1"/>
            </w14:solidFill>
          </w14:textFill>
        </w:rPr>
        <w:t>完善城投公司投融资决策、运营、内控机制，严控新增高息债务，切实降低融资成本，确保资金链安全规范。围绕城市建设、公用事业、产业投资等项目优化经营业务，提高城投公司造血能力，促进城投公司转型升级。</w:t>
      </w:r>
    </w:p>
    <w:p>
      <w:pPr>
        <w:overflowPunct w:val="0"/>
        <w:spacing w:line="560" w:lineRule="exact"/>
        <w:ind w:firstLine="643" w:firstLineChars="200"/>
        <w:rPr>
          <w:b/>
          <w:color w:val="000000" w:themeColor="text1"/>
          <w14:textFill>
            <w14:solidFill>
              <w14:schemeClr w14:val="tx1"/>
            </w14:solidFill>
          </w14:textFill>
        </w:rPr>
      </w:pPr>
      <w:r>
        <w:rPr>
          <w:rFonts w:eastAsia="方正楷体简体"/>
          <w:b/>
          <w:snapToGrid w:val="0"/>
          <w:color w:val="000000" w:themeColor="text1"/>
          <w:kern w:val="0"/>
          <w:sz w:val="32"/>
          <w:szCs w:val="32"/>
          <w14:textFill>
            <w14:solidFill>
              <w14:schemeClr w14:val="tx1"/>
            </w14:solidFill>
          </w14:textFill>
        </w:rPr>
        <w:t>（六）聚焦先破后立，以更高标准深化财政改革。一是进一步深化预算管理改革。</w:t>
      </w:r>
      <w:r>
        <w:rPr>
          <w:rFonts w:eastAsia="方正仿宋简体"/>
          <w:b/>
          <w:snapToGrid w:val="0"/>
          <w:color w:val="000000" w:themeColor="text1"/>
          <w:kern w:val="0"/>
          <w:sz w:val="32"/>
          <w:szCs w:val="32"/>
          <w14:textFill>
            <w14:solidFill>
              <w14:schemeClr w14:val="tx1"/>
            </w14:solidFill>
          </w14:textFill>
        </w:rPr>
        <w:t>强化零基预算管理，所有预算项目支出全部重新梳理、核定政策依据及支出标准。严格预算执行，严格控制预算调剂事项，严格控制新增支出政策和既有政策扩面提标。选取部分支出总额大、专业性强、技术复杂的重大政策和项目开展预算评审。加快构建形成覆盖各类预算支出的标准体系，强化支出标准应用。</w:t>
      </w:r>
      <w:r>
        <w:rPr>
          <w:rFonts w:eastAsia="方正楷体简体"/>
          <w:b/>
          <w:snapToGrid w:val="0"/>
          <w:color w:val="000000" w:themeColor="text1"/>
          <w:kern w:val="0"/>
          <w:sz w:val="32"/>
          <w:szCs w:val="32"/>
          <w14:textFill>
            <w14:solidFill>
              <w14:schemeClr w14:val="tx1"/>
            </w14:solidFill>
          </w14:textFill>
        </w:rPr>
        <w:t>二是建立全过程财会监督机制。</w:t>
      </w:r>
      <w:r>
        <w:rPr>
          <w:rFonts w:eastAsia="方正仿宋简体"/>
          <w:b/>
          <w:snapToGrid w:val="0"/>
          <w:color w:val="000000" w:themeColor="text1"/>
          <w:kern w:val="0"/>
          <w:sz w:val="32"/>
          <w:szCs w:val="32"/>
          <w14:textFill>
            <w14:solidFill>
              <w14:schemeClr w14:val="tx1"/>
            </w14:solidFill>
          </w14:textFill>
        </w:rPr>
        <w:t>制定《进一步加强财会监督工作的实施方案》、《全过程财会监督暂行办法》、《财政审计协同推进财会监督和审计监督实施方案》等财会监督制度。对预算单位财务执行情况探索开展联审互查。聚焦过“紧日子”、预决算公开、国资管理、政府采购、民生实事等重点领域以及惠民、惠农、惠企补贴资金等监督薄弱环节开展专项检查，坚决整治财经纪律执行不严、财务管理不规范、超标准超范围开支等违规违纪行为。</w:t>
      </w:r>
      <w:r>
        <w:rPr>
          <w:rFonts w:eastAsia="方正楷体简体"/>
          <w:b/>
          <w:snapToGrid w:val="0"/>
          <w:color w:val="000000" w:themeColor="text1"/>
          <w:kern w:val="0"/>
          <w:sz w:val="32"/>
          <w:szCs w:val="32"/>
          <w14:textFill>
            <w14:solidFill>
              <w14:schemeClr w14:val="tx1"/>
            </w14:solidFill>
          </w14:textFill>
        </w:rPr>
        <w:t>三是实施国有企业改革深化提升行动。</w:t>
      </w:r>
      <w:r>
        <w:rPr>
          <w:rFonts w:eastAsia="方正仿宋简体"/>
          <w:b/>
          <w:snapToGrid w:val="0"/>
          <w:color w:val="000000" w:themeColor="text1"/>
          <w:kern w:val="0"/>
          <w:sz w:val="32"/>
          <w:szCs w:val="32"/>
          <w14:textFill>
            <w14:solidFill>
              <w14:schemeClr w14:val="tx1"/>
            </w14:solidFill>
          </w14:textFill>
        </w:rPr>
        <w:t>稳妥推进主业相同、业务相近的企业改革重组，分步在城市服务板块、农文旅板块、济东投资板块铺开国企整合划转工作，系统完善国企功能、明确主责主业，科学设定企业架构、优化岗位体系，加快建设现代新国企。</w:t>
      </w:r>
      <w:r>
        <w:rPr>
          <w:rFonts w:eastAsia="方正仿宋简体"/>
          <w:b/>
          <w:bCs/>
          <w:color w:val="000000" w:themeColor="text1"/>
          <w:sz w:val="32"/>
          <w:szCs w:val="32"/>
          <w14:textFill>
            <w14:solidFill>
              <w14:schemeClr w14:val="tx1"/>
            </w14:solidFill>
          </w14:textFill>
        </w:rPr>
        <w:t>坚持党建和经营“一本账”，探索实施“定量+定性”党建与经营业绩相结合的指标考核体系，调动国企干部职工干事创业积极性。</w:t>
      </w:r>
    </w:p>
    <w:p>
      <w:pPr>
        <w:widowControl/>
        <w:overflowPunct w:val="0"/>
        <w:spacing w:line="560" w:lineRule="exact"/>
        <w:ind w:firstLine="643" w:firstLineChars="200"/>
        <w:rPr>
          <w:rFonts w:eastAsia="方正仿宋简体"/>
          <w:b/>
          <w:bCs/>
          <w:color w:val="000000" w:themeColor="text1"/>
          <w:sz w:val="32"/>
          <w:szCs w:val="32"/>
          <w14:textFill>
            <w14:solidFill>
              <w14:schemeClr w14:val="tx1"/>
            </w14:solidFill>
          </w14:textFill>
        </w:rPr>
      </w:pPr>
      <w:r>
        <w:rPr>
          <w:rFonts w:eastAsia="方正仿宋简体"/>
          <w:b/>
          <w:bCs/>
          <w:color w:val="000000" w:themeColor="text1"/>
          <w:sz w:val="32"/>
          <w:szCs w:val="32"/>
          <w14:textFill>
            <w14:solidFill>
              <w14:schemeClr w14:val="tx1"/>
            </w14:solidFill>
          </w14:textFill>
        </w:rPr>
        <w:t>新的一年，我们将在区委的坚强领导下，在区人大及其常委会的监督指导下，始终保持爬坡过坎的压力感、奋勇向前的使命感、干事创业的责任感，坚定信心、踔厉奋发、勇毅前行，全力以赴完成各项目标任务，奋力开创兖州争先进位和高质量发展新局面。</w:t>
      </w:r>
    </w:p>
    <w:p>
      <w:pPr>
        <w:pStyle w:val="2"/>
        <w:spacing w:line="560" w:lineRule="exact"/>
        <w:ind w:firstLine="723"/>
        <w:rPr>
          <w:b/>
          <w:color w:val="000000" w:themeColor="text1"/>
          <w14:textFill>
            <w14:solidFill>
              <w14:schemeClr w14:val="tx1"/>
            </w14:solidFill>
          </w14:textFill>
        </w:rPr>
      </w:pPr>
    </w:p>
    <w:p>
      <w:pPr>
        <w:pStyle w:val="2"/>
        <w:spacing w:line="560" w:lineRule="exact"/>
        <w:ind w:firstLine="0" w:firstLineChars="0"/>
        <w:rPr>
          <w:b/>
          <w:color w:val="000000" w:themeColor="text1"/>
          <w14:textFill>
            <w14:solidFill>
              <w14:schemeClr w14:val="tx1"/>
            </w14:solidFill>
          </w14:textFill>
        </w:rPr>
      </w:pPr>
    </w:p>
    <w:p>
      <w:pPr>
        <w:pStyle w:val="2"/>
        <w:spacing w:line="560" w:lineRule="exact"/>
        <w:ind w:firstLine="0" w:firstLineChars="0"/>
        <w:rPr>
          <w:b/>
          <w:color w:val="000000" w:themeColor="text1"/>
          <w14:textFill>
            <w14:solidFill>
              <w14:schemeClr w14:val="tx1"/>
            </w14:solidFill>
          </w14:textFill>
        </w:rPr>
      </w:pPr>
    </w:p>
    <w:p>
      <w:pPr>
        <w:pStyle w:val="2"/>
        <w:spacing w:line="560" w:lineRule="exact"/>
        <w:ind w:firstLine="0" w:firstLineChars="0"/>
        <w:rPr>
          <w:b/>
          <w:color w:val="000000" w:themeColor="text1"/>
          <w14:textFill>
            <w14:solidFill>
              <w14:schemeClr w14:val="tx1"/>
            </w14:solidFill>
          </w14:textFill>
        </w:rPr>
      </w:pPr>
    </w:p>
    <w:p>
      <w:pPr>
        <w:pStyle w:val="2"/>
        <w:spacing w:line="560" w:lineRule="exact"/>
        <w:ind w:firstLine="0" w:firstLineChars="0"/>
        <w:rPr>
          <w:b/>
          <w:color w:val="000000" w:themeColor="text1"/>
          <w14:textFill>
            <w14:solidFill>
              <w14:schemeClr w14:val="tx1"/>
            </w14:solidFill>
          </w14:textFill>
        </w:rPr>
      </w:pPr>
    </w:p>
    <w:p>
      <w:pPr>
        <w:pStyle w:val="2"/>
        <w:spacing w:line="560" w:lineRule="exact"/>
        <w:ind w:firstLine="0" w:firstLineChars="0"/>
        <w:rPr>
          <w:b/>
          <w:color w:val="000000" w:themeColor="text1"/>
          <w14:textFill>
            <w14:solidFill>
              <w14:schemeClr w14:val="tx1"/>
            </w14:solidFill>
          </w14:textFill>
        </w:rPr>
      </w:pPr>
    </w:p>
    <w:p>
      <w:pPr>
        <w:pStyle w:val="2"/>
        <w:spacing w:line="560" w:lineRule="exact"/>
        <w:ind w:firstLine="0" w:firstLineChars="0"/>
        <w:rPr>
          <w:b/>
          <w:color w:val="000000" w:themeColor="text1"/>
          <w14:textFill>
            <w14:solidFill>
              <w14:schemeClr w14:val="tx1"/>
            </w14:solidFill>
          </w14:textFill>
        </w:rPr>
      </w:pPr>
    </w:p>
    <w:p>
      <w:pPr>
        <w:pStyle w:val="2"/>
        <w:spacing w:line="560" w:lineRule="exact"/>
        <w:ind w:firstLine="0" w:firstLineChars="0"/>
        <w:rPr>
          <w:b/>
          <w:color w:val="000000" w:themeColor="text1"/>
          <w14:textFill>
            <w14:solidFill>
              <w14:schemeClr w14:val="tx1"/>
            </w14:solidFill>
          </w14:textFill>
        </w:rPr>
      </w:pPr>
    </w:p>
    <w:p>
      <w:pPr>
        <w:pStyle w:val="2"/>
        <w:spacing w:line="560" w:lineRule="exact"/>
        <w:ind w:firstLine="0" w:firstLineChars="0"/>
        <w:rPr>
          <w:b/>
          <w:color w:val="000000" w:themeColor="text1"/>
          <w14:textFill>
            <w14:solidFill>
              <w14:schemeClr w14:val="tx1"/>
            </w14:solidFill>
          </w14:textFill>
        </w:rPr>
      </w:pPr>
    </w:p>
    <w:p>
      <w:pPr>
        <w:pStyle w:val="2"/>
        <w:spacing w:line="560" w:lineRule="exact"/>
        <w:ind w:firstLine="0" w:firstLineChars="0"/>
        <w:rPr>
          <w:b/>
          <w:color w:val="000000" w:themeColor="text1"/>
          <w14:textFill>
            <w14:solidFill>
              <w14:schemeClr w14:val="tx1"/>
            </w14:solidFill>
          </w14:textFill>
        </w:rPr>
      </w:pPr>
    </w:p>
    <w:p>
      <w:pPr>
        <w:pStyle w:val="2"/>
        <w:spacing w:line="560" w:lineRule="exact"/>
        <w:ind w:firstLine="0" w:firstLineChars="0"/>
        <w:rPr>
          <w:b/>
          <w:color w:val="000000" w:themeColor="text1"/>
          <w14:textFill>
            <w14:solidFill>
              <w14:schemeClr w14:val="tx1"/>
            </w14:solidFill>
          </w14:textFill>
        </w:rPr>
      </w:pPr>
    </w:p>
    <w:p>
      <w:pPr>
        <w:pStyle w:val="2"/>
        <w:spacing w:line="560" w:lineRule="exact"/>
        <w:ind w:firstLine="0" w:firstLineChars="0"/>
        <w:rPr>
          <w:b/>
          <w:color w:val="000000" w:themeColor="text1"/>
          <w14:textFill>
            <w14:solidFill>
              <w14:schemeClr w14:val="tx1"/>
            </w14:solidFill>
          </w14:textFill>
        </w:rPr>
      </w:pPr>
    </w:p>
    <w:p>
      <w:pPr>
        <w:pStyle w:val="2"/>
        <w:spacing w:line="560" w:lineRule="exact"/>
        <w:ind w:firstLine="0" w:firstLineChars="0"/>
        <w:rPr>
          <w:b/>
          <w:color w:val="000000" w:themeColor="text1"/>
          <w14:textFill>
            <w14:solidFill>
              <w14:schemeClr w14:val="tx1"/>
            </w14:solidFill>
          </w14:textFill>
        </w:rPr>
      </w:pPr>
    </w:p>
    <w:p>
      <w:pPr>
        <w:pStyle w:val="2"/>
        <w:spacing w:line="640" w:lineRule="exact"/>
        <w:ind w:firstLine="0" w:firstLineChars="0"/>
        <w:rPr>
          <w:b/>
          <w:color w:val="000000" w:themeColor="text1"/>
          <w14:textFill>
            <w14:solidFill>
              <w14:schemeClr w14:val="tx1"/>
            </w14:solidFill>
          </w14:textFill>
        </w:rPr>
      </w:pPr>
    </w:p>
    <w:p>
      <w:pPr>
        <w:pStyle w:val="2"/>
        <w:spacing w:line="560" w:lineRule="exact"/>
        <w:ind w:firstLine="0" w:firstLineChars="0"/>
        <w:rPr>
          <w:b/>
          <w:color w:val="000000" w:themeColor="text1"/>
          <w14:textFill>
            <w14:solidFill>
              <w14:schemeClr w14:val="tx1"/>
            </w14:solidFill>
          </w14:textFill>
        </w:rPr>
      </w:pPr>
    </w:p>
    <w:p>
      <w:pPr>
        <w:spacing w:line="560" w:lineRule="exact"/>
        <w:ind w:left="105" w:leftChars="50" w:right="105" w:rightChars="50"/>
        <w:rPr>
          <w:rFonts w:eastAsia="方正黑体简体"/>
          <w:b/>
          <w:bCs/>
          <w:snapToGrid w:val="0"/>
          <w:color w:val="000000" w:themeColor="text1"/>
          <w:kern w:val="0"/>
          <w:szCs w:val="32"/>
          <w14:textFill>
            <w14:solidFill>
              <w14:schemeClr w14:val="tx1"/>
            </w14:solidFill>
          </w14:textFill>
        </w:rPr>
      </w:pPr>
      <w:r>
        <w:rPr>
          <w:b/>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589915</wp:posOffset>
                </wp:positionV>
                <wp:extent cx="5579745" cy="0"/>
                <wp:effectExtent l="0" t="0" r="20955" b="19050"/>
                <wp:wrapSquare wrapText="bothSides"/>
                <wp:docPr id="2"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ln>
                        <a:effectLst/>
                      </wps:spPr>
                      <wps:bodyPr/>
                    </wps:wsp>
                  </a:graphicData>
                </a:graphic>
              </wp:anchor>
            </w:drawing>
          </mc:Choice>
          <mc:Fallback>
            <w:pict>
              <v:line id="直接连接符 4" o:spid="_x0000_s1026" o:spt="20" style="position:absolute;left:0pt;margin-top:46.45pt;height:0pt;width:439.35pt;mso-position-horizontal:center;mso-position-horizontal-relative:margin;mso-wrap-distance-bottom:0pt;mso-wrap-distance-left:9pt;mso-wrap-distance-right:9pt;mso-wrap-distance-top:0pt;z-index:251659264;mso-width-relative:page;mso-height-relative:page;" filled="f" stroked="t" coordsize="21600,21600" o:gfxdata="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rREkNQA&#10;AAAGAQAADwAAAAAAAAABACAAAAAiAAAAZHJzL2Rvd25yZXYueG1sUEsBAhQAFAAAAAgAh07iQG3D&#10;WD7qAQAAuAMAAA4AAAAAAAAAAQAgAAAAIwEAAGRycy9lMm9Eb2MueG1sUEsFBgAAAAAGAAYAWQEA&#10;AH8FAAAAAA==&#10;">
                <v:fill on="f" focussize="0,0"/>
                <v:stroke color="#000000" joinstyle="round"/>
                <v:imagedata o:title=""/>
                <o:lock v:ext="edit" aspectratio="f"/>
                <w10:wrap type="square"/>
              </v:line>
            </w:pict>
          </mc:Fallback>
        </mc:AlternateContent>
      </w:r>
      <w:r>
        <w:rPr>
          <w:b/>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128905</wp:posOffset>
                </wp:positionV>
                <wp:extent cx="5579745" cy="0"/>
                <wp:effectExtent l="0" t="0" r="20955" b="19050"/>
                <wp:wrapSquare wrapText="bothSides"/>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ln>
                        <a:effectLst/>
                      </wps:spPr>
                      <wps:bodyPr/>
                    </wps:wsp>
                  </a:graphicData>
                </a:graphic>
              </wp:anchor>
            </w:drawing>
          </mc:Choice>
          <mc:Fallback>
            <w:pict>
              <v:line id="直接连接符 3" o:spid="_x0000_s1026" o:spt="20" style="position:absolute;left:0pt;margin-top:10.15pt;height:0pt;width:439.35pt;mso-position-horizontal:center;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J5b2NQA&#10;AAAGAQAADwAAAAAAAAABACAAAAAiAAAAZHJzL2Rvd25yZXYueG1sUEsBAhQAFAAAAAgAh07iQIsz&#10;gjHqAQAAuAMAAA4AAAAAAAAAAQAgAAAAIwEAAGRycy9lMm9Eb2MueG1sUEsFBgAAAAAGAAYAWQEA&#10;AH8FAAAAAA==&#10;">
                <v:fill on="f" focussize="0,0"/>
                <v:stroke color="#000000" joinstyle="round"/>
                <v:imagedata o:title=""/>
                <o:lock v:ext="edit" aspectratio="f"/>
                <w10:wrap type="square"/>
              </v:line>
            </w:pict>
          </mc:Fallback>
        </mc:AlternateContent>
      </w:r>
      <w:r>
        <w:rPr>
          <w:rFonts w:eastAsia="方正仿宋简体"/>
          <w:b/>
          <w:bCs/>
          <w:snapToGrid w:val="0"/>
          <w:color w:val="000000" w:themeColor="text1"/>
          <w:kern w:val="0"/>
          <w:sz w:val="28"/>
          <w:szCs w:val="28"/>
          <w14:textFill>
            <w14:solidFill>
              <w14:schemeClr w14:val="tx1"/>
            </w14:solidFill>
          </w14:textFill>
        </w:rPr>
        <w:t>济宁市兖州区十九届人大三次会议秘书处    　2024年1月8日印发</w:t>
      </w:r>
    </w:p>
    <w:sectPr>
      <w:headerReference r:id="rId3" w:type="default"/>
      <w:footerReference r:id="rId5" w:type="default"/>
      <w:headerReference r:id="rId4" w:type="even"/>
      <w:footerReference r:id="rId6" w:type="even"/>
      <w:pgSz w:w="11906" w:h="16838"/>
      <w:pgMar w:top="2154" w:right="1588" w:bottom="1304" w:left="1588" w:header="136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FZHTK--GBK1-0">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adjustRightInd w:val="0"/>
      <w:spacing w:line="240" w:lineRule="exact"/>
      <w:rPr>
        <w:rStyle w:val="20"/>
        <w:rFonts w:eastAsia="方正小标宋简体"/>
        <w:b/>
        <w:sz w:val="28"/>
        <w:szCs w:val="28"/>
      </w:rPr>
    </w:pPr>
    <w:r>
      <w:rPr>
        <w:rStyle w:val="20"/>
        <w:rFonts w:eastAsia="方正小标宋简体"/>
        <w:b/>
        <w:sz w:val="28"/>
        <w:szCs w:val="28"/>
      </w:rPr>
      <w:t xml:space="preserve">— </w:t>
    </w:r>
    <w:r>
      <w:rPr>
        <w:rFonts w:eastAsia="方正小标宋简体"/>
        <w:b/>
        <w:sz w:val="28"/>
        <w:szCs w:val="28"/>
      </w:rPr>
      <w:fldChar w:fldCharType="begin"/>
    </w:r>
    <w:r>
      <w:rPr>
        <w:rStyle w:val="20"/>
        <w:rFonts w:eastAsia="方正小标宋简体"/>
        <w:b/>
        <w:sz w:val="28"/>
        <w:szCs w:val="28"/>
      </w:rPr>
      <w:instrText xml:space="preserve">PAGE  </w:instrText>
    </w:r>
    <w:r>
      <w:rPr>
        <w:rFonts w:eastAsia="方正小标宋简体"/>
        <w:b/>
        <w:sz w:val="28"/>
        <w:szCs w:val="28"/>
      </w:rPr>
      <w:fldChar w:fldCharType="separate"/>
    </w:r>
    <w:r>
      <w:rPr>
        <w:rStyle w:val="20"/>
        <w:rFonts w:eastAsia="方正小标宋简体"/>
        <w:b/>
        <w:sz w:val="28"/>
        <w:szCs w:val="28"/>
      </w:rPr>
      <w:t>18</w:t>
    </w:r>
    <w:r>
      <w:rPr>
        <w:rFonts w:eastAsia="方正小标宋简体"/>
        <w:b/>
        <w:sz w:val="28"/>
        <w:szCs w:val="28"/>
      </w:rPr>
      <w:fldChar w:fldCharType="end"/>
    </w:r>
    <w:r>
      <w:rPr>
        <w:rStyle w:val="20"/>
        <w:rFonts w:eastAsia="方正小标宋简体"/>
        <w:b/>
        <w:sz w:val="28"/>
        <w:szCs w:val="28"/>
      </w:rPr>
      <w:t xml:space="preserve"> —</w:t>
    </w:r>
  </w:p>
  <w:p>
    <w:pPr>
      <w:pStyle w:val="7"/>
      <w:adjustRightInd w:val="0"/>
      <w:spacing w:line="24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20"/>
      </w:rPr>
    </w:pPr>
    <w:r>
      <w:fldChar w:fldCharType="begin"/>
    </w:r>
    <w:r>
      <w:rPr>
        <w:rStyle w:val="20"/>
      </w:rPr>
      <w:instrText xml:space="preserve">PAGE  </w:instrTex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172A27"/>
    <w:rsid w:val="0000109C"/>
    <w:rsid w:val="00001908"/>
    <w:rsid w:val="0000380D"/>
    <w:rsid w:val="0000388B"/>
    <w:rsid w:val="00003F38"/>
    <w:rsid w:val="00004782"/>
    <w:rsid w:val="00004BFE"/>
    <w:rsid w:val="00006087"/>
    <w:rsid w:val="00006C8F"/>
    <w:rsid w:val="00006E58"/>
    <w:rsid w:val="00007096"/>
    <w:rsid w:val="0000764F"/>
    <w:rsid w:val="0000795A"/>
    <w:rsid w:val="000100EA"/>
    <w:rsid w:val="000101CD"/>
    <w:rsid w:val="00010DFC"/>
    <w:rsid w:val="00011462"/>
    <w:rsid w:val="0001170E"/>
    <w:rsid w:val="00011D61"/>
    <w:rsid w:val="00012228"/>
    <w:rsid w:val="00013B40"/>
    <w:rsid w:val="00014074"/>
    <w:rsid w:val="000140A5"/>
    <w:rsid w:val="00014506"/>
    <w:rsid w:val="0001461A"/>
    <w:rsid w:val="00014DF8"/>
    <w:rsid w:val="00014EE8"/>
    <w:rsid w:val="0001508D"/>
    <w:rsid w:val="000151B9"/>
    <w:rsid w:val="00015691"/>
    <w:rsid w:val="00015A46"/>
    <w:rsid w:val="000162C0"/>
    <w:rsid w:val="00017480"/>
    <w:rsid w:val="000175B2"/>
    <w:rsid w:val="00020F5B"/>
    <w:rsid w:val="00021437"/>
    <w:rsid w:val="00021877"/>
    <w:rsid w:val="00021A59"/>
    <w:rsid w:val="00021B16"/>
    <w:rsid w:val="00022C27"/>
    <w:rsid w:val="00023100"/>
    <w:rsid w:val="0002515B"/>
    <w:rsid w:val="000251A7"/>
    <w:rsid w:val="0002529D"/>
    <w:rsid w:val="00025647"/>
    <w:rsid w:val="000256AA"/>
    <w:rsid w:val="000258CC"/>
    <w:rsid w:val="0002635C"/>
    <w:rsid w:val="00027FA2"/>
    <w:rsid w:val="00030000"/>
    <w:rsid w:val="00030CD8"/>
    <w:rsid w:val="00031CEF"/>
    <w:rsid w:val="00031EF7"/>
    <w:rsid w:val="000324D6"/>
    <w:rsid w:val="00032A58"/>
    <w:rsid w:val="0003353C"/>
    <w:rsid w:val="000337E1"/>
    <w:rsid w:val="0003508F"/>
    <w:rsid w:val="000356B2"/>
    <w:rsid w:val="000357CE"/>
    <w:rsid w:val="00035ED3"/>
    <w:rsid w:val="0003667C"/>
    <w:rsid w:val="0003682C"/>
    <w:rsid w:val="00040030"/>
    <w:rsid w:val="000412DF"/>
    <w:rsid w:val="00041C26"/>
    <w:rsid w:val="00042286"/>
    <w:rsid w:val="00042508"/>
    <w:rsid w:val="00042E29"/>
    <w:rsid w:val="0004356A"/>
    <w:rsid w:val="00044423"/>
    <w:rsid w:val="00045B82"/>
    <w:rsid w:val="00045CD0"/>
    <w:rsid w:val="00046DDE"/>
    <w:rsid w:val="000475A8"/>
    <w:rsid w:val="00047BB7"/>
    <w:rsid w:val="000509CF"/>
    <w:rsid w:val="00050E36"/>
    <w:rsid w:val="00050EE2"/>
    <w:rsid w:val="000514DF"/>
    <w:rsid w:val="00052108"/>
    <w:rsid w:val="000524CE"/>
    <w:rsid w:val="00053313"/>
    <w:rsid w:val="00053752"/>
    <w:rsid w:val="00053BF3"/>
    <w:rsid w:val="00053CFC"/>
    <w:rsid w:val="000548C8"/>
    <w:rsid w:val="0005541D"/>
    <w:rsid w:val="00055A30"/>
    <w:rsid w:val="000565A4"/>
    <w:rsid w:val="000567E7"/>
    <w:rsid w:val="000569B7"/>
    <w:rsid w:val="00057073"/>
    <w:rsid w:val="000579BF"/>
    <w:rsid w:val="000615C5"/>
    <w:rsid w:val="00063107"/>
    <w:rsid w:val="000640CC"/>
    <w:rsid w:val="0006426F"/>
    <w:rsid w:val="00064580"/>
    <w:rsid w:val="00064BE3"/>
    <w:rsid w:val="00064D81"/>
    <w:rsid w:val="000650CA"/>
    <w:rsid w:val="00065EF9"/>
    <w:rsid w:val="0006675E"/>
    <w:rsid w:val="00066BD6"/>
    <w:rsid w:val="00066F18"/>
    <w:rsid w:val="00067017"/>
    <w:rsid w:val="00067D04"/>
    <w:rsid w:val="000706C6"/>
    <w:rsid w:val="00070892"/>
    <w:rsid w:val="00070ACA"/>
    <w:rsid w:val="00070DAF"/>
    <w:rsid w:val="00070E35"/>
    <w:rsid w:val="00070FD4"/>
    <w:rsid w:val="00071B6C"/>
    <w:rsid w:val="00071E29"/>
    <w:rsid w:val="00071F2F"/>
    <w:rsid w:val="00072D40"/>
    <w:rsid w:val="000737FB"/>
    <w:rsid w:val="00075050"/>
    <w:rsid w:val="000750AD"/>
    <w:rsid w:val="000750D3"/>
    <w:rsid w:val="0007552C"/>
    <w:rsid w:val="00075CF3"/>
    <w:rsid w:val="00076BA8"/>
    <w:rsid w:val="00076E7B"/>
    <w:rsid w:val="00077484"/>
    <w:rsid w:val="00077804"/>
    <w:rsid w:val="0007787E"/>
    <w:rsid w:val="00080955"/>
    <w:rsid w:val="00081F17"/>
    <w:rsid w:val="0008364D"/>
    <w:rsid w:val="0008369A"/>
    <w:rsid w:val="00083FAF"/>
    <w:rsid w:val="00084057"/>
    <w:rsid w:val="00084587"/>
    <w:rsid w:val="00084EC4"/>
    <w:rsid w:val="000856BB"/>
    <w:rsid w:val="0008584A"/>
    <w:rsid w:val="00086087"/>
    <w:rsid w:val="000862DD"/>
    <w:rsid w:val="000866C2"/>
    <w:rsid w:val="00086C2A"/>
    <w:rsid w:val="0008741E"/>
    <w:rsid w:val="000875D6"/>
    <w:rsid w:val="00087EFF"/>
    <w:rsid w:val="0009170B"/>
    <w:rsid w:val="00091A6A"/>
    <w:rsid w:val="00091B86"/>
    <w:rsid w:val="00091D03"/>
    <w:rsid w:val="000923EA"/>
    <w:rsid w:val="00092D82"/>
    <w:rsid w:val="000931D4"/>
    <w:rsid w:val="00094A3E"/>
    <w:rsid w:val="000960D8"/>
    <w:rsid w:val="00096268"/>
    <w:rsid w:val="00096350"/>
    <w:rsid w:val="000A1133"/>
    <w:rsid w:val="000A1C1D"/>
    <w:rsid w:val="000A2012"/>
    <w:rsid w:val="000A2E35"/>
    <w:rsid w:val="000A44EF"/>
    <w:rsid w:val="000A4D4B"/>
    <w:rsid w:val="000A61EB"/>
    <w:rsid w:val="000A65DD"/>
    <w:rsid w:val="000B0579"/>
    <w:rsid w:val="000B05F4"/>
    <w:rsid w:val="000B0B13"/>
    <w:rsid w:val="000B0ED6"/>
    <w:rsid w:val="000B1418"/>
    <w:rsid w:val="000B1C35"/>
    <w:rsid w:val="000B241A"/>
    <w:rsid w:val="000B290B"/>
    <w:rsid w:val="000B2A54"/>
    <w:rsid w:val="000B2DE5"/>
    <w:rsid w:val="000B3303"/>
    <w:rsid w:val="000B343C"/>
    <w:rsid w:val="000B35A2"/>
    <w:rsid w:val="000B38E3"/>
    <w:rsid w:val="000B4256"/>
    <w:rsid w:val="000B4B54"/>
    <w:rsid w:val="000B4E2B"/>
    <w:rsid w:val="000B5F39"/>
    <w:rsid w:val="000B60C6"/>
    <w:rsid w:val="000B658A"/>
    <w:rsid w:val="000B6881"/>
    <w:rsid w:val="000B6A2B"/>
    <w:rsid w:val="000B6C33"/>
    <w:rsid w:val="000B6DE2"/>
    <w:rsid w:val="000B7635"/>
    <w:rsid w:val="000C1DF6"/>
    <w:rsid w:val="000C2280"/>
    <w:rsid w:val="000C319C"/>
    <w:rsid w:val="000C36A7"/>
    <w:rsid w:val="000C3D50"/>
    <w:rsid w:val="000C4134"/>
    <w:rsid w:val="000C433B"/>
    <w:rsid w:val="000C45B5"/>
    <w:rsid w:val="000C52AB"/>
    <w:rsid w:val="000C59DC"/>
    <w:rsid w:val="000C5B0C"/>
    <w:rsid w:val="000C5CF0"/>
    <w:rsid w:val="000C712E"/>
    <w:rsid w:val="000C7155"/>
    <w:rsid w:val="000C7B87"/>
    <w:rsid w:val="000D004D"/>
    <w:rsid w:val="000D085F"/>
    <w:rsid w:val="000D1933"/>
    <w:rsid w:val="000D23C1"/>
    <w:rsid w:val="000D3130"/>
    <w:rsid w:val="000D4347"/>
    <w:rsid w:val="000D4AC5"/>
    <w:rsid w:val="000D531A"/>
    <w:rsid w:val="000D5F6C"/>
    <w:rsid w:val="000D663F"/>
    <w:rsid w:val="000D69D3"/>
    <w:rsid w:val="000D6DB9"/>
    <w:rsid w:val="000D757A"/>
    <w:rsid w:val="000D7DB0"/>
    <w:rsid w:val="000E318F"/>
    <w:rsid w:val="000E4217"/>
    <w:rsid w:val="000E7302"/>
    <w:rsid w:val="000F0426"/>
    <w:rsid w:val="000F1705"/>
    <w:rsid w:val="000F18B8"/>
    <w:rsid w:val="000F25DB"/>
    <w:rsid w:val="000F2B03"/>
    <w:rsid w:val="000F397C"/>
    <w:rsid w:val="000F43DD"/>
    <w:rsid w:val="000F4C02"/>
    <w:rsid w:val="000F5060"/>
    <w:rsid w:val="000F51F0"/>
    <w:rsid w:val="000F559D"/>
    <w:rsid w:val="000F5743"/>
    <w:rsid w:val="000F6670"/>
    <w:rsid w:val="000F6B85"/>
    <w:rsid w:val="000F6E50"/>
    <w:rsid w:val="000F744D"/>
    <w:rsid w:val="000F7588"/>
    <w:rsid w:val="000F7741"/>
    <w:rsid w:val="000F78E4"/>
    <w:rsid w:val="000F798A"/>
    <w:rsid w:val="00101098"/>
    <w:rsid w:val="001016CD"/>
    <w:rsid w:val="00101A75"/>
    <w:rsid w:val="001026E6"/>
    <w:rsid w:val="00102E5D"/>
    <w:rsid w:val="00103974"/>
    <w:rsid w:val="001050B7"/>
    <w:rsid w:val="0010515C"/>
    <w:rsid w:val="001051F1"/>
    <w:rsid w:val="001055A8"/>
    <w:rsid w:val="001057F6"/>
    <w:rsid w:val="00105C95"/>
    <w:rsid w:val="0010697A"/>
    <w:rsid w:val="00106E1B"/>
    <w:rsid w:val="00107416"/>
    <w:rsid w:val="001074AF"/>
    <w:rsid w:val="001077E9"/>
    <w:rsid w:val="00107FB1"/>
    <w:rsid w:val="00110118"/>
    <w:rsid w:val="00110606"/>
    <w:rsid w:val="00112210"/>
    <w:rsid w:val="00112A4E"/>
    <w:rsid w:val="00113CA3"/>
    <w:rsid w:val="00113E03"/>
    <w:rsid w:val="001152B4"/>
    <w:rsid w:val="0011685A"/>
    <w:rsid w:val="00116947"/>
    <w:rsid w:val="00117945"/>
    <w:rsid w:val="00117CA5"/>
    <w:rsid w:val="00120B4A"/>
    <w:rsid w:val="001217FF"/>
    <w:rsid w:val="00121AAC"/>
    <w:rsid w:val="00122286"/>
    <w:rsid w:val="001223F1"/>
    <w:rsid w:val="00122B10"/>
    <w:rsid w:val="001252E4"/>
    <w:rsid w:val="00125598"/>
    <w:rsid w:val="00126AE9"/>
    <w:rsid w:val="0012706A"/>
    <w:rsid w:val="001309B6"/>
    <w:rsid w:val="00131B4A"/>
    <w:rsid w:val="00132E4C"/>
    <w:rsid w:val="00134115"/>
    <w:rsid w:val="00134BC1"/>
    <w:rsid w:val="001355F5"/>
    <w:rsid w:val="00135736"/>
    <w:rsid w:val="00135766"/>
    <w:rsid w:val="00135966"/>
    <w:rsid w:val="0013675D"/>
    <w:rsid w:val="00136DE7"/>
    <w:rsid w:val="00140389"/>
    <w:rsid w:val="00140A9B"/>
    <w:rsid w:val="00140C0E"/>
    <w:rsid w:val="00141135"/>
    <w:rsid w:val="001411B0"/>
    <w:rsid w:val="0014134C"/>
    <w:rsid w:val="00142011"/>
    <w:rsid w:val="00143207"/>
    <w:rsid w:val="00144C19"/>
    <w:rsid w:val="00145383"/>
    <w:rsid w:val="00145C23"/>
    <w:rsid w:val="00145FE4"/>
    <w:rsid w:val="00147867"/>
    <w:rsid w:val="00150D4D"/>
    <w:rsid w:val="00151641"/>
    <w:rsid w:val="00152A52"/>
    <w:rsid w:val="00152EBD"/>
    <w:rsid w:val="0015435A"/>
    <w:rsid w:val="00154832"/>
    <w:rsid w:val="00155612"/>
    <w:rsid w:val="00155ED3"/>
    <w:rsid w:val="00156751"/>
    <w:rsid w:val="00156B2E"/>
    <w:rsid w:val="00156D02"/>
    <w:rsid w:val="00157908"/>
    <w:rsid w:val="00160EA3"/>
    <w:rsid w:val="00160F47"/>
    <w:rsid w:val="00161B22"/>
    <w:rsid w:val="00161ECF"/>
    <w:rsid w:val="00163FE8"/>
    <w:rsid w:val="00164620"/>
    <w:rsid w:val="00164C06"/>
    <w:rsid w:val="001650B5"/>
    <w:rsid w:val="00165514"/>
    <w:rsid w:val="001657CA"/>
    <w:rsid w:val="00165AF3"/>
    <w:rsid w:val="00166C10"/>
    <w:rsid w:val="00166EB4"/>
    <w:rsid w:val="001677DC"/>
    <w:rsid w:val="00167BD1"/>
    <w:rsid w:val="0017169A"/>
    <w:rsid w:val="00172440"/>
    <w:rsid w:val="00172A27"/>
    <w:rsid w:val="0017350D"/>
    <w:rsid w:val="00174D5E"/>
    <w:rsid w:val="00175D33"/>
    <w:rsid w:val="00176F2F"/>
    <w:rsid w:val="00177A92"/>
    <w:rsid w:val="00177B66"/>
    <w:rsid w:val="00180A38"/>
    <w:rsid w:val="00180C9C"/>
    <w:rsid w:val="00181113"/>
    <w:rsid w:val="001819B5"/>
    <w:rsid w:val="00182F7B"/>
    <w:rsid w:val="0018325F"/>
    <w:rsid w:val="001833FB"/>
    <w:rsid w:val="001837CE"/>
    <w:rsid w:val="00183C95"/>
    <w:rsid w:val="00183CFB"/>
    <w:rsid w:val="00184301"/>
    <w:rsid w:val="001844C6"/>
    <w:rsid w:val="00184ACE"/>
    <w:rsid w:val="00184AD3"/>
    <w:rsid w:val="00185C99"/>
    <w:rsid w:val="00185D89"/>
    <w:rsid w:val="001864AB"/>
    <w:rsid w:val="0018662D"/>
    <w:rsid w:val="00186634"/>
    <w:rsid w:val="00187005"/>
    <w:rsid w:val="001901E5"/>
    <w:rsid w:val="0019045F"/>
    <w:rsid w:val="00190556"/>
    <w:rsid w:val="001908E1"/>
    <w:rsid w:val="001911DE"/>
    <w:rsid w:val="00191594"/>
    <w:rsid w:val="00191726"/>
    <w:rsid w:val="00191742"/>
    <w:rsid w:val="00192EB1"/>
    <w:rsid w:val="00193C9D"/>
    <w:rsid w:val="001946EA"/>
    <w:rsid w:val="0019508E"/>
    <w:rsid w:val="00195876"/>
    <w:rsid w:val="001959E0"/>
    <w:rsid w:val="001974F5"/>
    <w:rsid w:val="001976D0"/>
    <w:rsid w:val="00197AA7"/>
    <w:rsid w:val="001A0C2B"/>
    <w:rsid w:val="001A0DF7"/>
    <w:rsid w:val="001A1BCC"/>
    <w:rsid w:val="001A223A"/>
    <w:rsid w:val="001A2882"/>
    <w:rsid w:val="001A37BE"/>
    <w:rsid w:val="001A37FA"/>
    <w:rsid w:val="001A38F3"/>
    <w:rsid w:val="001A4518"/>
    <w:rsid w:val="001A4575"/>
    <w:rsid w:val="001A525C"/>
    <w:rsid w:val="001A55CA"/>
    <w:rsid w:val="001A6249"/>
    <w:rsid w:val="001A6783"/>
    <w:rsid w:val="001A690D"/>
    <w:rsid w:val="001A742F"/>
    <w:rsid w:val="001A787B"/>
    <w:rsid w:val="001A7AB8"/>
    <w:rsid w:val="001B058B"/>
    <w:rsid w:val="001B0947"/>
    <w:rsid w:val="001B09B5"/>
    <w:rsid w:val="001B1A24"/>
    <w:rsid w:val="001B2100"/>
    <w:rsid w:val="001B2467"/>
    <w:rsid w:val="001B2BF9"/>
    <w:rsid w:val="001B2E00"/>
    <w:rsid w:val="001B4D34"/>
    <w:rsid w:val="001B4F7B"/>
    <w:rsid w:val="001B50C9"/>
    <w:rsid w:val="001B5696"/>
    <w:rsid w:val="001B67B0"/>
    <w:rsid w:val="001B67C5"/>
    <w:rsid w:val="001B68D9"/>
    <w:rsid w:val="001B6BEB"/>
    <w:rsid w:val="001B6C16"/>
    <w:rsid w:val="001B791B"/>
    <w:rsid w:val="001C0A27"/>
    <w:rsid w:val="001C0E8B"/>
    <w:rsid w:val="001C1FE4"/>
    <w:rsid w:val="001C2B3C"/>
    <w:rsid w:val="001C3308"/>
    <w:rsid w:val="001C3A73"/>
    <w:rsid w:val="001C42ED"/>
    <w:rsid w:val="001C4867"/>
    <w:rsid w:val="001C4A53"/>
    <w:rsid w:val="001C5562"/>
    <w:rsid w:val="001C5E21"/>
    <w:rsid w:val="001C6D16"/>
    <w:rsid w:val="001C6E36"/>
    <w:rsid w:val="001C6FA1"/>
    <w:rsid w:val="001D024B"/>
    <w:rsid w:val="001D03E0"/>
    <w:rsid w:val="001D0961"/>
    <w:rsid w:val="001D0A6A"/>
    <w:rsid w:val="001D159E"/>
    <w:rsid w:val="001D1B3B"/>
    <w:rsid w:val="001D1FE5"/>
    <w:rsid w:val="001D1FEE"/>
    <w:rsid w:val="001D360C"/>
    <w:rsid w:val="001D3B17"/>
    <w:rsid w:val="001D4111"/>
    <w:rsid w:val="001D439F"/>
    <w:rsid w:val="001D552B"/>
    <w:rsid w:val="001D5C05"/>
    <w:rsid w:val="001D5C80"/>
    <w:rsid w:val="001D5F6D"/>
    <w:rsid w:val="001D6F7A"/>
    <w:rsid w:val="001E0006"/>
    <w:rsid w:val="001E0B5B"/>
    <w:rsid w:val="001E1E75"/>
    <w:rsid w:val="001E2CC5"/>
    <w:rsid w:val="001E2EAE"/>
    <w:rsid w:val="001E2FE1"/>
    <w:rsid w:val="001E341F"/>
    <w:rsid w:val="001E3F5B"/>
    <w:rsid w:val="001E4014"/>
    <w:rsid w:val="001E4090"/>
    <w:rsid w:val="001E43DF"/>
    <w:rsid w:val="001E444A"/>
    <w:rsid w:val="001E4507"/>
    <w:rsid w:val="001E4AA6"/>
    <w:rsid w:val="001E4B1E"/>
    <w:rsid w:val="001E5597"/>
    <w:rsid w:val="001E5C6E"/>
    <w:rsid w:val="001E62ED"/>
    <w:rsid w:val="001E642D"/>
    <w:rsid w:val="001E655D"/>
    <w:rsid w:val="001E7058"/>
    <w:rsid w:val="001E7A8A"/>
    <w:rsid w:val="001E7B0F"/>
    <w:rsid w:val="001F0C4B"/>
    <w:rsid w:val="001F0F54"/>
    <w:rsid w:val="001F12B4"/>
    <w:rsid w:val="001F203A"/>
    <w:rsid w:val="001F384D"/>
    <w:rsid w:val="001F3BEC"/>
    <w:rsid w:val="001F3D76"/>
    <w:rsid w:val="001F3F31"/>
    <w:rsid w:val="001F55EC"/>
    <w:rsid w:val="001F5BFC"/>
    <w:rsid w:val="001F60AF"/>
    <w:rsid w:val="001F7052"/>
    <w:rsid w:val="001F723B"/>
    <w:rsid w:val="00200BDC"/>
    <w:rsid w:val="00200F80"/>
    <w:rsid w:val="00201349"/>
    <w:rsid w:val="00201779"/>
    <w:rsid w:val="00201EE4"/>
    <w:rsid w:val="00202743"/>
    <w:rsid w:val="00202FB0"/>
    <w:rsid w:val="0020319C"/>
    <w:rsid w:val="002047F8"/>
    <w:rsid w:val="00204C41"/>
    <w:rsid w:val="00204DBD"/>
    <w:rsid w:val="00205A58"/>
    <w:rsid w:val="00206751"/>
    <w:rsid w:val="00206A8F"/>
    <w:rsid w:val="00206D57"/>
    <w:rsid w:val="002073B0"/>
    <w:rsid w:val="00207975"/>
    <w:rsid w:val="00207A7C"/>
    <w:rsid w:val="00207ED4"/>
    <w:rsid w:val="002101EA"/>
    <w:rsid w:val="0021270C"/>
    <w:rsid w:val="00212960"/>
    <w:rsid w:val="00212E23"/>
    <w:rsid w:val="00213292"/>
    <w:rsid w:val="00213ABC"/>
    <w:rsid w:val="00213F79"/>
    <w:rsid w:val="00213FA9"/>
    <w:rsid w:val="002142F8"/>
    <w:rsid w:val="00214F94"/>
    <w:rsid w:val="00216B15"/>
    <w:rsid w:val="00216DF6"/>
    <w:rsid w:val="00216F9D"/>
    <w:rsid w:val="002177DB"/>
    <w:rsid w:val="00220ACF"/>
    <w:rsid w:val="0022138B"/>
    <w:rsid w:val="0022157F"/>
    <w:rsid w:val="002227FF"/>
    <w:rsid w:val="0022340B"/>
    <w:rsid w:val="00223B10"/>
    <w:rsid w:val="002246F9"/>
    <w:rsid w:val="00224912"/>
    <w:rsid w:val="00224DCC"/>
    <w:rsid w:val="00224F13"/>
    <w:rsid w:val="002257B4"/>
    <w:rsid w:val="002269DF"/>
    <w:rsid w:val="00226ECB"/>
    <w:rsid w:val="0022716E"/>
    <w:rsid w:val="00227589"/>
    <w:rsid w:val="00230179"/>
    <w:rsid w:val="00230B51"/>
    <w:rsid w:val="00231AF7"/>
    <w:rsid w:val="00234B40"/>
    <w:rsid w:val="00234D48"/>
    <w:rsid w:val="002367A5"/>
    <w:rsid w:val="00236B60"/>
    <w:rsid w:val="00236EF6"/>
    <w:rsid w:val="00237949"/>
    <w:rsid w:val="00237A12"/>
    <w:rsid w:val="0024022D"/>
    <w:rsid w:val="0024041A"/>
    <w:rsid w:val="00240888"/>
    <w:rsid w:val="00240D80"/>
    <w:rsid w:val="00240E43"/>
    <w:rsid w:val="002416A0"/>
    <w:rsid w:val="002423CE"/>
    <w:rsid w:val="002436DD"/>
    <w:rsid w:val="00243F8D"/>
    <w:rsid w:val="00244481"/>
    <w:rsid w:val="00246BDA"/>
    <w:rsid w:val="00247220"/>
    <w:rsid w:val="0025034E"/>
    <w:rsid w:val="00250E01"/>
    <w:rsid w:val="002518B8"/>
    <w:rsid w:val="00251B29"/>
    <w:rsid w:val="002520C2"/>
    <w:rsid w:val="00252D4D"/>
    <w:rsid w:val="002535B9"/>
    <w:rsid w:val="0025379A"/>
    <w:rsid w:val="00253823"/>
    <w:rsid w:val="00253DE5"/>
    <w:rsid w:val="00253E14"/>
    <w:rsid w:val="0025477B"/>
    <w:rsid w:val="0025491E"/>
    <w:rsid w:val="00254A0F"/>
    <w:rsid w:val="00254E3C"/>
    <w:rsid w:val="002555F5"/>
    <w:rsid w:val="00255AA8"/>
    <w:rsid w:val="00255DA3"/>
    <w:rsid w:val="00256081"/>
    <w:rsid w:val="00256135"/>
    <w:rsid w:val="00256533"/>
    <w:rsid w:val="002570A4"/>
    <w:rsid w:val="002575AA"/>
    <w:rsid w:val="00260285"/>
    <w:rsid w:val="00261667"/>
    <w:rsid w:val="0026184E"/>
    <w:rsid w:val="00261CFA"/>
    <w:rsid w:val="00264021"/>
    <w:rsid w:val="002640CF"/>
    <w:rsid w:val="0026410D"/>
    <w:rsid w:val="00265D13"/>
    <w:rsid w:val="002664DA"/>
    <w:rsid w:val="002665A6"/>
    <w:rsid w:val="00266EE9"/>
    <w:rsid w:val="002711E7"/>
    <w:rsid w:val="00271679"/>
    <w:rsid w:val="00271C6C"/>
    <w:rsid w:val="002725B1"/>
    <w:rsid w:val="00272AC3"/>
    <w:rsid w:val="00272F81"/>
    <w:rsid w:val="0027304E"/>
    <w:rsid w:val="00273F6B"/>
    <w:rsid w:val="0027438A"/>
    <w:rsid w:val="002752A1"/>
    <w:rsid w:val="00275863"/>
    <w:rsid w:val="00275F1B"/>
    <w:rsid w:val="0027681E"/>
    <w:rsid w:val="00276C4B"/>
    <w:rsid w:val="00276DF3"/>
    <w:rsid w:val="002771CB"/>
    <w:rsid w:val="0027720B"/>
    <w:rsid w:val="00277BA3"/>
    <w:rsid w:val="00277C1C"/>
    <w:rsid w:val="00277E5B"/>
    <w:rsid w:val="00280D10"/>
    <w:rsid w:val="002810C7"/>
    <w:rsid w:val="002816BC"/>
    <w:rsid w:val="00281726"/>
    <w:rsid w:val="00281B68"/>
    <w:rsid w:val="00282C36"/>
    <w:rsid w:val="0028380B"/>
    <w:rsid w:val="00283D1B"/>
    <w:rsid w:val="002840E8"/>
    <w:rsid w:val="00284752"/>
    <w:rsid w:val="002847DB"/>
    <w:rsid w:val="002847F7"/>
    <w:rsid w:val="00284C24"/>
    <w:rsid w:val="002853F6"/>
    <w:rsid w:val="0028641E"/>
    <w:rsid w:val="0028711A"/>
    <w:rsid w:val="002876D6"/>
    <w:rsid w:val="00287EFD"/>
    <w:rsid w:val="00290DBF"/>
    <w:rsid w:val="00291311"/>
    <w:rsid w:val="00291903"/>
    <w:rsid w:val="00291B44"/>
    <w:rsid w:val="00291E2D"/>
    <w:rsid w:val="00292DDC"/>
    <w:rsid w:val="0029302B"/>
    <w:rsid w:val="00293687"/>
    <w:rsid w:val="00293DBD"/>
    <w:rsid w:val="00294066"/>
    <w:rsid w:val="002963A2"/>
    <w:rsid w:val="002965CB"/>
    <w:rsid w:val="002966A0"/>
    <w:rsid w:val="00296AA5"/>
    <w:rsid w:val="00297359"/>
    <w:rsid w:val="002975C9"/>
    <w:rsid w:val="0029796F"/>
    <w:rsid w:val="00297CB4"/>
    <w:rsid w:val="002A187A"/>
    <w:rsid w:val="002A1F8C"/>
    <w:rsid w:val="002A2A16"/>
    <w:rsid w:val="002A2F0E"/>
    <w:rsid w:val="002A3421"/>
    <w:rsid w:val="002A357A"/>
    <w:rsid w:val="002A4267"/>
    <w:rsid w:val="002A5BD2"/>
    <w:rsid w:val="002A6169"/>
    <w:rsid w:val="002A6509"/>
    <w:rsid w:val="002A6664"/>
    <w:rsid w:val="002A71DC"/>
    <w:rsid w:val="002A78BD"/>
    <w:rsid w:val="002A7B4D"/>
    <w:rsid w:val="002A7D5B"/>
    <w:rsid w:val="002B055E"/>
    <w:rsid w:val="002B21C4"/>
    <w:rsid w:val="002B21E8"/>
    <w:rsid w:val="002B2CE5"/>
    <w:rsid w:val="002B38D1"/>
    <w:rsid w:val="002B3A53"/>
    <w:rsid w:val="002B4274"/>
    <w:rsid w:val="002B4BF5"/>
    <w:rsid w:val="002B4D9D"/>
    <w:rsid w:val="002B52A5"/>
    <w:rsid w:val="002B64B3"/>
    <w:rsid w:val="002B7319"/>
    <w:rsid w:val="002B7A59"/>
    <w:rsid w:val="002C0286"/>
    <w:rsid w:val="002C08EB"/>
    <w:rsid w:val="002C0A5C"/>
    <w:rsid w:val="002C0D09"/>
    <w:rsid w:val="002C1157"/>
    <w:rsid w:val="002C1DAF"/>
    <w:rsid w:val="002C286D"/>
    <w:rsid w:val="002C2CD4"/>
    <w:rsid w:val="002C2E3F"/>
    <w:rsid w:val="002C3088"/>
    <w:rsid w:val="002C3E01"/>
    <w:rsid w:val="002C5273"/>
    <w:rsid w:val="002C597C"/>
    <w:rsid w:val="002C6BCB"/>
    <w:rsid w:val="002C6EF0"/>
    <w:rsid w:val="002D0242"/>
    <w:rsid w:val="002D028A"/>
    <w:rsid w:val="002D076B"/>
    <w:rsid w:val="002D1E4D"/>
    <w:rsid w:val="002D2F57"/>
    <w:rsid w:val="002D32BC"/>
    <w:rsid w:val="002D3A29"/>
    <w:rsid w:val="002D479E"/>
    <w:rsid w:val="002D501E"/>
    <w:rsid w:val="002D50A2"/>
    <w:rsid w:val="002D520F"/>
    <w:rsid w:val="002D5E80"/>
    <w:rsid w:val="002D621D"/>
    <w:rsid w:val="002D6723"/>
    <w:rsid w:val="002D765E"/>
    <w:rsid w:val="002E03C8"/>
    <w:rsid w:val="002E0567"/>
    <w:rsid w:val="002E0E31"/>
    <w:rsid w:val="002E0E96"/>
    <w:rsid w:val="002E2C83"/>
    <w:rsid w:val="002E2F50"/>
    <w:rsid w:val="002E2FAC"/>
    <w:rsid w:val="002E35CB"/>
    <w:rsid w:val="002E36D1"/>
    <w:rsid w:val="002E46DA"/>
    <w:rsid w:val="002E470B"/>
    <w:rsid w:val="002E55AC"/>
    <w:rsid w:val="002E58CC"/>
    <w:rsid w:val="002E5A53"/>
    <w:rsid w:val="002E5F86"/>
    <w:rsid w:val="002E6575"/>
    <w:rsid w:val="002E68C2"/>
    <w:rsid w:val="002F2950"/>
    <w:rsid w:val="002F2A4A"/>
    <w:rsid w:val="002F2F90"/>
    <w:rsid w:val="002F39AF"/>
    <w:rsid w:val="002F4285"/>
    <w:rsid w:val="002F531C"/>
    <w:rsid w:val="002F6E98"/>
    <w:rsid w:val="002F7430"/>
    <w:rsid w:val="003003FA"/>
    <w:rsid w:val="0030080E"/>
    <w:rsid w:val="00301651"/>
    <w:rsid w:val="003017E1"/>
    <w:rsid w:val="00301DEE"/>
    <w:rsid w:val="00301E74"/>
    <w:rsid w:val="00304239"/>
    <w:rsid w:val="003046CA"/>
    <w:rsid w:val="003047A9"/>
    <w:rsid w:val="00305423"/>
    <w:rsid w:val="00305501"/>
    <w:rsid w:val="00306485"/>
    <w:rsid w:val="003065A5"/>
    <w:rsid w:val="00307A24"/>
    <w:rsid w:val="00307FE2"/>
    <w:rsid w:val="00310607"/>
    <w:rsid w:val="003106CB"/>
    <w:rsid w:val="00310AF4"/>
    <w:rsid w:val="00310EAE"/>
    <w:rsid w:val="00311150"/>
    <w:rsid w:val="00311F06"/>
    <w:rsid w:val="00312099"/>
    <w:rsid w:val="00312604"/>
    <w:rsid w:val="0031277E"/>
    <w:rsid w:val="00312E83"/>
    <w:rsid w:val="00313B88"/>
    <w:rsid w:val="00314E51"/>
    <w:rsid w:val="003151C6"/>
    <w:rsid w:val="0031536F"/>
    <w:rsid w:val="00315AE9"/>
    <w:rsid w:val="00317193"/>
    <w:rsid w:val="003178BD"/>
    <w:rsid w:val="00317B6A"/>
    <w:rsid w:val="003205ED"/>
    <w:rsid w:val="00321297"/>
    <w:rsid w:val="0032133C"/>
    <w:rsid w:val="00321970"/>
    <w:rsid w:val="0032280A"/>
    <w:rsid w:val="00322856"/>
    <w:rsid w:val="00322A6C"/>
    <w:rsid w:val="003234D0"/>
    <w:rsid w:val="00323663"/>
    <w:rsid w:val="00324A4D"/>
    <w:rsid w:val="00324D4A"/>
    <w:rsid w:val="003250F7"/>
    <w:rsid w:val="00326E30"/>
    <w:rsid w:val="003278E8"/>
    <w:rsid w:val="00327B75"/>
    <w:rsid w:val="00331586"/>
    <w:rsid w:val="00332619"/>
    <w:rsid w:val="00333774"/>
    <w:rsid w:val="003338F3"/>
    <w:rsid w:val="00334000"/>
    <w:rsid w:val="003343D3"/>
    <w:rsid w:val="00334DF5"/>
    <w:rsid w:val="0033565F"/>
    <w:rsid w:val="00336D75"/>
    <w:rsid w:val="00336DB5"/>
    <w:rsid w:val="00340A02"/>
    <w:rsid w:val="00341783"/>
    <w:rsid w:val="00341B1F"/>
    <w:rsid w:val="00341E7D"/>
    <w:rsid w:val="0034250E"/>
    <w:rsid w:val="003434C3"/>
    <w:rsid w:val="003435AD"/>
    <w:rsid w:val="003438BC"/>
    <w:rsid w:val="00343BFC"/>
    <w:rsid w:val="003465EA"/>
    <w:rsid w:val="00346D03"/>
    <w:rsid w:val="00347057"/>
    <w:rsid w:val="00347605"/>
    <w:rsid w:val="00350F97"/>
    <w:rsid w:val="00350FF8"/>
    <w:rsid w:val="00353083"/>
    <w:rsid w:val="003534CF"/>
    <w:rsid w:val="00353A5E"/>
    <w:rsid w:val="00353D8B"/>
    <w:rsid w:val="00354629"/>
    <w:rsid w:val="00354BFD"/>
    <w:rsid w:val="00354EF6"/>
    <w:rsid w:val="0035664B"/>
    <w:rsid w:val="003571B2"/>
    <w:rsid w:val="00357FFE"/>
    <w:rsid w:val="00360CB1"/>
    <w:rsid w:val="00363204"/>
    <w:rsid w:val="003637D4"/>
    <w:rsid w:val="00365CF2"/>
    <w:rsid w:val="0036617E"/>
    <w:rsid w:val="00366524"/>
    <w:rsid w:val="003667B7"/>
    <w:rsid w:val="00366B83"/>
    <w:rsid w:val="00366EE7"/>
    <w:rsid w:val="0037075C"/>
    <w:rsid w:val="003718B4"/>
    <w:rsid w:val="00373862"/>
    <w:rsid w:val="00373B93"/>
    <w:rsid w:val="00374C19"/>
    <w:rsid w:val="003752DB"/>
    <w:rsid w:val="00376F7B"/>
    <w:rsid w:val="0038098D"/>
    <w:rsid w:val="00380ED1"/>
    <w:rsid w:val="003810F1"/>
    <w:rsid w:val="0038113B"/>
    <w:rsid w:val="003811C9"/>
    <w:rsid w:val="00382A99"/>
    <w:rsid w:val="00383035"/>
    <w:rsid w:val="00383BA4"/>
    <w:rsid w:val="00384679"/>
    <w:rsid w:val="0038490B"/>
    <w:rsid w:val="00384B18"/>
    <w:rsid w:val="00384F55"/>
    <w:rsid w:val="00385626"/>
    <w:rsid w:val="00385899"/>
    <w:rsid w:val="003868FE"/>
    <w:rsid w:val="003871D9"/>
    <w:rsid w:val="00387438"/>
    <w:rsid w:val="00387710"/>
    <w:rsid w:val="0039007E"/>
    <w:rsid w:val="00390B72"/>
    <w:rsid w:val="003912A5"/>
    <w:rsid w:val="003912C0"/>
    <w:rsid w:val="00391373"/>
    <w:rsid w:val="00391FBB"/>
    <w:rsid w:val="003921E5"/>
    <w:rsid w:val="00392649"/>
    <w:rsid w:val="00392F1E"/>
    <w:rsid w:val="00393193"/>
    <w:rsid w:val="0039366A"/>
    <w:rsid w:val="003937A5"/>
    <w:rsid w:val="0039390E"/>
    <w:rsid w:val="00393CC9"/>
    <w:rsid w:val="00393DCC"/>
    <w:rsid w:val="0039537C"/>
    <w:rsid w:val="00395384"/>
    <w:rsid w:val="00395644"/>
    <w:rsid w:val="00396900"/>
    <w:rsid w:val="003A1384"/>
    <w:rsid w:val="003A1539"/>
    <w:rsid w:val="003A224B"/>
    <w:rsid w:val="003A359F"/>
    <w:rsid w:val="003A3DA7"/>
    <w:rsid w:val="003A4511"/>
    <w:rsid w:val="003A4F3D"/>
    <w:rsid w:val="003A50EE"/>
    <w:rsid w:val="003A594E"/>
    <w:rsid w:val="003A638F"/>
    <w:rsid w:val="003A63DA"/>
    <w:rsid w:val="003A6A5B"/>
    <w:rsid w:val="003A6B07"/>
    <w:rsid w:val="003A6DC4"/>
    <w:rsid w:val="003A725F"/>
    <w:rsid w:val="003B009C"/>
    <w:rsid w:val="003B067B"/>
    <w:rsid w:val="003B1510"/>
    <w:rsid w:val="003B2C45"/>
    <w:rsid w:val="003B2D12"/>
    <w:rsid w:val="003B2D6D"/>
    <w:rsid w:val="003B3178"/>
    <w:rsid w:val="003B3205"/>
    <w:rsid w:val="003B471E"/>
    <w:rsid w:val="003B497E"/>
    <w:rsid w:val="003B581C"/>
    <w:rsid w:val="003B6208"/>
    <w:rsid w:val="003B6F05"/>
    <w:rsid w:val="003B782F"/>
    <w:rsid w:val="003B784B"/>
    <w:rsid w:val="003B7C3F"/>
    <w:rsid w:val="003C0008"/>
    <w:rsid w:val="003C050E"/>
    <w:rsid w:val="003C0AE2"/>
    <w:rsid w:val="003C1008"/>
    <w:rsid w:val="003C1763"/>
    <w:rsid w:val="003C2750"/>
    <w:rsid w:val="003C2CA6"/>
    <w:rsid w:val="003C3B28"/>
    <w:rsid w:val="003C3C8A"/>
    <w:rsid w:val="003C44D6"/>
    <w:rsid w:val="003C47A0"/>
    <w:rsid w:val="003C4F44"/>
    <w:rsid w:val="003C4FCB"/>
    <w:rsid w:val="003C503E"/>
    <w:rsid w:val="003C542B"/>
    <w:rsid w:val="003C5FA3"/>
    <w:rsid w:val="003C684D"/>
    <w:rsid w:val="003C6E87"/>
    <w:rsid w:val="003C76D4"/>
    <w:rsid w:val="003C7CC7"/>
    <w:rsid w:val="003D1874"/>
    <w:rsid w:val="003D1D97"/>
    <w:rsid w:val="003D21BD"/>
    <w:rsid w:val="003D3407"/>
    <w:rsid w:val="003D34D4"/>
    <w:rsid w:val="003D375F"/>
    <w:rsid w:val="003D3816"/>
    <w:rsid w:val="003D5A83"/>
    <w:rsid w:val="003D6BBB"/>
    <w:rsid w:val="003D6C19"/>
    <w:rsid w:val="003D6C1D"/>
    <w:rsid w:val="003D76E0"/>
    <w:rsid w:val="003D79B5"/>
    <w:rsid w:val="003D7F17"/>
    <w:rsid w:val="003E0A7F"/>
    <w:rsid w:val="003E0E08"/>
    <w:rsid w:val="003E1353"/>
    <w:rsid w:val="003E1BDF"/>
    <w:rsid w:val="003E1F5B"/>
    <w:rsid w:val="003E25B9"/>
    <w:rsid w:val="003E2B35"/>
    <w:rsid w:val="003E31BA"/>
    <w:rsid w:val="003E3691"/>
    <w:rsid w:val="003E36BF"/>
    <w:rsid w:val="003E3D8C"/>
    <w:rsid w:val="003E450D"/>
    <w:rsid w:val="003E56C9"/>
    <w:rsid w:val="003E5AD8"/>
    <w:rsid w:val="003E5E1D"/>
    <w:rsid w:val="003E601E"/>
    <w:rsid w:val="003E60EB"/>
    <w:rsid w:val="003E6D40"/>
    <w:rsid w:val="003E7A1F"/>
    <w:rsid w:val="003E7A2A"/>
    <w:rsid w:val="003F08D0"/>
    <w:rsid w:val="003F14D0"/>
    <w:rsid w:val="003F1562"/>
    <w:rsid w:val="003F279F"/>
    <w:rsid w:val="003F325D"/>
    <w:rsid w:val="003F52AC"/>
    <w:rsid w:val="003F5635"/>
    <w:rsid w:val="003F564E"/>
    <w:rsid w:val="003F602F"/>
    <w:rsid w:val="003F6138"/>
    <w:rsid w:val="003F66F1"/>
    <w:rsid w:val="003F6703"/>
    <w:rsid w:val="00402EAD"/>
    <w:rsid w:val="004030BA"/>
    <w:rsid w:val="004030DB"/>
    <w:rsid w:val="004039E3"/>
    <w:rsid w:val="00403BE5"/>
    <w:rsid w:val="004049DD"/>
    <w:rsid w:val="00404DE5"/>
    <w:rsid w:val="00405894"/>
    <w:rsid w:val="00405E3C"/>
    <w:rsid w:val="0040639D"/>
    <w:rsid w:val="0040672B"/>
    <w:rsid w:val="0040689B"/>
    <w:rsid w:val="00406F25"/>
    <w:rsid w:val="004071B2"/>
    <w:rsid w:val="00407BB0"/>
    <w:rsid w:val="004103CB"/>
    <w:rsid w:val="00411083"/>
    <w:rsid w:val="00411994"/>
    <w:rsid w:val="0041241F"/>
    <w:rsid w:val="004125A1"/>
    <w:rsid w:val="00413BD8"/>
    <w:rsid w:val="004146E9"/>
    <w:rsid w:val="00414AF8"/>
    <w:rsid w:val="00414D9C"/>
    <w:rsid w:val="00415279"/>
    <w:rsid w:val="00415379"/>
    <w:rsid w:val="00415BDC"/>
    <w:rsid w:val="00415FCF"/>
    <w:rsid w:val="004163C3"/>
    <w:rsid w:val="00416A21"/>
    <w:rsid w:val="004205D9"/>
    <w:rsid w:val="00420A43"/>
    <w:rsid w:val="0042115D"/>
    <w:rsid w:val="00421A60"/>
    <w:rsid w:val="00421E31"/>
    <w:rsid w:val="004222A8"/>
    <w:rsid w:val="0042286D"/>
    <w:rsid w:val="004229E3"/>
    <w:rsid w:val="00422D84"/>
    <w:rsid w:val="00423C95"/>
    <w:rsid w:val="004246CC"/>
    <w:rsid w:val="00425405"/>
    <w:rsid w:val="004255A3"/>
    <w:rsid w:val="004256B0"/>
    <w:rsid w:val="004266F6"/>
    <w:rsid w:val="0042754C"/>
    <w:rsid w:val="004309EB"/>
    <w:rsid w:val="0043107F"/>
    <w:rsid w:val="0043116C"/>
    <w:rsid w:val="00431D97"/>
    <w:rsid w:val="0043252A"/>
    <w:rsid w:val="004327D5"/>
    <w:rsid w:val="00432C00"/>
    <w:rsid w:val="00432D7D"/>
    <w:rsid w:val="004330D6"/>
    <w:rsid w:val="004344E2"/>
    <w:rsid w:val="0043451A"/>
    <w:rsid w:val="0043452C"/>
    <w:rsid w:val="00434E25"/>
    <w:rsid w:val="0043562B"/>
    <w:rsid w:val="0043571E"/>
    <w:rsid w:val="00436D13"/>
    <w:rsid w:val="0043767F"/>
    <w:rsid w:val="00437D84"/>
    <w:rsid w:val="00440337"/>
    <w:rsid w:val="0044033A"/>
    <w:rsid w:val="00440810"/>
    <w:rsid w:val="00440BB9"/>
    <w:rsid w:val="00440DEF"/>
    <w:rsid w:val="004422EE"/>
    <w:rsid w:val="004425C5"/>
    <w:rsid w:val="00443418"/>
    <w:rsid w:val="0044348E"/>
    <w:rsid w:val="00443BF2"/>
    <w:rsid w:val="00444669"/>
    <w:rsid w:val="00444D9B"/>
    <w:rsid w:val="0044578D"/>
    <w:rsid w:val="0044645F"/>
    <w:rsid w:val="004468DD"/>
    <w:rsid w:val="00446D73"/>
    <w:rsid w:val="00447080"/>
    <w:rsid w:val="00450D28"/>
    <w:rsid w:val="00450FD7"/>
    <w:rsid w:val="004510F9"/>
    <w:rsid w:val="0045149C"/>
    <w:rsid w:val="00452C1C"/>
    <w:rsid w:val="00452D88"/>
    <w:rsid w:val="00453C30"/>
    <w:rsid w:val="00453C90"/>
    <w:rsid w:val="00453E81"/>
    <w:rsid w:val="00455EC4"/>
    <w:rsid w:val="00456E91"/>
    <w:rsid w:val="00457426"/>
    <w:rsid w:val="00457D83"/>
    <w:rsid w:val="0046006D"/>
    <w:rsid w:val="004603E9"/>
    <w:rsid w:val="00460958"/>
    <w:rsid w:val="00461974"/>
    <w:rsid w:val="00462293"/>
    <w:rsid w:val="00462307"/>
    <w:rsid w:val="00462740"/>
    <w:rsid w:val="004628BE"/>
    <w:rsid w:val="00462EDC"/>
    <w:rsid w:val="00463436"/>
    <w:rsid w:val="00464165"/>
    <w:rsid w:val="0046457D"/>
    <w:rsid w:val="0046495D"/>
    <w:rsid w:val="00464C95"/>
    <w:rsid w:val="004656C6"/>
    <w:rsid w:val="00465DCF"/>
    <w:rsid w:val="0046614C"/>
    <w:rsid w:val="0046616C"/>
    <w:rsid w:val="00466D61"/>
    <w:rsid w:val="00466EAD"/>
    <w:rsid w:val="0046765F"/>
    <w:rsid w:val="00470277"/>
    <w:rsid w:val="00470BEC"/>
    <w:rsid w:val="00470FC4"/>
    <w:rsid w:val="00471C11"/>
    <w:rsid w:val="00471EF0"/>
    <w:rsid w:val="004723A5"/>
    <w:rsid w:val="004724F3"/>
    <w:rsid w:val="004726BB"/>
    <w:rsid w:val="00472D19"/>
    <w:rsid w:val="00473641"/>
    <w:rsid w:val="00474029"/>
    <w:rsid w:val="004743B4"/>
    <w:rsid w:val="00475606"/>
    <w:rsid w:val="004756E8"/>
    <w:rsid w:val="0047595D"/>
    <w:rsid w:val="00475DB7"/>
    <w:rsid w:val="00476031"/>
    <w:rsid w:val="0047620B"/>
    <w:rsid w:val="00476427"/>
    <w:rsid w:val="004773CF"/>
    <w:rsid w:val="00477523"/>
    <w:rsid w:val="00480D89"/>
    <w:rsid w:val="004810EF"/>
    <w:rsid w:val="004812BE"/>
    <w:rsid w:val="00481CAB"/>
    <w:rsid w:val="00481FA6"/>
    <w:rsid w:val="004825B0"/>
    <w:rsid w:val="00482DBC"/>
    <w:rsid w:val="00482F3A"/>
    <w:rsid w:val="0048358B"/>
    <w:rsid w:val="00483B13"/>
    <w:rsid w:val="004848F7"/>
    <w:rsid w:val="00484AFB"/>
    <w:rsid w:val="00484C0F"/>
    <w:rsid w:val="00484FC4"/>
    <w:rsid w:val="00485571"/>
    <w:rsid w:val="004858F7"/>
    <w:rsid w:val="00486078"/>
    <w:rsid w:val="004860F7"/>
    <w:rsid w:val="00486595"/>
    <w:rsid w:val="00486DB4"/>
    <w:rsid w:val="00486F1D"/>
    <w:rsid w:val="004873FA"/>
    <w:rsid w:val="0048759B"/>
    <w:rsid w:val="004905A4"/>
    <w:rsid w:val="00490CC2"/>
    <w:rsid w:val="004914BF"/>
    <w:rsid w:val="00491D02"/>
    <w:rsid w:val="00492E75"/>
    <w:rsid w:val="0049310C"/>
    <w:rsid w:val="00493779"/>
    <w:rsid w:val="00494095"/>
    <w:rsid w:val="00494A35"/>
    <w:rsid w:val="00495026"/>
    <w:rsid w:val="00495609"/>
    <w:rsid w:val="00495D59"/>
    <w:rsid w:val="00496224"/>
    <w:rsid w:val="00496AFC"/>
    <w:rsid w:val="00496B5E"/>
    <w:rsid w:val="00496E0E"/>
    <w:rsid w:val="0049713B"/>
    <w:rsid w:val="00497ADC"/>
    <w:rsid w:val="004A01F4"/>
    <w:rsid w:val="004A028A"/>
    <w:rsid w:val="004A0AAB"/>
    <w:rsid w:val="004A1ED7"/>
    <w:rsid w:val="004A28B1"/>
    <w:rsid w:val="004A29C5"/>
    <w:rsid w:val="004A29D9"/>
    <w:rsid w:val="004A2A4C"/>
    <w:rsid w:val="004A2D52"/>
    <w:rsid w:val="004A3114"/>
    <w:rsid w:val="004A3C96"/>
    <w:rsid w:val="004A411D"/>
    <w:rsid w:val="004A414C"/>
    <w:rsid w:val="004A44E5"/>
    <w:rsid w:val="004A4710"/>
    <w:rsid w:val="004A4769"/>
    <w:rsid w:val="004A482B"/>
    <w:rsid w:val="004A522D"/>
    <w:rsid w:val="004A5300"/>
    <w:rsid w:val="004A5877"/>
    <w:rsid w:val="004A5FDB"/>
    <w:rsid w:val="004A6077"/>
    <w:rsid w:val="004A716B"/>
    <w:rsid w:val="004B01ED"/>
    <w:rsid w:val="004B0831"/>
    <w:rsid w:val="004B0F0C"/>
    <w:rsid w:val="004B1800"/>
    <w:rsid w:val="004B20B1"/>
    <w:rsid w:val="004B2780"/>
    <w:rsid w:val="004B37BF"/>
    <w:rsid w:val="004B4895"/>
    <w:rsid w:val="004B4942"/>
    <w:rsid w:val="004B54BB"/>
    <w:rsid w:val="004B5F6D"/>
    <w:rsid w:val="004B66C0"/>
    <w:rsid w:val="004B706C"/>
    <w:rsid w:val="004B7837"/>
    <w:rsid w:val="004B7DF2"/>
    <w:rsid w:val="004C039A"/>
    <w:rsid w:val="004C07B0"/>
    <w:rsid w:val="004C0EA7"/>
    <w:rsid w:val="004C1B4D"/>
    <w:rsid w:val="004C1DBE"/>
    <w:rsid w:val="004C2C55"/>
    <w:rsid w:val="004C2F85"/>
    <w:rsid w:val="004C50BC"/>
    <w:rsid w:val="004C5D40"/>
    <w:rsid w:val="004C5D5C"/>
    <w:rsid w:val="004C7D06"/>
    <w:rsid w:val="004C7EDE"/>
    <w:rsid w:val="004D0111"/>
    <w:rsid w:val="004D0A97"/>
    <w:rsid w:val="004D1598"/>
    <w:rsid w:val="004D161D"/>
    <w:rsid w:val="004D2B30"/>
    <w:rsid w:val="004D41DF"/>
    <w:rsid w:val="004D4283"/>
    <w:rsid w:val="004D44EF"/>
    <w:rsid w:val="004D4CD6"/>
    <w:rsid w:val="004D5116"/>
    <w:rsid w:val="004D5402"/>
    <w:rsid w:val="004D62AC"/>
    <w:rsid w:val="004D6B28"/>
    <w:rsid w:val="004D6BAF"/>
    <w:rsid w:val="004D6E19"/>
    <w:rsid w:val="004D76A2"/>
    <w:rsid w:val="004D7C3F"/>
    <w:rsid w:val="004E0598"/>
    <w:rsid w:val="004E05AC"/>
    <w:rsid w:val="004E093A"/>
    <w:rsid w:val="004E0DC7"/>
    <w:rsid w:val="004E1619"/>
    <w:rsid w:val="004E1B17"/>
    <w:rsid w:val="004E1BB7"/>
    <w:rsid w:val="004E2D41"/>
    <w:rsid w:val="004E2E72"/>
    <w:rsid w:val="004E2F3E"/>
    <w:rsid w:val="004E443B"/>
    <w:rsid w:val="004E4813"/>
    <w:rsid w:val="004E5114"/>
    <w:rsid w:val="004E51F8"/>
    <w:rsid w:val="004E5293"/>
    <w:rsid w:val="004E5671"/>
    <w:rsid w:val="004E5ECE"/>
    <w:rsid w:val="004E6256"/>
    <w:rsid w:val="004E6BBF"/>
    <w:rsid w:val="004E7671"/>
    <w:rsid w:val="004E7F39"/>
    <w:rsid w:val="004F1192"/>
    <w:rsid w:val="004F1292"/>
    <w:rsid w:val="004F142C"/>
    <w:rsid w:val="004F351B"/>
    <w:rsid w:val="004F3867"/>
    <w:rsid w:val="004F38F6"/>
    <w:rsid w:val="004F3B88"/>
    <w:rsid w:val="004F41BC"/>
    <w:rsid w:val="004F43E0"/>
    <w:rsid w:val="004F4784"/>
    <w:rsid w:val="004F49F0"/>
    <w:rsid w:val="004F4C70"/>
    <w:rsid w:val="004F5115"/>
    <w:rsid w:val="004F5D77"/>
    <w:rsid w:val="004F5EA5"/>
    <w:rsid w:val="004F6C01"/>
    <w:rsid w:val="004F703D"/>
    <w:rsid w:val="004F74AF"/>
    <w:rsid w:val="004F78A7"/>
    <w:rsid w:val="004F7AF4"/>
    <w:rsid w:val="004F7BF7"/>
    <w:rsid w:val="0050027A"/>
    <w:rsid w:val="00500537"/>
    <w:rsid w:val="00500645"/>
    <w:rsid w:val="00500D9B"/>
    <w:rsid w:val="0050100D"/>
    <w:rsid w:val="00501EBC"/>
    <w:rsid w:val="00501FE1"/>
    <w:rsid w:val="00503C8F"/>
    <w:rsid w:val="0050555F"/>
    <w:rsid w:val="005056C9"/>
    <w:rsid w:val="00507094"/>
    <w:rsid w:val="00507C1A"/>
    <w:rsid w:val="00511229"/>
    <w:rsid w:val="005114D3"/>
    <w:rsid w:val="00511623"/>
    <w:rsid w:val="005122B6"/>
    <w:rsid w:val="0051317F"/>
    <w:rsid w:val="005131AE"/>
    <w:rsid w:val="00513463"/>
    <w:rsid w:val="005138C0"/>
    <w:rsid w:val="00513925"/>
    <w:rsid w:val="00513C2E"/>
    <w:rsid w:val="00513C3B"/>
    <w:rsid w:val="00513EAC"/>
    <w:rsid w:val="00514A43"/>
    <w:rsid w:val="00514B1D"/>
    <w:rsid w:val="00514C55"/>
    <w:rsid w:val="00515EE8"/>
    <w:rsid w:val="00515F0E"/>
    <w:rsid w:val="005160A2"/>
    <w:rsid w:val="005161EA"/>
    <w:rsid w:val="00516E84"/>
    <w:rsid w:val="00516FB3"/>
    <w:rsid w:val="00517EDB"/>
    <w:rsid w:val="00520002"/>
    <w:rsid w:val="005208C4"/>
    <w:rsid w:val="00520D92"/>
    <w:rsid w:val="00520E9B"/>
    <w:rsid w:val="00521C49"/>
    <w:rsid w:val="00521D6F"/>
    <w:rsid w:val="00522514"/>
    <w:rsid w:val="00522C5B"/>
    <w:rsid w:val="00522FE9"/>
    <w:rsid w:val="00523E7F"/>
    <w:rsid w:val="00524897"/>
    <w:rsid w:val="00525562"/>
    <w:rsid w:val="0052562E"/>
    <w:rsid w:val="00525FE2"/>
    <w:rsid w:val="005265E6"/>
    <w:rsid w:val="0052716E"/>
    <w:rsid w:val="00527CD4"/>
    <w:rsid w:val="00527E91"/>
    <w:rsid w:val="0053036C"/>
    <w:rsid w:val="00530572"/>
    <w:rsid w:val="00531317"/>
    <w:rsid w:val="00531738"/>
    <w:rsid w:val="00532191"/>
    <w:rsid w:val="005333B9"/>
    <w:rsid w:val="00533C98"/>
    <w:rsid w:val="00533CEE"/>
    <w:rsid w:val="00533E58"/>
    <w:rsid w:val="00533EC7"/>
    <w:rsid w:val="00534187"/>
    <w:rsid w:val="00534C27"/>
    <w:rsid w:val="00534C47"/>
    <w:rsid w:val="00535111"/>
    <w:rsid w:val="00535E4B"/>
    <w:rsid w:val="00535EA4"/>
    <w:rsid w:val="005372BD"/>
    <w:rsid w:val="005406E6"/>
    <w:rsid w:val="00540911"/>
    <w:rsid w:val="005411E8"/>
    <w:rsid w:val="00541866"/>
    <w:rsid w:val="00541991"/>
    <w:rsid w:val="00541AF6"/>
    <w:rsid w:val="00541ECA"/>
    <w:rsid w:val="0054349E"/>
    <w:rsid w:val="00543A6F"/>
    <w:rsid w:val="00543E27"/>
    <w:rsid w:val="00544172"/>
    <w:rsid w:val="00544634"/>
    <w:rsid w:val="0054469C"/>
    <w:rsid w:val="005467B2"/>
    <w:rsid w:val="005469D7"/>
    <w:rsid w:val="00547216"/>
    <w:rsid w:val="005506FD"/>
    <w:rsid w:val="00550FDE"/>
    <w:rsid w:val="00551A4F"/>
    <w:rsid w:val="00552722"/>
    <w:rsid w:val="0055279A"/>
    <w:rsid w:val="00553474"/>
    <w:rsid w:val="00553B67"/>
    <w:rsid w:val="00554343"/>
    <w:rsid w:val="00554ADE"/>
    <w:rsid w:val="005550E3"/>
    <w:rsid w:val="0055557C"/>
    <w:rsid w:val="0055638C"/>
    <w:rsid w:val="00556661"/>
    <w:rsid w:val="00556696"/>
    <w:rsid w:val="00556C38"/>
    <w:rsid w:val="00557107"/>
    <w:rsid w:val="00557BC6"/>
    <w:rsid w:val="00557D21"/>
    <w:rsid w:val="005603EE"/>
    <w:rsid w:val="005605BD"/>
    <w:rsid w:val="00560624"/>
    <w:rsid w:val="005611B2"/>
    <w:rsid w:val="00562796"/>
    <w:rsid w:val="005634DC"/>
    <w:rsid w:val="00564769"/>
    <w:rsid w:val="00566528"/>
    <w:rsid w:val="00567417"/>
    <w:rsid w:val="00570A7B"/>
    <w:rsid w:val="00570F06"/>
    <w:rsid w:val="00571C46"/>
    <w:rsid w:val="00571F22"/>
    <w:rsid w:val="00572A45"/>
    <w:rsid w:val="005737C1"/>
    <w:rsid w:val="0057477E"/>
    <w:rsid w:val="00574808"/>
    <w:rsid w:val="00574C6C"/>
    <w:rsid w:val="00574E67"/>
    <w:rsid w:val="00575847"/>
    <w:rsid w:val="00575FAD"/>
    <w:rsid w:val="00576BC0"/>
    <w:rsid w:val="005774E4"/>
    <w:rsid w:val="005777B1"/>
    <w:rsid w:val="00577AF6"/>
    <w:rsid w:val="00580538"/>
    <w:rsid w:val="00581855"/>
    <w:rsid w:val="005823DD"/>
    <w:rsid w:val="005838C2"/>
    <w:rsid w:val="00584A24"/>
    <w:rsid w:val="00585096"/>
    <w:rsid w:val="00585BEF"/>
    <w:rsid w:val="005862A0"/>
    <w:rsid w:val="00587976"/>
    <w:rsid w:val="00587D9D"/>
    <w:rsid w:val="00587E00"/>
    <w:rsid w:val="00590646"/>
    <w:rsid w:val="005915F9"/>
    <w:rsid w:val="00591D0E"/>
    <w:rsid w:val="00591F3F"/>
    <w:rsid w:val="00591FF6"/>
    <w:rsid w:val="00592093"/>
    <w:rsid w:val="005924F3"/>
    <w:rsid w:val="0059334E"/>
    <w:rsid w:val="00593604"/>
    <w:rsid w:val="00593B07"/>
    <w:rsid w:val="00593B89"/>
    <w:rsid w:val="00594CC9"/>
    <w:rsid w:val="005958CA"/>
    <w:rsid w:val="0059623D"/>
    <w:rsid w:val="005962F8"/>
    <w:rsid w:val="00597B5C"/>
    <w:rsid w:val="00597E7F"/>
    <w:rsid w:val="005A019A"/>
    <w:rsid w:val="005A03FB"/>
    <w:rsid w:val="005A088A"/>
    <w:rsid w:val="005A0F2A"/>
    <w:rsid w:val="005A0F68"/>
    <w:rsid w:val="005A1356"/>
    <w:rsid w:val="005A19B0"/>
    <w:rsid w:val="005A2324"/>
    <w:rsid w:val="005A2E4E"/>
    <w:rsid w:val="005A521E"/>
    <w:rsid w:val="005A53D7"/>
    <w:rsid w:val="005A6270"/>
    <w:rsid w:val="005A781E"/>
    <w:rsid w:val="005A7D74"/>
    <w:rsid w:val="005A7EB7"/>
    <w:rsid w:val="005B017C"/>
    <w:rsid w:val="005B1B42"/>
    <w:rsid w:val="005B1ED6"/>
    <w:rsid w:val="005B27C1"/>
    <w:rsid w:val="005B2A4D"/>
    <w:rsid w:val="005B2E1E"/>
    <w:rsid w:val="005B30A9"/>
    <w:rsid w:val="005B3CDB"/>
    <w:rsid w:val="005B4797"/>
    <w:rsid w:val="005B496A"/>
    <w:rsid w:val="005B5D09"/>
    <w:rsid w:val="005B5F47"/>
    <w:rsid w:val="005B64A0"/>
    <w:rsid w:val="005B7B0E"/>
    <w:rsid w:val="005B7DCF"/>
    <w:rsid w:val="005C00BA"/>
    <w:rsid w:val="005C0D6B"/>
    <w:rsid w:val="005C0F4A"/>
    <w:rsid w:val="005C10BF"/>
    <w:rsid w:val="005C2A18"/>
    <w:rsid w:val="005C2B5D"/>
    <w:rsid w:val="005C2ED7"/>
    <w:rsid w:val="005C40A9"/>
    <w:rsid w:val="005C4A07"/>
    <w:rsid w:val="005C4A54"/>
    <w:rsid w:val="005C6DE1"/>
    <w:rsid w:val="005C732C"/>
    <w:rsid w:val="005C7431"/>
    <w:rsid w:val="005C77C0"/>
    <w:rsid w:val="005C788A"/>
    <w:rsid w:val="005D092F"/>
    <w:rsid w:val="005D1EEA"/>
    <w:rsid w:val="005D1FA5"/>
    <w:rsid w:val="005D22CA"/>
    <w:rsid w:val="005D3F8A"/>
    <w:rsid w:val="005D4D92"/>
    <w:rsid w:val="005D51A8"/>
    <w:rsid w:val="005D5D3E"/>
    <w:rsid w:val="005D6ABE"/>
    <w:rsid w:val="005D6C0A"/>
    <w:rsid w:val="005D7C46"/>
    <w:rsid w:val="005E0453"/>
    <w:rsid w:val="005E09EE"/>
    <w:rsid w:val="005E0CEB"/>
    <w:rsid w:val="005E0CED"/>
    <w:rsid w:val="005E169E"/>
    <w:rsid w:val="005E1A62"/>
    <w:rsid w:val="005E2E74"/>
    <w:rsid w:val="005E3619"/>
    <w:rsid w:val="005E4EAF"/>
    <w:rsid w:val="005E5074"/>
    <w:rsid w:val="005E6DAE"/>
    <w:rsid w:val="005E7153"/>
    <w:rsid w:val="005E7505"/>
    <w:rsid w:val="005E7FC0"/>
    <w:rsid w:val="005F02E9"/>
    <w:rsid w:val="005F0606"/>
    <w:rsid w:val="005F1B66"/>
    <w:rsid w:val="005F1F26"/>
    <w:rsid w:val="005F2F99"/>
    <w:rsid w:val="005F3FE0"/>
    <w:rsid w:val="005F4473"/>
    <w:rsid w:val="005F45CB"/>
    <w:rsid w:val="005F49AD"/>
    <w:rsid w:val="005F7059"/>
    <w:rsid w:val="00600350"/>
    <w:rsid w:val="006008AB"/>
    <w:rsid w:val="00600F35"/>
    <w:rsid w:val="006015FD"/>
    <w:rsid w:val="00601F3A"/>
    <w:rsid w:val="00602608"/>
    <w:rsid w:val="0060319D"/>
    <w:rsid w:val="00603697"/>
    <w:rsid w:val="00603B21"/>
    <w:rsid w:val="00603C26"/>
    <w:rsid w:val="00603D2A"/>
    <w:rsid w:val="00604DEC"/>
    <w:rsid w:val="00605594"/>
    <w:rsid w:val="00605996"/>
    <w:rsid w:val="00606492"/>
    <w:rsid w:val="006066DB"/>
    <w:rsid w:val="00606A7B"/>
    <w:rsid w:val="00606D57"/>
    <w:rsid w:val="00606E02"/>
    <w:rsid w:val="00607014"/>
    <w:rsid w:val="00607CD5"/>
    <w:rsid w:val="00607F2B"/>
    <w:rsid w:val="0061161D"/>
    <w:rsid w:val="0061169A"/>
    <w:rsid w:val="0061249E"/>
    <w:rsid w:val="00612C85"/>
    <w:rsid w:val="00613159"/>
    <w:rsid w:val="00613295"/>
    <w:rsid w:val="00613586"/>
    <w:rsid w:val="00613630"/>
    <w:rsid w:val="00613BCE"/>
    <w:rsid w:val="006141B3"/>
    <w:rsid w:val="0061451D"/>
    <w:rsid w:val="0061480C"/>
    <w:rsid w:val="00614B67"/>
    <w:rsid w:val="00614C78"/>
    <w:rsid w:val="00614CC6"/>
    <w:rsid w:val="00615523"/>
    <w:rsid w:val="00615C40"/>
    <w:rsid w:val="0061656A"/>
    <w:rsid w:val="00617953"/>
    <w:rsid w:val="00617AE3"/>
    <w:rsid w:val="006201EB"/>
    <w:rsid w:val="006214C8"/>
    <w:rsid w:val="006219B6"/>
    <w:rsid w:val="00622E36"/>
    <w:rsid w:val="00622E83"/>
    <w:rsid w:val="0062307D"/>
    <w:rsid w:val="0062372D"/>
    <w:rsid w:val="00624ACA"/>
    <w:rsid w:val="00624E19"/>
    <w:rsid w:val="006267B2"/>
    <w:rsid w:val="006268B9"/>
    <w:rsid w:val="00630047"/>
    <w:rsid w:val="00630184"/>
    <w:rsid w:val="006302BF"/>
    <w:rsid w:val="00630331"/>
    <w:rsid w:val="00630753"/>
    <w:rsid w:val="00630D80"/>
    <w:rsid w:val="00631AC4"/>
    <w:rsid w:val="00631B0C"/>
    <w:rsid w:val="00631C60"/>
    <w:rsid w:val="006334E3"/>
    <w:rsid w:val="006335CA"/>
    <w:rsid w:val="006336C2"/>
    <w:rsid w:val="00633975"/>
    <w:rsid w:val="00633F43"/>
    <w:rsid w:val="00633F85"/>
    <w:rsid w:val="00633FAB"/>
    <w:rsid w:val="00633FCF"/>
    <w:rsid w:val="00634156"/>
    <w:rsid w:val="00634AD9"/>
    <w:rsid w:val="00634CD4"/>
    <w:rsid w:val="00635F62"/>
    <w:rsid w:val="00636683"/>
    <w:rsid w:val="00636D8C"/>
    <w:rsid w:val="0063726E"/>
    <w:rsid w:val="00637D02"/>
    <w:rsid w:val="00637FD8"/>
    <w:rsid w:val="006402D8"/>
    <w:rsid w:val="0064034B"/>
    <w:rsid w:val="00640C6A"/>
    <w:rsid w:val="00641FA7"/>
    <w:rsid w:val="00642D73"/>
    <w:rsid w:val="006430C2"/>
    <w:rsid w:val="006433FE"/>
    <w:rsid w:val="0064453F"/>
    <w:rsid w:val="006447A3"/>
    <w:rsid w:val="0064486C"/>
    <w:rsid w:val="00646274"/>
    <w:rsid w:val="0064671D"/>
    <w:rsid w:val="00646F55"/>
    <w:rsid w:val="00647D7E"/>
    <w:rsid w:val="006501CF"/>
    <w:rsid w:val="006509F1"/>
    <w:rsid w:val="00651374"/>
    <w:rsid w:val="00651747"/>
    <w:rsid w:val="00652AA8"/>
    <w:rsid w:val="00652D3B"/>
    <w:rsid w:val="00652E2B"/>
    <w:rsid w:val="00652F56"/>
    <w:rsid w:val="00653C22"/>
    <w:rsid w:val="00653E35"/>
    <w:rsid w:val="00653F83"/>
    <w:rsid w:val="00654435"/>
    <w:rsid w:val="00655CCE"/>
    <w:rsid w:val="0065634A"/>
    <w:rsid w:val="0065644A"/>
    <w:rsid w:val="00657170"/>
    <w:rsid w:val="006574CE"/>
    <w:rsid w:val="0066058F"/>
    <w:rsid w:val="00660AD9"/>
    <w:rsid w:val="006611F8"/>
    <w:rsid w:val="0066147B"/>
    <w:rsid w:val="006614F9"/>
    <w:rsid w:val="00661C2B"/>
    <w:rsid w:val="00662923"/>
    <w:rsid w:val="00663F94"/>
    <w:rsid w:val="00664EFD"/>
    <w:rsid w:val="00664FDB"/>
    <w:rsid w:val="0066511C"/>
    <w:rsid w:val="00665A3B"/>
    <w:rsid w:val="0066610D"/>
    <w:rsid w:val="00666ACE"/>
    <w:rsid w:val="00667938"/>
    <w:rsid w:val="00670427"/>
    <w:rsid w:val="00670CF4"/>
    <w:rsid w:val="00671776"/>
    <w:rsid w:val="00671F8C"/>
    <w:rsid w:val="00672A3D"/>
    <w:rsid w:val="00672C40"/>
    <w:rsid w:val="006732CD"/>
    <w:rsid w:val="006734A6"/>
    <w:rsid w:val="00673C1B"/>
    <w:rsid w:val="006740A3"/>
    <w:rsid w:val="00674429"/>
    <w:rsid w:val="0067465E"/>
    <w:rsid w:val="00674BA7"/>
    <w:rsid w:val="00674FB6"/>
    <w:rsid w:val="006753B0"/>
    <w:rsid w:val="00675558"/>
    <w:rsid w:val="006755F7"/>
    <w:rsid w:val="00676B9C"/>
    <w:rsid w:val="00677356"/>
    <w:rsid w:val="0068115C"/>
    <w:rsid w:val="00681233"/>
    <w:rsid w:val="00681764"/>
    <w:rsid w:val="00683046"/>
    <w:rsid w:val="0068341A"/>
    <w:rsid w:val="0068400E"/>
    <w:rsid w:val="00684C46"/>
    <w:rsid w:val="006855C4"/>
    <w:rsid w:val="0068625F"/>
    <w:rsid w:val="006864C1"/>
    <w:rsid w:val="00686F8C"/>
    <w:rsid w:val="00686FEF"/>
    <w:rsid w:val="006871CC"/>
    <w:rsid w:val="00687A53"/>
    <w:rsid w:val="006903D0"/>
    <w:rsid w:val="006908AC"/>
    <w:rsid w:val="00690CEB"/>
    <w:rsid w:val="0069176A"/>
    <w:rsid w:val="0069259D"/>
    <w:rsid w:val="00692E76"/>
    <w:rsid w:val="0069406F"/>
    <w:rsid w:val="00694B66"/>
    <w:rsid w:val="00695124"/>
    <w:rsid w:val="00695187"/>
    <w:rsid w:val="00695886"/>
    <w:rsid w:val="006962F1"/>
    <w:rsid w:val="0069631A"/>
    <w:rsid w:val="0069680C"/>
    <w:rsid w:val="00696B9C"/>
    <w:rsid w:val="00697E9E"/>
    <w:rsid w:val="006A05EF"/>
    <w:rsid w:val="006A0990"/>
    <w:rsid w:val="006A2027"/>
    <w:rsid w:val="006A20E5"/>
    <w:rsid w:val="006A271D"/>
    <w:rsid w:val="006A3B73"/>
    <w:rsid w:val="006A3CD8"/>
    <w:rsid w:val="006A4E70"/>
    <w:rsid w:val="006A4F6F"/>
    <w:rsid w:val="006A62DB"/>
    <w:rsid w:val="006A669F"/>
    <w:rsid w:val="006A6DC8"/>
    <w:rsid w:val="006A79FA"/>
    <w:rsid w:val="006A7F03"/>
    <w:rsid w:val="006B0263"/>
    <w:rsid w:val="006B05D3"/>
    <w:rsid w:val="006B0B71"/>
    <w:rsid w:val="006B1D89"/>
    <w:rsid w:val="006B2B57"/>
    <w:rsid w:val="006B2D59"/>
    <w:rsid w:val="006B331F"/>
    <w:rsid w:val="006B344B"/>
    <w:rsid w:val="006B39EF"/>
    <w:rsid w:val="006B477D"/>
    <w:rsid w:val="006B4D00"/>
    <w:rsid w:val="006B4D1D"/>
    <w:rsid w:val="006B519D"/>
    <w:rsid w:val="006B5870"/>
    <w:rsid w:val="006B5D83"/>
    <w:rsid w:val="006B6412"/>
    <w:rsid w:val="006B6537"/>
    <w:rsid w:val="006B6DA4"/>
    <w:rsid w:val="006B736E"/>
    <w:rsid w:val="006B7806"/>
    <w:rsid w:val="006B7ADE"/>
    <w:rsid w:val="006B7BAC"/>
    <w:rsid w:val="006C0496"/>
    <w:rsid w:val="006C1657"/>
    <w:rsid w:val="006C1FCE"/>
    <w:rsid w:val="006C28EC"/>
    <w:rsid w:val="006C2AF0"/>
    <w:rsid w:val="006C2F3F"/>
    <w:rsid w:val="006C3597"/>
    <w:rsid w:val="006C412C"/>
    <w:rsid w:val="006C4B64"/>
    <w:rsid w:val="006C6415"/>
    <w:rsid w:val="006C6CB1"/>
    <w:rsid w:val="006C7D43"/>
    <w:rsid w:val="006D0BEB"/>
    <w:rsid w:val="006D11EE"/>
    <w:rsid w:val="006D1AC2"/>
    <w:rsid w:val="006D4020"/>
    <w:rsid w:val="006D4225"/>
    <w:rsid w:val="006D533B"/>
    <w:rsid w:val="006D5AF8"/>
    <w:rsid w:val="006D62A7"/>
    <w:rsid w:val="006D697E"/>
    <w:rsid w:val="006D6BF2"/>
    <w:rsid w:val="006D71FC"/>
    <w:rsid w:val="006D72CE"/>
    <w:rsid w:val="006D7A8A"/>
    <w:rsid w:val="006E0A07"/>
    <w:rsid w:val="006E1659"/>
    <w:rsid w:val="006E20C1"/>
    <w:rsid w:val="006E2270"/>
    <w:rsid w:val="006E3DA9"/>
    <w:rsid w:val="006E3FC5"/>
    <w:rsid w:val="006E5496"/>
    <w:rsid w:val="006E5529"/>
    <w:rsid w:val="006E5603"/>
    <w:rsid w:val="006E7044"/>
    <w:rsid w:val="006E735F"/>
    <w:rsid w:val="006E7662"/>
    <w:rsid w:val="006E7AE8"/>
    <w:rsid w:val="006F20B4"/>
    <w:rsid w:val="006F327B"/>
    <w:rsid w:val="006F3D41"/>
    <w:rsid w:val="006F3DE0"/>
    <w:rsid w:val="006F55C5"/>
    <w:rsid w:val="006F5BD6"/>
    <w:rsid w:val="006F5D63"/>
    <w:rsid w:val="006F6084"/>
    <w:rsid w:val="007007F7"/>
    <w:rsid w:val="00700EF9"/>
    <w:rsid w:val="007010A1"/>
    <w:rsid w:val="0070325C"/>
    <w:rsid w:val="0070362A"/>
    <w:rsid w:val="0070379B"/>
    <w:rsid w:val="00703A3A"/>
    <w:rsid w:val="0070444C"/>
    <w:rsid w:val="00705C14"/>
    <w:rsid w:val="007066E3"/>
    <w:rsid w:val="00706BD1"/>
    <w:rsid w:val="00707985"/>
    <w:rsid w:val="00711793"/>
    <w:rsid w:val="00711BB6"/>
    <w:rsid w:val="0071202F"/>
    <w:rsid w:val="00712178"/>
    <w:rsid w:val="007124F9"/>
    <w:rsid w:val="00713160"/>
    <w:rsid w:val="00713C22"/>
    <w:rsid w:val="0071476F"/>
    <w:rsid w:val="00714859"/>
    <w:rsid w:val="00714962"/>
    <w:rsid w:val="00714E33"/>
    <w:rsid w:val="007151B4"/>
    <w:rsid w:val="007155FA"/>
    <w:rsid w:val="0071574C"/>
    <w:rsid w:val="00715BF1"/>
    <w:rsid w:val="00715DC7"/>
    <w:rsid w:val="00715F47"/>
    <w:rsid w:val="007170CF"/>
    <w:rsid w:val="00717157"/>
    <w:rsid w:val="0071784A"/>
    <w:rsid w:val="00717976"/>
    <w:rsid w:val="00717D90"/>
    <w:rsid w:val="0072109B"/>
    <w:rsid w:val="007227B6"/>
    <w:rsid w:val="0072336F"/>
    <w:rsid w:val="00723640"/>
    <w:rsid w:val="00723EB7"/>
    <w:rsid w:val="0072422D"/>
    <w:rsid w:val="00724509"/>
    <w:rsid w:val="00724965"/>
    <w:rsid w:val="00724C42"/>
    <w:rsid w:val="00724CD8"/>
    <w:rsid w:val="00725AD5"/>
    <w:rsid w:val="00726870"/>
    <w:rsid w:val="007269EC"/>
    <w:rsid w:val="00726A49"/>
    <w:rsid w:val="00726A6D"/>
    <w:rsid w:val="00727BB4"/>
    <w:rsid w:val="007307B9"/>
    <w:rsid w:val="00730D65"/>
    <w:rsid w:val="00730FF3"/>
    <w:rsid w:val="007314A6"/>
    <w:rsid w:val="00732D6C"/>
    <w:rsid w:val="0073358A"/>
    <w:rsid w:val="00733B90"/>
    <w:rsid w:val="0073433E"/>
    <w:rsid w:val="00735440"/>
    <w:rsid w:val="007354A5"/>
    <w:rsid w:val="007358DC"/>
    <w:rsid w:val="00735B99"/>
    <w:rsid w:val="00735EEC"/>
    <w:rsid w:val="00736533"/>
    <w:rsid w:val="00737352"/>
    <w:rsid w:val="0074001C"/>
    <w:rsid w:val="00740629"/>
    <w:rsid w:val="0074146D"/>
    <w:rsid w:val="0074152A"/>
    <w:rsid w:val="007420BC"/>
    <w:rsid w:val="00742831"/>
    <w:rsid w:val="00742F6D"/>
    <w:rsid w:val="007438E8"/>
    <w:rsid w:val="00743CA0"/>
    <w:rsid w:val="0074401B"/>
    <w:rsid w:val="007447A7"/>
    <w:rsid w:val="0074489E"/>
    <w:rsid w:val="00744AB7"/>
    <w:rsid w:val="007455D4"/>
    <w:rsid w:val="00745FA4"/>
    <w:rsid w:val="00746523"/>
    <w:rsid w:val="007469F3"/>
    <w:rsid w:val="00746CD9"/>
    <w:rsid w:val="00746CF7"/>
    <w:rsid w:val="007474C7"/>
    <w:rsid w:val="00747C59"/>
    <w:rsid w:val="00747D01"/>
    <w:rsid w:val="00750F46"/>
    <w:rsid w:val="007511F5"/>
    <w:rsid w:val="0075184F"/>
    <w:rsid w:val="00751A35"/>
    <w:rsid w:val="00752D4F"/>
    <w:rsid w:val="00754F67"/>
    <w:rsid w:val="00756600"/>
    <w:rsid w:val="00756ECE"/>
    <w:rsid w:val="0075794F"/>
    <w:rsid w:val="0076026C"/>
    <w:rsid w:val="007604F3"/>
    <w:rsid w:val="0076098C"/>
    <w:rsid w:val="00761146"/>
    <w:rsid w:val="00761492"/>
    <w:rsid w:val="00761708"/>
    <w:rsid w:val="00761860"/>
    <w:rsid w:val="007618BC"/>
    <w:rsid w:val="007618CB"/>
    <w:rsid w:val="00762064"/>
    <w:rsid w:val="00763320"/>
    <w:rsid w:val="00763AD2"/>
    <w:rsid w:val="00763ADB"/>
    <w:rsid w:val="00764434"/>
    <w:rsid w:val="00764F6B"/>
    <w:rsid w:val="007656B3"/>
    <w:rsid w:val="00765B1E"/>
    <w:rsid w:val="00765CD2"/>
    <w:rsid w:val="00765E4D"/>
    <w:rsid w:val="007664DD"/>
    <w:rsid w:val="007667C6"/>
    <w:rsid w:val="007667FA"/>
    <w:rsid w:val="00766E2D"/>
    <w:rsid w:val="0076722A"/>
    <w:rsid w:val="00767248"/>
    <w:rsid w:val="00770463"/>
    <w:rsid w:val="00770DF2"/>
    <w:rsid w:val="00770E8F"/>
    <w:rsid w:val="00771955"/>
    <w:rsid w:val="0077259D"/>
    <w:rsid w:val="00773A9A"/>
    <w:rsid w:val="00774430"/>
    <w:rsid w:val="00774EF2"/>
    <w:rsid w:val="007760D4"/>
    <w:rsid w:val="00776F48"/>
    <w:rsid w:val="0077757E"/>
    <w:rsid w:val="00780029"/>
    <w:rsid w:val="007804F3"/>
    <w:rsid w:val="00780869"/>
    <w:rsid w:val="00780C7C"/>
    <w:rsid w:val="00780F11"/>
    <w:rsid w:val="00781EB5"/>
    <w:rsid w:val="007823B5"/>
    <w:rsid w:val="00783366"/>
    <w:rsid w:val="00786621"/>
    <w:rsid w:val="00786CCE"/>
    <w:rsid w:val="007874C8"/>
    <w:rsid w:val="007875A7"/>
    <w:rsid w:val="00787917"/>
    <w:rsid w:val="007908AB"/>
    <w:rsid w:val="00791528"/>
    <w:rsid w:val="00792E8B"/>
    <w:rsid w:val="0079364A"/>
    <w:rsid w:val="0079400F"/>
    <w:rsid w:val="00794667"/>
    <w:rsid w:val="00794E62"/>
    <w:rsid w:val="00795261"/>
    <w:rsid w:val="007953CF"/>
    <w:rsid w:val="007954BC"/>
    <w:rsid w:val="00795BC2"/>
    <w:rsid w:val="00796186"/>
    <w:rsid w:val="0079641E"/>
    <w:rsid w:val="00797CC3"/>
    <w:rsid w:val="007A01A0"/>
    <w:rsid w:val="007A02E8"/>
    <w:rsid w:val="007A08E1"/>
    <w:rsid w:val="007A141B"/>
    <w:rsid w:val="007A177F"/>
    <w:rsid w:val="007A1829"/>
    <w:rsid w:val="007A2797"/>
    <w:rsid w:val="007A27C1"/>
    <w:rsid w:val="007A2A31"/>
    <w:rsid w:val="007A2CC1"/>
    <w:rsid w:val="007A2E64"/>
    <w:rsid w:val="007A2F3E"/>
    <w:rsid w:val="007A3824"/>
    <w:rsid w:val="007A39ED"/>
    <w:rsid w:val="007A40EA"/>
    <w:rsid w:val="007A423A"/>
    <w:rsid w:val="007A4588"/>
    <w:rsid w:val="007A505A"/>
    <w:rsid w:val="007A6269"/>
    <w:rsid w:val="007A6D0F"/>
    <w:rsid w:val="007A7971"/>
    <w:rsid w:val="007A7AF4"/>
    <w:rsid w:val="007B1493"/>
    <w:rsid w:val="007B165B"/>
    <w:rsid w:val="007B1810"/>
    <w:rsid w:val="007B1AF5"/>
    <w:rsid w:val="007B1C4C"/>
    <w:rsid w:val="007B1D53"/>
    <w:rsid w:val="007B1E74"/>
    <w:rsid w:val="007B3329"/>
    <w:rsid w:val="007B3455"/>
    <w:rsid w:val="007B362B"/>
    <w:rsid w:val="007B3825"/>
    <w:rsid w:val="007B3DD6"/>
    <w:rsid w:val="007B4BD5"/>
    <w:rsid w:val="007B60E9"/>
    <w:rsid w:val="007B6239"/>
    <w:rsid w:val="007B6392"/>
    <w:rsid w:val="007B7288"/>
    <w:rsid w:val="007C0D85"/>
    <w:rsid w:val="007C1941"/>
    <w:rsid w:val="007C1A0E"/>
    <w:rsid w:val="007C1F21"/>
    <w:rsid w:val="007C3BDB"/>
    <w:rsid w:val="007C4128"/>
    <w:rsid w:val="007C4505"/>
    <w:rsid w:val="007C588D"/>
    <w:rsid w:val="007C6E01"/>
    <w:rsid w:val="007C7DA0"/>
    <w:rsid w:val="007C7FE9"/>
    <w:rsid w:val="007D02DD"/>
    <w:rsid w:val="007D16EA"/>
    <w:rsid w:val="007D1A59"/>
    <w:rsid w:val="007D25FB"/>
    <w:rsid w:val="007D2826"/>
    <w:rsid w:val="007D2F25"/>
    <w:rsid w:val="007D2FC4"/>
    <w:rsid w:val="007D33A6"/>
    <w:rsid w:val="007D40A1"/>
    <w:rsid w:val="007D4E74"/>
    <w:rsid w:val="007D6B29"/>
    <w:rsid w:val="007D6F27"/>
    <w:rsid w:val="007D77F9"/>
    <w:rsid w:val="007E0793"/>
    <w:rsid w:val="007E195D"/>
    <w:rsid w:val="007E33FB"/>
    <w:rsid w:val="007E3BAC"/>
    <w:rsid w:val="007E4689"/>
    <w:rsid w:val="007E5AF5"/>
    <w:rsid w:val="007E5E22"/>
    <w:rsid w:val="007E6A63"/>
    <w:rsid w:val="007E6B16"/>
    <w:rsid w:val="007E72EF"/>
    <w:rsid w:val="007E7A27"/>
    <w:rsid w:val="007F0DAE"/>
    <w:rsid w:val="007F21E6"/>
    <w:rsid w:val="007F3EAB"/>
    <w:rsid w:val="007F481C"/>
    <w:rsid w:val="007F4867"/>
    <w:rsid w:val="007F48BB"/>
    <w:rsid w:val="007F48D9"/>
    <w:rsid w:val="007F4CED"/>
    <w:rsid w:val="007F4FCA"/>
    <w:rsid w:val="007F55CC"/>
    <w:rsid w:val="007F5FEF"/>
    <w:rsid w:val="007F69E8"/>
    <w:rsid w:val="007F7535"/>
    <w:rsid w:val="007F7602"/>
    <w:rsid w:val="007F7AA7"/>
    <w:rsid w:val="007F7E8F"/>
    <w:rsid w:val="00801B4A"/>
    <w:rsid w:val="00801CA8"/>
    <w:rsid w:val="00801E7D"/>
    <w:rsid w:val="00803277"/>
    <w:rsid w:val="0080370E"/>
    <w:rsid w:val="00803856"/>
    <w:rsid w:val="00803C37"/>
    <w:rsid w:val="00804A98"/>
    <w:rsid w:val="00804AB7"/>
    <w:rsid w:val="008054CA"/>
    <w:rsid w:val="00805544"/>
    <w:rsid w:val="00805948"/>
    <w:rsid w:val="0080656B"/>
    <w:rsid w:val="0081033C"/>
    <w:rsid w:val="00810567"/>
    <w:rsid w:val="00810846"/>
    <w:rsid w:val="008108A5"/>
    <w:rsid w:val="00812798"/>
    <w:rsid w:val="00812AFC"/>
    <w:rsid w:val="00813009"/>
    <w:rsid w:val="00814798"/>
    <w:rsid w:val="0081485D"/>
    <w:rsid w:val="0081494A"/>
    <w:rsid w:val="00815434"/>
    <w:rsid w:val="00816450"/>
    <w:rsid w:val="00816C32"/>
    <w:rsid w:val="00817ECB"/>
    <w:rsid w:val="008205AD"/>
    <w:rsid w:val="008220CD"/>
    <w:rsid w:val="0082282C"/>
    <w:rsid w:val="00822912"/>
    <w:rsid w:val="0082332D"/>
    <w:rsid w:val="00823BFB"/>
    <w:rsid w:val="008267AB"/>
    <w:rsid w:val="00826A8D"/>
    <w:rsid w:val="00826D23"/>
    <w:rsid w:val="0082745A"/>
    <w:rsid w:val="008301B4"/>
    <w:rsid w:val="00831166"/>
    <w:rsid w:val="008319F2"/>
    <w:rsid w:val="00831D0E"/>
    <w:rsid w:val="00831E1A"/>
    <w:rsid w:val="00832575"/>
    <w:rsid w:val="0083277C"/>
    <w:rsid w:val="008328DD"/>
    <w:rsid w:val="00832A95"/>
    <w:rsid w:val="0083352E"/>
    <w:rsid w:val="00833E76"/>
    <w:rsid w:val="0083574E"/>
    <w:rsid w:val="008360BB"/>
    <w:rsid w:val="008376C3"/>
    <w:rsid w:val="0084032D"/>
    <w:rsid w:val="008408AD"/>
    <w:rsid w:val="00841161"/>
    <w:rsid w:val="008415F9"/>
    <w:rsid w:val="00841892"/>
    <w:rsid w:val="00841D12"/>
    <w:rsid w:val="00842004"/>
    <w:rsid w:val="0084221C"/>
    <w:rsid w:val="00844047"/>
    <w:rsid w:val="008442E1"/>
    <w:rsid w:val="00844674"/>
    <w:rsid w:val="008459DC"/>
    <w:rsid w:val="00845D15"/>
    <w:rsid w:val="00846175"/>
    <w:rsid w:val="00846732"/>
    <w:rsid w:val="00850549"/>
    <w:rsid w:val="008506B4"/>
    <w:rsid w:val="00850993"/>
    <w:rsid w:val="00850C3C"/>
    <w:rsid w:val="00850CF3"/>
    <w:rsid w:val="008513EF"/>
    <w:rsid w:val="008515F8"/>
    <w:rsid w:val="00851859"/>
    <w:rsid w:val="00851BE2"/>
    <w:rsid w:val="00851CD6"/>
    <w:rsid w:val="0085291D"/>
    <w:rsid w:val="00852FEF"/>
    <w:rsid w:val="00853329"/>
    <w:rsid w:val="0085355D"/>
    <w:rsid w:val="008537B4"/>
    <w:rsid w:val="00853F4B"/>
    <w:rsid w:val="00854032"/>
    <w:rsid w:val="0085495E"/>
    <w:rsid w:val="008558BB"/>
    <w:rsid w:val="008559DD"/>
    <w:rsid w:val="008560EC"/>
    <w:rsid w:val="008564D9"/>
    <w:rsid w:val="00856CB4"/>
    <w:rsid w:val="00857F30"/>
    <w:rsid w:val="0086018E"/>
    <w:rsid w:val="008624B9"/>
    <w:rsid w:val="0086352F"/>
    <w:rsid w:val="008638AC"/>
    <w:rsid w:val="008674EF"/>
    <w:rsid w:val="00867974"/>
    <w:rsid w:val="00870535"/>
    <w:rsid w:val="008715F8"/>
    <w:rsid w:val="00871E24"/>
    <w:rsid w:val="008722A3"/>
    <w:rsid w:val="0087283D"/>
    <w:rsid w:val="00872FB8"/>
    <w:rsid w:val="00873087"/>
    <w:rsid w:val="00873A88"/>
    <w:rsid w:val="00873D72"/>
    <w:rsid w:val="0087560D"/>
    <w:rsid w:val="00876850"/>
    <w:rsid w:val="0088058A"/>
    <w:rsid w:val="00880B60"/>
    <w:rsid w:val="00882570"/>
    <w:rsid w:val="008833A7"/>
    <w:rsid w:val="008836DC"/>
    <w:rsid w:val="00883CF8"/>
    <w:rsid w:val="00883E6E"/>
    <w:rsid w:val="0088665C"/>
    <w:rsid w:val="00886A56"/>
    <w:rsid w:val="00886ADE"/>
    <w:rsid w:val="00886F46"/>
    <w:rsid w:val="00887DEB"/>
    <w:rsid w:val="008904C4"/>
    <w:rsid w:val="00891193"/>
    <w:rsid w:val="0089124D"/>
    <w:rsid w:val="00891D9F"/>
    <w:rsid w:val="00893A31"/>
    <w:rsid w:val="00893C85"/>
    <w:rsid w:val="00894A11"/>
    <w:rsid w:val="0089537F"/>
    <w:rsid w:val="00895A72"/>
    <w:rsid w:val="008961DD"/>
    <w:rsid w:val="0089730C"/>
    <w:rsid w:val="008975EC"/>
    <w:rsid w:val="008A011D"/>
    <w:rsid w:val="008A01E2"/>
    <w:rsid w:val="008A17E3"/>
    <w:rsid w:val="008A2F81"/>
    <w:rsid w:val="008A3A5E"/>
    <w:rsid w:val="008A3D1F"/>
    <w:rsid w:val="008A4882"/>
    <w:rsid w:val="008A507C"/>
    <w:rsid w:val="008A5AE6"/>
    <w:rsid w:val="008A63DE"/>
    <w:rsid w:val="008A6850"/>
    <w:rsid w:val="008A68C1"/>
    <w:rsid w:val="008A7845"/>
    <w:rsid w:val="008B0073"/>
    <w:rsid w:val="008B05EF"/>
    <w:rsid w:val="008B06EE"/>
    <w:rsid w:val="008B0F0D"/>
    <w:rsid w:val="008B10FE"/>
    <w:rsid w:val="008B11EF"/>
    <w:rsid w:val="008B1FFB"/>
    <w:rsid w:val="008B2151"/>
    <w:rsid w:val="008B2489"/>
    <w:rsid w:val="008B2825"/>
    <w:rsid w:val="008B2F65"/>
    <w:rsid w:val="008B2F7F"/>
    <w:rsid w:val="008B3137"/>
    <w:rsid w:val="008B4199"/>
    <w:rsid w:val="008B4B41"/>
    <w:rsid w:val="008B657B"/>
    <w:rsid w:val="008B6918"/>
    <w:rsid w:val="008B78E5"/>
    <w:rsid w:val="008C0D13"/>
    <w:rsid w:val="008C32EE"/>
    <w:rsid w:val="008C3B8C"/>
    <w:rsid w:val="008C543D"/>
    <w:rsid w:val="008C68D2"/>
    <w:rsid w:val="008C7BE5"/>
    <w:rsid w:val="008D0CD0"/>
    <w:rsid w:val="008D0E78"/>
    <w:rsid w:val="008D1606"/>
    <w:rsid w:val="008D1849"/>
    <w:rsid w:val="008D19D4"/>
    <w:rsid w:val="008D20AD"/>
    <w:rsid w:val="008D3543"/>
    <w:rsid w:val="008D3623"/>
    <w:rsid w:val="008D37C1"/>
    <w:rsid w:val="008D39BF"/>
    <w:rsid w:val="008D3A61"/>
    <w:rsid w:val="008D44E8"/>
    <w:rsid w:val="008D59D6"/>
    <w:rsid w:val="008D59EC"/>
    <w:rsid w:val="008D6457"/>
    <w:rsid w:val="008D67CE"/>
    <w:rsid w:val="008D749C"/>
    <w:rsid w:val="008E0584"/>
    <w:rsid w:val="008E07D8"/>
    <w:rsid w:val="008E082A"/>
    <w:rsid w:val="008E1B49"/>
    <w:rsid w:val="008E2695"/>
    <w:rsid w:val="008E288D"/>
    <w:rsid w:val="008E2C37"/>
    <w:rsid w:val="008E304E"/>
    <w:rsid w:val="008E3092"/>
    <w:rsid w:val="008E35A9"/>
    <w:rsid w:val="008E6072"/>
    <w:rsid w:val="008E653B"/>
    <w:rsid w:val="008E6DCB"/>
    <w:rsid w:val="008E7573"/>
    <w:rsid w:val="008F0861"/>
    <w:rsid w:val="008F204C"/>
    <w:rsid w:val="008F2434"/>
    <w:rsid w:val="008F2795"/>
    <w:rsid w:val="008F2F93"/>
    <w:rsid w:val="008F3E89"/>
    <w:rsid w:val="008F4718"/>
    <w:rsid w:val="008F49FA"/>
    <w:rsid w:val="008F509D"/>
    <w:rsid w:val="008F5A71"/>
    <w:rsid w:val="008F5FD8"/>
    <w:rsid w:val="008F63B9"/>
    <w:rsid w:val="008F759E"/>
    <w:rsid w:val="00900123"/>
    <w:rsid w:val="00901AE6"/>
    <w:rsid w:val="009020CC"/>
    <w:rsid w:val="00903B17"/>
    <w:rsid w:val="00904BF0"/>
    <w:rsid w:val="009063E9"/>
    <w:rsid w:val="00906FFC"/>
    <w:rsid w:val="009072C7"/>
    <w:rsid w:val="00910FD0"/>
    <w:rsid w:val="0091188B"/>
    <w:rsid w:val="00911B96"/>
    <w:rsid w:val="00912211"/>
    <w:rsid w:val="0091233A"/>
    <w:rsid w:val="00912509"/>
    <w:rsid w:val="0091361B"/>
    <w:rsid w:val="00913676"/>
    <w:rsid w:val="0091450F"/>
    <w:rsid w:val="00914B21"/>
    <w:rsid w:val="00914F7E"/>
    <w:rsid w:val="00915F28"/>
    <w:rsid w:val="009163A5"/>
    <w:rsid w:val="00916F27"/>
    <w:rsid w:val="009171A0"/>
    <w:rsid w:val="0092025A"/>
    <w:rsid w:val="00920445"/>
    <w:rsid w:val="0092063F"/>
    <w:rsid w:val="009207F1"/>
    <w:rsid w:val="00920D25"/>
    <w:rsid w:val="00920D31"/>
    <w:rsid w:val="00921C5F"/>
    <w:rsid w:val="00923079"/>
    <w:rsid w:val="00923971"/>
    <w:rsid w:val="00923A31"/>
    <w:rsid w:val="00923D51"/>
    <w:rsid w:val="00923D91"/>
    <w:rsid w:val="00924091"/>
    <w:rsid w:val="00924177"/>
    <w:rsid w:val="009251BC"/>
    <w:rsid w:val="009253C4"/>
    <w:rsid w:val="00925AAA"/>
    <w:rsid w:val="00926AE0"/>
    <w:rsid w:val="00926B50"/>
    <w:rsid w:val="00927164"/>
    <w:rsid w:val="0092798D"/>
    <w:rsid w:val="00927A67"/>
    <w:rsid w:val="00927BBC"/>
    <w:rsid w:val="00927EC6"/>
    <w:rsid w:val="00930BA3"/>
    <w:rsid w:val="00930F38"/>
    <w:rsid w:val="00931112"/>
    <w:rsid w:val="009313B6"/>
    <w:rsid w:val="009314AA"/>
    <w:rsid w:val="009325C7"/>
    <w:rsid w:val="00933213"/>
    <w:rsid w:val="009332FC"/>
    <w:rsid w:val="009346A2"/>
    <w:rsid w:val="00935C57"/>
    <w:rsid w:val="00935CB8"/>
    <w:rsid w:val="00935D2E"/>
    <w:rsid w:val="009369CA"/>
    <w:rsid w:val="00940359"/>
    <w:rsid w:val="00941239"/>
    <w:rsid w:val="0094146E"/>
    <w:rsid w:val="00941BAF"/>
    <w:rsid w:val="00941CD3"/>
    <w:rsid w:val="00942DC5"/>
    <w:rsid w:val="00942F62"/>
    <w:rsid w:val="009443D2"/>
    <w:rsid w:val="009444DA"/>
    <w:rsid w:val="009444E8"/>
    <w:rsid w:val="009453ED"/>
    <w:rsid w:val="0094554B"/>
    <w:rsid w:val="00945744"/>
    <w:rsid w:val="009458F4"/>
    <w:rsid w:val="00946665"/>
    <w:rsid w:val="009466CF"/>
    <w:rsid w:val="00946C50"/>
    <w:rsid w:val="00947F46"/>
    <w:rsid w:val="009503A1"/>
    <w:rsid w:val="00952599"/>
    <w:rsid w:val="009534D9"/>
    <w:rsid w:val="00953AC3"/>
    <w:rsid w:val="009549E5"/>
    <w:rsid w:val="00954FF5"/>
    <w:rsid w:val="009560A5"/>
    <w:rsid w:val="0095633D"/>
    <w:rsid w:val="0095656F"/>
    <w:rsid w:val="00956A5A"/>
    <w:rsid w:val="0095774C"/>
    <w:rsid w:val="0096042E"/>
    <w:rsid w:val="009604D5"/>
    <w:rsid w:val="009604E6"/>
    <w:rsid w:val="00960674"/>
    <w:rsid w:val="009609EA"/>
    <w:rsid w:val="009609F2"/>
    <w:rsid w:val="00960F1E"/>
    <w:rsid w:val="00961133"/>
    <w:rsid w:val="00961AF7"/>
    <w:rsid w:val="009623F3"/>
    <w:rsid w:val="00962887"/>
    <w:rsid w:val="00963480"/>
    <w:rsid w:val="00963707"/>
    <w:rsid w:val="00963748"/>
    <w:rsid w:val="009638B2"/>
    <w:rsid w:val="00963C34"/>
    <w:rsid w:val="00964580"/>
    <w:rsid w:val="00964BA8"/>
    <w:rsid w:val="00964C71"/>
    <w:rsid w:val="00964C83"/>
    <w:rsid w:val="009660E4"/>
    <w:rsid w:val="00966DFF"/>
    <w:rsid w:val="00967AC7"/>
    <w:rsid w:val="009701AC"/>
    <w:rsid w:val="00970459"/>
    <w:rsid w:val="00972304"/>
    <w:rsid w:val="0097262B"/>
    <w:rsid w:val="0097286C"/>
    <w:rsid w:val="009728BD"/>
    <w:rsid w:val="0097299B"/>
    <w:rsid w:val="00972BBA"/>
    <w:rsid w:val="009730C5"/>
    <w:rsid w:val="00973217"/>
    <w:rsid w:val="00974E53"/>
    <w:rsid w:val="00974F9B"/>
    <w:rsid w:val="0097549D"/>
    <w:rsid w:val="00975F4D"/>
    <w:rsid w:val="00975FCA"/>
    <w:rsid w:val="009760C0"/>
    <w:rsid w:val="00976C83"/>
    <w:rsid w:val="00976E1C"/>
    <w:rsid w:val="00976F6E"/>
    <w:rsid w:val="00977243"/>
    <w:rsid w:val="00977778"/>
    <w:rsid w:val="009778E1"/>
    <w:rsid w:val="00977A25"/>
    <w:rsid w:val="00977C7A"/>
    <w:rsid w:val="00980F1F"/>
    <w:rsid w:val="00983412"/>
    <w:rsid w:val="0098444C"/>
    <w:rsid w:val="00984D0B"/>
    <w:rsid w:val="00985139"/>
    <w:rsid w:val="0098651A"/>
    <w:rsid w:val="009866A6"/>
    <w:rsid w:val="00986CC5"/>
    <w:rsid w:val="0098735E"/>
    <w:rsid w:val="00987837"/>
    <w:rsid w:val="0099008E"/>
    <w:rsid w:val="009906A5"/>
    <w:rsid w:val="009923A9"/>
    <w:rsid w:val="009935FB"/>
    <w:rsid w:val="00993A0C"/>
    <w:rsid w:val="00993D9D"/>
    <w:rsid w:val="00994D9C"/>
    <w:rsid w:val="009950AC"/>
    <w:rsid w:val="00995606"/>
    <w:rsid w:val="009961BB"/>
    <w:rsid w:val="00996817"/>
    <w:rsid w:val="00996FEE"/>
    <w:rsid w:val="00997030"/>
    <w:rsid w:val="009A003A"/>
    <w:rsid w:val="009A2213"/>
    <w:rsid w:val="009A33BA"/>
    <w:rsid w:val="009A3712"/>
    <w:rsid w:val="009A3836"/>
    <w:rsid w:val="009A424B"/>
    <w:rsid w:val="009A4FAA"/>
    <w:rsid w:val="009A5295"/>
    <w:rsid w:val="009A586C"/>
    <w:rsid w:val="009A6445"/>
    <w:rsid w:val="009B1741"/>
    <w:rsid w:val="009B1AFC"/>
    <w:rsid w:val="009B2739"/>
    <w:rsid w:val="009B354B"/>
    <w:rsid w:val="009B383E"/>
    <w:rsid w:val="009B4411"/>
    <w:rsid w:val="009B4BF7"/>
    <w:rsid w:val="009B56B4"/>
    <w:rsid w:val="009B6432"/>
    <w:rsid w:val="009B6529"/>
    <w:rsid w:val="009B6EAC"/>
    <w:rsid w:val="009B791A"/>
    <w:rsid w:val="009B7EFB"/>
    <w:rsid w:val="009C19C5"/>
    <w:rsid w:val="009C3360"/>
    <w:rsid w:val="009C3903"/>
    <w:rsid w:val="009C3C2C"/>
    <w:rsid w:val="009C49D7"/>
    <w:rsid w:val="009C5CDD"/>
    <w:rsid w:val="009C79F9"/>
    <w:rsid w:val="009D0377"/>
    <w:rsid w:val="009D12F1"/>
    <w:rsid w:val="009D2438"/>
    <w:rsid w:val="009D2C44"/>
    <w:rsid w:val="009D37E0"/>
    <w:rsid w:val="009D42F1"/>
    <w:rsid w:val="009D4D4C"/>
    <w:rsid w:val="009D5642"/>
    <w:rsid w:val="009D622E"/>
    <w:rsid w:val="009D6340"/>
    <w:rsid w:val="009D6AF8"/>
    <w:rsid w:val="009D6C9C"/>
    <w:rsid w:val="009D6D01"/>
    <w:rsid w:val="009E010D"/>
    <w:rsid w:val="009E0304"/>
    <w:rsid w:val="009E2368"/>
    <w:rsid w:val="009E27C5"/>
    <w:rsid w:val="009E3BA2"/>
    <w:rsid w:val="009E4938"/>
    <w:rsid w:val="009E4D5C"/>
    <w:rsid w:val="009E5038"/>
    <w:rsid w:val="009E60E1"/>
    <w:rsid w:val="009E64F4"/>
    <w:rsid w:val="009E67D7"/>
    <w:rsid w:val="009E67E8"/>
    <w:rsid w:val="009E6810"/>
    <w:rsid w:val="009E6FA4"/>
    <w:rsid w:val="009E72BB"/>
    <w:rsid w:val="009E7925"/>
    <w:rsid w:val="009E7D04"/>
    <w:rsid w:val="009F134C"/>
    <w:rsid w:val="009F140A"/>
    <w:rsid w:val="009F1822"/>
    <w:rsid w:val="009F20B2"/>
    <w:rsid w:val="009F42AF"/>
    <w:rsid w:val="009F4FFA"/>
    <w:rsid w:val="009F5303"/>
    <w:rsid w:val="009F5D85"/>
    <w:rsid w:val="009F61BE"/>
    <w:rsid w:val="009F721E"/>
    <w:rsid w:val="009F75E7"/>
    <w:rsid w:val="009F7A2E"/>
    <w:rsid w:val="00A00225"/>
    <w:rsid w:val="00A01B5D"/>
    <w:rsid w:val="00A021BE"/>
    <w:rsid w:val="00A0226B"/>
    <w:rsid w:val="00A02C74"/>
    <w:rsid w:val="00A03C66"/>
    <w:rsid w:val="00A055BC"/>
    <w:rsid w:val="00A05DB5"/>
    <w:rsid w:val="00A06063"/>
    <w:rsid w:val="00A06E06"/>
    <w:rsid w:val="00A07FA8"/>
    <w:rsid w:val="00A127DC"/>
    <w:rsid w:val="00A1395E"/>
    <w:rsid w:val="00A13FD2"/>
    <w:rsid w:val="00A143A7"/>
    <w:rsid w:val="00A154D7"/>
    <w:rsid w:val="00A1653F"/>
    <w:rsid w:val="00A16AC4"/>
    <w:rsid w:val="00A17A61"/>
    <w:rsid w:val="00A20812"/>
    <w:rsid w:val="00A21177"/>
    <w:rsid w:val="00A214AE"/>
    <w:rsid w:val="00A21759"/>
    <w:rsid w:val="00A217DE"/>
    <w:rsid w:val="00A21CE6"/>
    <w:rsid w:val="00A223DE"/>
    <w:rsid w:val="00A22C27"/>
    <w:rsid w:val="00A22E44"/>
    <w:rsid w:val="00A2306C"/>
    <w:rsid w:val="00A237D3"/>
    <w:rsid w:val="00A238C4"/>
    <w:rsid w:val="00A23D10"/>
    <w:rsid w:val="00A25000"/>
    <w:rsid w:val="00A26EF2"/>
    <w:rsid w:val="00A30D10"/>
    <w:rsid w:val="00A32316"/>
    <w:rsid w:val="00A33AC3"/>
    <w:rsid w:val="00A34AE1"/>
    <w:rsid w:val="00A36462"/>
    <w:rsid w:val="00A36757"/>
    <w:rsid w:val="00A36C51"/>
    <w:rsid w:val="00A36D81"/>
    <w:rsid w:val="00A3756A"/>
    <w:rsid w:val="00A37D4D"/>
    <w:rsid w:val="00A40E65"/>
    <w:rsid w:val="00A41110"/>
    <w:rsid w:val="00A4160E"/>
    <w:rsid w:val="00A417EC"/>
    <w:rsid w:val="00A41F3A"/>
    <w:rsid w:val="00A42FC0"/>
    <w:rsid w:val="00A43D18"/>
    <w:rsid w:val="00A443B3"/>
    <w:rsid w:val="00A4460F"/>
    <w:rsid w:val="00A44F37"/>
    <w:rsid w:val="00A459D9"/>
    <w:rsid w:val="00A46584"/>
    <w:rsid w:val="00A469D2"/>
    <w:rsid w:val="00A46C80"/>
    <w:rsid w:val="00A46FAA"/>
    <w:rsid w:val="00A47014"/>
    <w:rsid w:val="00A471C2"/>
    <w:rsid w:val="00A47B3C"/>
    <w:rsid w:val="00A47E22"/>
    <w:rsid w:val="00A47EFD"/>
    <w:rsid w:val="00A50259"/>
    <w:rsid w:val="00A502E1"/>
    <w:rsid w:val="00A52AA5"/>
    <w:rsid w:val="00A53652"/>
    <w:rsid w:val="00A53CD4"/>
    <w:rsid w:val="00A5433E"/>
    <w:rsid w:val="00A5466D"/>
    <w:rsid w:val="00A55268"/>
    <w:rsid w:val="00A55E58"/>
    <w:rsid w:val="00A5607E"/>
    <w:rsid w:val="00A60548"/>
    <w:rsid w:val="00A611A2"/>
    <w:rsid w:val="00A6133C"/>
    <w:rsid w:val="00A6191C"/>
    <w:rsid w:val="00A61B9B"/>
    <w:rsid w:val="00A626D9"/>
    <w:rsid w:val="00A6296D"/>
    <w:rsid w:val="00A6319F"/>
    <w:rsid w:val="00A63B64"/>
    <w:rsid w:val="00A63F74"/>
    <w:rsid w:val="00A6411E"/>
    <w:rsid w:val="00A64491"/>
    <w:rsid w:val="00A64860"/>
    <w:rsid w:val="00A652F4"/>
    <w:rsid w:val="00A6662D"/>
    <w:rsid w:val="00A66A34"/>
    <w:rsid w:val="00A66B20"/>
    <w:rsid w:val="00A67206"/>
    <w:rsid w:val="00A6725C"/>
    <w:rsid w:val="00A67B46"/>
    <w:rsid w:val="00A67E4E"/>
    <w:rsid w:val="00A70CDC"/>
    <w:rsid w:val="00A7126A"/>
    <w:rsid w:val="00A71884"/>
    <w:rsid w:val="00A72BF9"/>
    <w:rsid w:val="00A7352C"/>
    <w:rsid w:val="00A74A37"/>
    <w:rsid w:val="00A7738E"/>
    <w:rsid w:val="00A77608"/>
    <w:rsid w:val="00A77A1D"/>
    <w:rsid w:val="00A80045"/>
    <w:rsid w:val="00A806D5"/>
    <w:rsid w:val="00A815FC"/>
    <w:rsid w:val="00A81774"/>
    <w:rsid w:val="00A82186"/>
    <w:rsid w:val="00A8224C"/>
    <w:rsid w:val="00A8267D"/>
    <w:rsid w:val="00A82B8E"/>
    <w:rsid w:val="00A832DB"/>
    <w:rsid w:val="00A83738"/>
    <w:rsid w:val="00A839AD"/>
    <w:rsid w:val="00A845EF"/>
    <w:rsid w:val="00A85B6E"/>
    <w:rsid w:val="00A85EFB"/>
    <w:rsid w:val="00A86360"/>
    <w:rsid w:val="00A86CB6"/>
    <w:rsid w:val="00A90A10"/>
    <w:rsid w:val="00A90BF4"/>
    <w:rsid w:val="00A917E8"/>
    <w:rsid w:val="00A91935"/>
    <w:rsid w:val="00A9220F"/>
    <w:rsid w:val="00A93E49"/>
    <w:rsid w:val="00A9430F"/>
    <w:rsid w:val="00A95472"/>
    <w:rsid w:val="00A954E0"/>
    <w:rsid w:val="00A9582F"/>
    <w:rsid w:val="00A95901"/>
    <w:rsid w:val="00A96EC5"/>
    <w:rsid w:val="00A972A9"/>
    <w:rsid w:val="00A977BC"/>
    <w:rsid w:val="00AA00FB"/>
    <w:rsid w:val="00AA0117"/>
    <w:rsid w:val="00AA0509"/>
    <w:rsid w:val="00AA05A1"/>
    <w:rsid w:val="00AA0F1E"/>
    <w:rsid w:val="00AA14B2"/>
    <w:rsid w:val="00AA1772"/>
    <w:rsid w:val="00AA1894"/>
    <w:rsid w:val="00AA1C59"/>
    <w:rsid w:val="00AA35F8"/>
    <w:rsid w:val="00AA40CD"/>
    <w:rsid w:val="00AA45D1"/>
    <w:rsid w:val="00AA47BA"/>
    <w:rsid w:val="00AA5CAD"/>
    <w:rsid w:val="00AA63D6"/>
    <w:rsid w:val="00AA6837"/>
    <w:rsid w:val="00AA68F5"/>
    <w:rsid w:val="00AA6D9A"/>
    <w:rsid w:val="00AA7716"/>
    <w:rsid w:val="00AA7897"/>
    <w:rsid w:val="00AA7FEB"/>
    <w:rsid w:val="00AB0111"/>
    <w:rsid w:val="00AB0286"/>
    <w:rsid w:val="00AB09C1"/>
    <w:rsid w:val="00AB27E5"/>
    <w:rsid w:val="00AB2DDB"/>
    <w:rsid w:val="00AB3157"/>
    <w:rsid w:val="00AB3413"/>
    <w:rsid w:val="00AB355A"/>
    <w:rsid w:val="00AB40A3"/>
    <w:rsid w:val="00AB42B2"/>
    <w:rsid w:val="00AB4B76"/>
    <w:rsid w:val="00AB553B"/>
    <w:rsid w:val="00AB63E9"/>
    <w:rsid w:val="00AB6C6C"/>
    <w:rsid w:val="00AB772D"/>
    <w:rsid w:val="00AB7735"/>
    <w:rsid w:val="00AB7894"/>
    <w:rsid w:val="00AB7FD5"/>
    <w:rsid w:val="00AC0541"/>
    <w:rsid w:val="00AC1597"/>
    <w:rsid w:val="00AC15E4"/>
    <w:rsid w:val="00AC1600"/>
    <w:rsid w:val="00AC28D1"/>
    <w:rsid w:val="00AC29F0"/>
    <w:rsid w:val="00AC30F6"/>
    <w:rsid w:val="00AC3BD0"/>
    <w:rsid w:val="00AC4085"/>
    <w:rsid w:val="00AC47A8"/>
    <w:rsid w:val="00AC5345"/>
    <w:rsid w:val="00AC5B48"/>
    <w:rsid w:val="00AC64EC"/>
    <w:rsid w:val="00AC6789"/>
    <w:rsid w:val="00AC6966"/>
    <w:rsid w:val="00AC6B5B"/>
    <w:rsid w:val="00AC6DBA"/>
    <w:rsid w:val="00AC6DC9"/>
    <w:rsid w:val="00AC7425"/>
    <w:rsid w:val="00AC7FD1"/>
    <w:rsid w:val="00AD0AF4"/>
    <w:rsid w:val="00AD0CA4"/>
    <w:rsid w:val="00AD327D"/>
    <w:rsid w:val="00AD3443"/>
    <w:rsid w:val="00AD4A48"/>
    <w:rsid w:val="00AD4BA8"/>
    <w:rsid w:val="00AD517E"/>
    <w:rsid w:val="00AD541A"/>
    <w:rsid w:val="00AD5AEC"/>
    <w:rsid w:val="00AD636D"/>
    <w:rsid w:val="00AD65D0"/>
    <w:rsid w:val="00AD720D"/>
    <w:rsid w:val="00AD7687"/>
    <w:rsid w:val="00AD7C87"/>
    <w:rsid w:val="00AE0053"/>
    <w:rsid w:val="00AE0566"/>
    <w:rsid w:val="00AE0F3E"/>
    <w:rsid w:val="00AE1313"/>
    <w:rsid w:val="00AE13B1"/>
    <w:rsid w:val="00AE13FB"/>
    <w:rsid w:val="00AE1CAB"/>
    <w:rsid w:val="00AE2A08"/>
    <w:rsid w:val="00AE3022"/>
    <w:rsid w:val="00AE3DFA"/>
    <w:rsid w:val="00AE4B99"/>
    <w:rsid w:val="00AE4ED8"/>
    <w:rsid w:val="00AE4FBF"/>
    <w:rsid w:val="00AE562B"/>
    <w:rsid w:val="00AE5B5A"/>
    <w:rsid w:val="00AE63B6"/>
    <w:rsid w:val="00AE6556"/>
    <w:rsid w:val="00AE6D53"/>
    <w:rsid w:val="00AE763C"/>
    <w:rsid w:val="00AE7C16"/>
    <w:rsid w:val="00AF03BC"/>
    <w:rsid w:val="00AF05B7"/>
    <w:rsid w:val="00AF0900"/>
    <w:rsid w:val="00AF0F6B"/>
    <w:rsid w:val="00AF0FA6"/>
    <w:rsid w:val="00AF1EB7"/>
    <w:rsid w:val="00AF20EF"/>
    <w:rsid w:val="00AF325F"/>
    <w:rsid w:val="00AF352B"/>
    <w:rsid w:val="00AF3C40"/>
    <w:rsid w:val="00AF4E1F"/>
    <w:rsid w:val="00AF63C8"/>
    <w:rsid w:val="00AF656A"/>
    <w:rsid w:val="00AF666C"/>
    <w:rsid w:val="00AF7913"/>
    <w:rsid w:val="00AF7E32"/>
    <w:rsid w:val="00B012D1"/>
    <w:rsid w:val="00B015D7"/>
    <w:rsid w:val="00B02009"/>
    <w:rsid w:val="00B0304B"/>
    <w:rsid w:val="00B03097"/>
    <w:rsid w:val="00B03112"/>
    <w:rsid w:val="00B037C6"/>
    <w:rsid w:val="00B03A49"/>
    <w:rsid w:val="00B03BC2"/>
    <w:rsid w:val="00B0489C"/>
    <w:rsid w:val="00B049BE"/>
    <w:rsid w:val="00B056C9"/>
    <w:rsid w:val="00B05A08"/>
    <w:rsid w:val="00B05A66"/>
    <w:rsid w:val="00B05D50"/>
    <w:rsid w:val="00B060BB"/>
    <w:rsid w:val="00B06FB1"/>
    <w:rsid w:val="00B0712D"/>
    <w:rsid w:val="00B0788F"/>
    <w:rsid w:val="00B078B0"/>
    <w:rsid w:val="00B07FED"/>
    <w:rsid w:val="00B1033E"/>
    <w:rsid w:val="00B105C3"/>
    <w:rsid w:val="00B10CC8"/>
    <w:rsid w:val="00B1136E"/>
    <w:rsid w:val="00B11E6C"/>
    <w:rsid w:val="00B1209A"/>
    <w:rsid w:val="00B122A1"/>
    <w:rsid w:val="00B123CA"/>
    <w:rsid w:val="00B127BB"/>
    <w:rsid w:val="00B12F7E"/>
    <w:rsid w:val="00B13D35"/>
    <w:rsid w:val="00B14590"/>
    <w:rsid w:val="00B14D47"/>
    <w:rsid w:val="00B150E9"/>
    <w:rsid w:val="00B159A0"/>
    <w:rsid w:val="00B15DD5"/>
    <w:rsid w:val="00B15FEF"/>
    <w:rsid w:val="00B1736F"/>
    <w:rsid w:val="00B176B5"/>
    <w:rsid w:val="00B17877"/>
    <w:rsid w:val="00B17C8B"/>
    <w:rsid w:val="00B17D99"/>
    <w:rsid w:val="00B201B8"/>
    <w:rsid w:val="00B201C3"/>
    <w:rsid w:val="00B20D65"/>
    <w:rsid w:val="00B21145"/>
    <w:rsid w:val="00B219EB"/>
    <w:rsid w:val="00B21D85"/>
    <w:rsid w:val="00B22716"/>
    <w:rsid w:val="00B22861"/>
    <w:rsid w:val="00B22A10"/>
    <w:rsid w:val="00B22D84"/>
    <w:rsid w:val="00B25098"/>
    <w:rsid w:val="00B25A4F"/>
    <w:rsid w:val="00B25CF4"/>
    <w:rsid w:val="00B2687B"/>
    <w:rsid w:val="00B279FF"/>
    <w:rsid w:val="00B30596"/>
    <w:rsid w:val="00B30755"/>
    <w:rsid w:val="00B30CEA"/>
    <w:rsid w:val="00B30DB1"/>
    <w:rsid w:val="00B30F4B"/>
    <w:rsid w:val="00B32345"/>
    <w:rsid w:val="00B3310A"/>
    <w:rsid w:val="00B33753"/>
    <w:rsid w:val="00B337D3"/>
    <w:rsid w:val="00B3463E"/>
    <w:rsid w:val="00B34C06"/>
    <w:rsid w:val="00B34CA4"/>
    <w:rsid w:val="00B350D8"/>
    <w:rsid w:val="00B37BC4"/>
    <w:rsid w:val="00B37DAA"/>
    <w:rsid w:val="00B4077B"/>
    <w:rsid w:val="00B40904"/>
    <w:rsid w:val="00B40DF2"/>
    <w:rsid w:val="00B41B23"/>
    <w:rsid w:val="00B42086"/>
    <w:rsid w:val="00B42306"/>
    <w:rsid w:val="00B427B9"/>
    <w:rsid w:val="00B42848"/>
    <w:rsid w:val="00B42906"/>
    <w:rsid w:val="00B44B48"/>
    <w:rsid w:val="00B45D0E"/>
    <w:rsid w:val="00B4647C"/>
    <w:rsid w:val="00B47224"/>
    <w:rsid w:val="00B47855"/>
    <w:rsid w:val="00B50516"/>
    <w:rsid w:val="00B51018"/>
    <w:rsid w:val="00B51C4C"/>
    <w:rsid w:val="00B51D3E"/>
    <w:rsid w:val="00B525AB"/>
    <w:rsid w:val="00B52BA9"/>
    <w:rsid w:val="00B535E9"/>
    <w:rsid w:val="00B538B9"/>
    <w:rsid w:val="00B54577"/>
    <w:rsid w:val="00B54CA8"/>
    <w:rsid w:val="00B54FA2"/>
    <w:rsid w:val="00B556AE"/>
    <w:rsid w:val="00B56A54"/>
    <w:rsid w:val="00B56DA6"/>
    <w:rsid w:val="00B5731D"/>
    <w:rsid w:val="00B57DA7"/>
    <w:rsid w:val="00B603AC"/>
    <w:rsid w:val="00B60D15"/>
    <w:rsid w:val="00B60E71"/>
    <w:rsid w:val="00B60ED6"/>
    <w:rsid w:val="00B60F44"/>
    <w:rsid w:val="00B61A33"/>
    <w:rsid w:val="00B62D30"/>
    <w:rsid w:val="00B62D84"/>
    <w:rsid w:val="00B62D9A"/>
    <w:rsid w:val="00B62E44"/>
    <w:rsid w:val="00B631FB"/>
    <w:rsid w:val="00B6478A"/>
    <w:rsid w:val="00B64F6F"/>
    <w:rsid w:val="00B65D51"/>
    <w:rsid w:val="00B667EC"/>
    <w:rsid w:val="00B6727E"/>
    <w:rsid w:val="00B67D1A"/>
    <w:rsid w:val="00B67EC4"/>
    <w:rsid w:val="00B72164"/>
    <w:rsid w:val="00B72B84"/>
    <w:rsid w:val="00B72F7D"/>
    <w:rsid w:val="00B73438"/>
    <w:rsid w:val="00B7380D"/>
    <w:rsid w:val="00B7400E"/>
    <w:rsid w:val="00B75494"/>
    <w:rsid w:val="00B764AF"/>
    <w:rsid w:val="00B77363"/>
    <w:rsid w:val="00B77814"/>
    <w:rsid w:val="00B77A7B"/>
    <w:rsid w:val="00B77BC8"/>
    <w:rsid w:val="00B77DBB"/>
    <w:rsid w:val="00B8017D"/>
    <w:rsid w:val="00B80287"/>
    <w:rsid w:val="00B80FC6"/>
    <w:rsid w:val="00B82BCD"/>
    <w:rsid w:val="00B82CA3"/>
    <w:rsid w:val="00B83481"/>
    <w:rsid w:val="00B83662"/>
    <w:rsid w:val="00B837E7"/>
    <w:rsid w:val="00B8389A"/>
    <w:rsid w:val="00B8397F"/>
    <w:rsid w:val="00B839BA"/>
    <w:rsid w:val="00B85133"/>
    <w:rsid w:val="00B85432"/>
    <w:rsid w:val="00B854B9"/>
    <w:rsid w:val="00B854DA"/>
    <w:rsid w:val="00B85ADF"/>
    <w:rsid w:val="00B8646E"/>
    <w:rsid w:val="00B86664"/>
    <w:rsid w:val="00B86BAB"/>
    <w:rsid w:val="00B87851"/>
    <w:rsid w:val="00B903D5"/>
    <w:rsid w:val="00B907F5"/>
    <w:rsid w:val="00B91C4D"/>
    <w:rsid w:val="00B9200E"/>
    <w:rsid w:val="00B932FD"/>
    <w:rsid w:val="00B9369F"/>
    <w:rsid w:val="00B93CE0"/>
    <w:rsid w:val="00B93FEE"/>
    <w:rsid w:val="00B94EBD"/>
    <w:rsid w:val="00B95264"/>
    <w:rsid w:val="00B95349"/>
    <w:rsid w:val="00B9560A"/>
    <w:rsid w:val="00B96713"/>
    <w:rsid w:val="00B96A12"/>
    <w:rsid w:val="00B9715D"/>
    <w:rsid w:val="00B973CF"/>
    <w:rsid w:val="00BA0247"/>
    <w:rsid w:val="00BA077B"/>
    <w:rsid w:val="00BA0FF4"/>
    <w:rsid w:val="00BA1392"/>
    <w:rsid w:val="00BA1849"/>
    <w:rsid w:val="00BA1A22"/>
    <w:rsid w:val="00BA1E34"/>
    <w:rsid w:val="00BA21A9"/>
    <w:rsid w:val="00BA36F4"/>
    <w:rsid w:val="00BA5B51"/>
    <w:rsid w:val="00BA7276"/>
    <w:rsid w:val="00BB0073"/>
    <w:rsid w:val="00BB0371"/>
    <w:rsid w:val="00BB209C"/>
    <w:rsid w:val="00BB3D4C"/>
    <w:rsid w:val="00BB3D72"/>
    <w:rsid w:val="00BB3EAA"/>
    <w:rsid w:val="00BB4915"/>
    <w:rsid w:val="00BB5BE0"/>
    <w:rsid w:val="00BB5CEB"/>
    <w:rsid w:val="00BB5DCA"/>
    <w:rsid w:val="00BB63CD"/>
    <w:rsid w:val="00BB6BEB"/>
    <w:rsid w:val="00BB6CEC"/>
    <w:rsid w:val="00BC0EA0"/>
    <w:rsid w:val="00BC1033"/>
    <w:rsid w:val="00BC147B"/>
    <w:rsid w:val="00BC1EF6"/>
    <w:rsid w:val="00BC289D"/>
    <w:rsid w:val="00BC346C"/>
    <w:rsid w:val="00BC38D1"/>
    <w:rsid w:val="00BC3A4C"/>
    <w:rsid w:val="00BC457A"/>
    <w:rsid w:val="00BC45B3"/>
    <w:rsid w:val="00BC49A4"/>
    <w:rsid w:val="00BC4F4E"/>
    <w:rsid w:val="00BC598C"/>
    <w:rsid w:val="00BC5C23"/>
    <w:rsid w:val="00BC5D07"/>
    <w:rsid w:val="00BC5F2B"/>
    <w:rsid w:val="00BC6A64"/>
    <w:rsid w:val="00BC6F64"/>
    <w:rsid w:val="00BC732B"/>
    <w:rsid w:val="00BC76C3"/>
    <w:rsid w:val="00BD0304"/>
    <w:rsid w:val="00BD0795"/>
    <w:rsid w:val="00BD092C"/>
    <w:rsid w:val="00BD1448"/>
    <w:rsid w:val="00BD3B4E"/>
    <w:rsid w:val="00BD46DE"/>
    <w:rsid w:val="00BD5736"/>
    <w:rsid w:val="00BD6301"/>
    <w:rsid w:val="00BD6F74"/>
    <w:rsid w:val="00BD7A7A"/>
    <w:rsid w:val="00BE1AD8"/>
    <w:rsid w:val="00BE21F3"/>
    <w:rsid w:val="00BE348D"/>
    <w:rsid w:val="00BE35D4"/>
    <w:rsid w:val="00BE3619"/>
    <w:rsid w:val="00BE374E"/>
    <w:rsid w:val="00BE483B"/>
    <w:rsid w:val="00BE486E"/>
    <w:rsid w:val="00BE54B1"/>
    <w:rsid w:val="00BE57CA"/>
    <w:rsid w:val="00BE596B"/>
    <w:rsid w:val="00BE5F50"/>
    <w:rsid w:val="00BE6235"/>
    <w:rsid w:val="00BE6F09"/>
    <w:rsid w:val="00BE7619"/>
    <w:rsid w:val="00BE76DE"/>
    <w:rsid w:val="00BF0594"/>
    <w:rsid w:val="00BF13E7"/>
    <w:rsid w:val="00BF1F4E"/>
    <w:rsid w:val="00BF2A34"/>
    <w:rsid w:val="00BF2DD8"/>
    <w:rsid w:val="00BF2E74"/>
    <w:rsid w:val="00BF3173"/>
    <w:rsid w:val="00BF461D"/>
    <w:rsid w:val="00BF5389"/>
    <w:rsid w:val="00BF5D4C"/>
    <w:rsid w:val="00BF6D50"/>
    <w:rsid w:val="00BF6F6E"/>
    <w:rsid w:val="00C00135"/>
    <w:rsid w:val="00C0072B"/>
    <w:rsid w:val="00C01255"/>
    <w:rsid w:val="00C016DF"/>
    <w:rsid w:val="00C01730"/>
    <w:rsid w:val="00C01E44"/>
    <w:rsid w:val="00C02A5C"/>
    <w:rsid w:val="00C02E1D"/>
    <w:rsid w:val="00C033B3"/>
    <w:rsid w:val="00C03C20"/>
    <w:rsid w:val="00C04F91"/>
    <w:rsid w:val="00C055DB"/>
    <w:rsid w:val="00C0693E"/>
    <w:rsid w:val="00C06C74"/>
    <w:rsid w:val="00C06DA4"/>
    <w:rsid w:val="00C10E39"/>
    <w:rsid w:val="00C1153C"/>
    <w:rsid w:val="00C11C58"/>
    <w:rsid w:val="00C131C9"/>
    <w:rsid w:val="00C13F04"/>
    <w:rsid w:val="00C15056"/>
    <w:rsid w:val="00C15AB5"/>
    <w:rsid w:val="00C16ADD"/>
    <w:rsid w:val="00C16B91"/>
    <w:rsid w:val="00C1763C"/>
    <w:rsid w:val="00C17C47"/>
    <w:rsid w:val="00C202A1"/>
    <w:rsid w:val="00C21D8C"/>
    <w:rsid w:val="00C226B0"/>
    <w:rsid w:val="00C226D2"/>
    <w:rsid w:val="00C22A1E"/>
    <w:rsid w:val="00C22ED5"/>
    <w:rsid w:val="00C2345B"/>
    <w:rsid w:val="00C23DDE"/>
    <w:rsid w:val="00C243A8"/>
    <w:rsid w:val="00C2464A"/>
    <w:rsid w:val="00C24BEB"/>
    <w:rsid w:val="00C261E4"/>
    <w:rsid w:val="00C2673B"/>
    <w:rsid w:val="00C27916"/>
    <w:rsid w:val="00C27AA6"/>
    <w:rsid w:val="00C27E34"/>
    <w:rsid w:val="00C27F26"/>
    <w:rsid w:val="00C321D7"/>
    <w:rsid w:val="00C328F7"/>
    <w:rsid w:val="00C33064"/>
    <w:rsid w:val="00C33416"/>
    <w:rsid w:val="00C336BE"/>
    <w:rsid w:val="00C350BE"/>
    <w:rsid w:val="00C3579B"/>
    <w:rsid w:val="00C35826"/>
    <w:rsid w:val="00C3624D"/>
    <w:rsid w:val="00C37358"/>
    <w:rsid w:val="00C37C84"/>
    <w:rsid w:val="00C40653"/>
    <w:rsid w:val="00C40A80"/>
    <w:rsid w:val="00C41C02"/>
    <w:rsid w:val="00C42CD1"/>
    <w:rsid w:val="00C430D1"/>
    <w:rsid w:val="00C43692"/>
    <w:rsid w:val="00C43C16"/>
    <w:rsid w:val="00C44352"/>
    <w:rsid w:val="00C4517C"/>
    <w:rsid w:val="00C45BDF"/>
    <w:rsid w:val="00C45D8D"/>
    <w:rsid w:val="00C460A5"/>
    <w:rsid w:val="00C473A0"/>
    <w:rsid w:val="00C47679"/>
    <w:rsid w:val="00C47E73"/>
    <w:rsid w:val="00C5059C"/>
    <w:rsid w:val="00C50BAA"/>
    <w:rsid w:val="00C51350"/>
    <w:rsid w:val="00C51533"/>
    <w:rsid w:val="00C528C8"/>
    <w:rsid w:val="00C528E4"/>
    <w:rsid w:val="00C53132"/>
    <w:rsid w:val="00C53D27"/>
    <w:rsid w:val="00C554C8"/>
    <w:rsid w:val="00C55BE3"/>
    <w:rsid w:val="00C561A8"/>
    <w:rsid w:val="00C5630D"/>
    <w:rsid w:val="00C5686D"/>
    <w:rsid w:val="00C573EC"/>
    <w:rsid w:val="00C57809"/>
    <w:rsid w:val="00C57AF0"/>
    <w:rsid w:val="00C57D60"/>
    <w:rsid w:val="00C60CEE"/>
    <w:rsid w:val="00C60D6F"/>
    <w:rsid w:val="00C60E45"/>
    <w:rsid w:val="00C60F3F"/>
    <w:rsid w:val="00C61016"/>
    <w:rsid w:val="00C62315"/>
    <w:rsid w:val="00C63146"/>
    <w:rsid w:val="00C6359D"/>
    <w:rsid w:val="00C64C92"/>
    <w:rsid w:val="00C65286"/>
    <w:rsid w:val="00C706C5"/>
    <w:rsid w:val="00C71196"/>
    <w:rsid w:val="00C716EC"/>
    <w:rsid w:val="00C717C3"/>
    <w:rsid w:val="00C72284"/>
    <w:rsid w:val="00C72B57"/>
    <w:rsid w:val="00C733A1"/>
    <w:rsid w:val="00C734FD"/>
    <w:rsid w:val="00C73592"/>
    <w:rsid w:val="00C73595"/>
    <w:rsid w:val="00C735DF"/>
    <w:rsid w:val="00C73785"/>
    <w:rsid w:val="00C742C0"/>
    <w:rsid w:val="00C75147"/>
    <w:rsid w:val="00C75FB6"/>
    <w:rsid w:val="00C7604F"/>
    <w:rsid w:val="00C76453"/>
    <w:rsid w:val="00C76C61"/>
    <w:rsid w:val="00C770B1"/>
    <w:rsid w:val="00C77C2D"/>
    <w:rsid w:val="00C80BBA"/>
    <w:rsid w:val="00C81064"/>
    <w:rsid w:val="00C81351"/>
    <w:rsid w:val="00C81533"/>
    <w:rsid w:val="00C8165E"/>
    <w:rsid w:val="00C81F2D"/>
    <w:rsid w:val="00C839D9"/>
    <w:rsid w:val="00C846C4"/>
    <w:rsid w:val="00C84F23"/>
    <w:rsid w:val="00C84F66"/>
    <w:rsid w:val="00C85466"/>
    <w:rsid w:val="00C86652"/>
    <w:rsid w:val="00C87320"/>
    <w:rsid w:val="00C873B9"/>
    <w:rsid w:val="00C87848"/>
    <w:rsid w:val="00C87960"/>
    <w:rsid w:val="00C907F7"/>
    <w:rsid w:val="00C90934"/>
    <w:rsid w:val="00C90C34"/>
    <w:rsid w:val="00C90E61"/>
    <w:rsid w:val="00C90EEC"/>
    <w:rsid w:val="00C916E7"/>
    <w:rsid w:val="00C91991"/>
    <w:rsid w:val="00C929E1"/>
    <w:rsid w:val="00C92A1B"/>
    <w:rsid w:val="00C93377"/>
    <w:rsid w:val="00C9346F"/>
    <w:rsid w:val="00C93CF4"/>
    <w:rsid w:val="00C93DF3"/>
    <w:rsid w:val="00C9481A"/>
    <w:rsid w:val="00C94B4C"/>
    <w:rsid w:val="00C94CE2"/>
    <w:rsid w:val="00C9552A"/>
    <w:rsid w:val="00C958FD"/>
    <w:rsid w:val="00C968F0"/>
    <w:rsid w:val="00C9714F"/>
    <w:rsid w:val="00C97778"/>
    <w:rsid w:val="00C979AD"/>
    <w:rsid w:val="00CA03C4"/>
    <w:rsid w:val="00CA041E"/>
    <w:rsid w:val="00CA062D"/>
    <w:rsid w:val="00CA0F9A"/>
    <w:rsid w:val="00CA1357"/>
    <w:rsid w:val="00CA1744"/>
    <w:rsid w:val="00CA186B"/>
    <w:rsid w:val="00CA191B"/>
    <w:rsid w:val="00CA1A90"/>
    <w:rsid w:val="00CA233D"/>
    <w:rsid w:val="00CA2DA4"/>
    <w:rsid w:val="00CA3EAD"/>
    <w:rsid w:val="00CA5E98"/>
    <w:rsid w:val="00CA69F2"/>
    <w:rsid w:val="00CA6E19"/>
    <w:rsid w:val="00CA7839"/>
    <w:rsid w:val="00CA7AC1"/>
    <w:rsid w:val="00CA7FDA"/>
    <w:rsid w:val="00CB05C9"/>
    <w:rsid w:val="00CB085E"/>
    <w:rsid w:val="00CB08D9"/>
    <w:rsid w:val="00CB0D84"/>
    <w:rsid w:val="00CB139D"/>
    <w:rsid w:val="00CB22B3"/>
    <w:rsid w:val="00CB28A8"/>
    <w:rsid w:val="00CB2F7A"/>
    <w:rsid w:val="00CB32B7"/>
    <w:rsid w:val="00CB6AAE"/>
    <w:rsid w:val="00CB6C1B"/>
    <w:rsid w:val="00CB6D39"/>
    <w:rsid w:val="00CB6DBB"/>
    <w:rsid w:val="00CB72FE"/>
    <w:rsid w:val="00CB7920"/>
    <w:rsid w:val="00CB7E9E"/>
    <w:rsid w:val="00CB7FA7"/>
    <w:rsid w:val="00CC02D3"/>
    <w:rsid w:val="00CC1009"/>
    <w:rsid w:val="00CC28C2"/>
    <w:rsid w:val="00CC3372"/>
    <w:rsid w:val="00CC33F7"/>
    <w:rsid w:val="00CC41A6"/>
    <w:rsid w:val="00CC4493"/>
    <w:rsid w:val="00CC4913"/>
    <w:rsid w:val="00CC565A"/>
    <w:rsid w:val="00CC56F0"/>
    <w:rsid w:val="00CC5881"/>
    <w:rsid w:val="00CC59AE"/>
    <w:rsid w:val="00CC61A2"/>
    <w:rsid w:val="00CC6F49"/>
    <w:rsid w:val="00CC7BB7"/>
    <w:rsid w:val="00CC7EE2"/>
    <w:rsid w:val="00CD09F7"/>
    <w:rsid w:val="00CD11AA"/>
    <w:rsid w:val="00CD13D1"/>
    <w:rsid w:val="00CD174A"/>
    <w:rsid w:val="00CD17EE"/>
    <w:rsid w:val="00CD1C70"/>
    <w:rsid w:val="00CD3215"/>
    <w:rsid w:val="00CD36B0"/>
    <w:rsid w:val="00CD37E5"/>
    <w:rsid w:val="00CD3CDF"/>
    <w:rsid w:val="00CD6D0E"/>
    <w:rsid w:val="00CD7AF8"/>
    <w:rsid w:val="00CD7D93"/>
    <w:rsid w:val="00CE09CD"/>
    <w:rsid w:val="00CE0AC7"/>
    <w:rsid w:val="00CE0BCE"/>
    <w:rsid w:val="00CE1CE9"/>
    <w:rsid w:val="00CE28D1"/>
    <w:rsid w:val="00CE2C1C"/>
    <w:rsid w:val="00CE3517"/>
    <w:rsid w:val="00CE393F"/>
    <w:rsid w:val="00CE5B3E"/>
    <w:rsid w:val="00CE70A5"/>
    <w:rsid w:val="00CF026E"/>
    <w:rsid w:val="00CF1282"/>
    <w:rsid w:val="00CF185F"/>
    <w:rsid w:val="00CF1F04"/>
    <w:rsid w:val="00CF2853"/>
    <w:rsid w:val="00CF38D2"/>
    <w:rsid w:val="00CF3B57"/>
    <w:rsid w:val="00CF3D59"/>
    <w:rsid w:val="00CF633C"/>
    <w:rsid w:val="00CF6C6B"/>
    <w:rsid w:val="00CF7612"/>
    <w:rsid w:val="00CF7AB9"/>
    <w:rsid w:val="00CF7E04"/>
    <w:rsid w:val="00D00654"/>
    <w:rsid w:val="00D00FC2"/>
    <w:rsid w:val="00D02E2E"/>
    <w:rsid w:val="00D0366D"/>
    <w:rsid w:val="00D04EA4"/>
    <w:rsid w:val="00D0529C"/>
    <w:rsid w:val="00D05748"/>
    <w:rsid w:val="00D05AB5"/>
    <w:rsid w:val="00D06AC1"/>
    <w:rsid w:val="00D06D5B"/>
    <w:rsid w:val="00D06DDF"/>
    <w:rsid w:val="00D0733F"/>
    <w:rsid w:val="00D077E4"/>
    <w:rsid w:val="00D07DD5"/>
    <w:rsid w:val="00D10050"/>
    <w:rsid w:val="00D10CCB"/>
    <w:rsid w:val="00D10F5D"/>
    <w:rsid w:val="00D11096"/>
    <w:rsid w:val="00D11376"/>
    <w:rsid w:val="00D11EC9"/>
    <w:rsid w:val="00D1279A"/>
    <w:rsid w:val="00D13559"/>
    <w:rsid w:val="00D135B4"/>
    <w:rsid w:val="00D1363C"/>
    <w:rsid w:val="00D13AF1"/>
    <w:rsid w:val="00D14196"/>
    <w:rsid w:val="00D14502"/>
    <w:rsid w:val="00D1484C"/>
    <w:rsid w:val="00D14FB8"/>
    <w:rsid w:val="00D209C4"/>
    <w:rsid w:val="00D20C24"/>
    <w:rsid w:val="00D22B6E"/>
    <w:rsid w:val="00D23159"/>
    <w:rsid w:val="00D23852"/>
    <w:rsid w:val="00D23A37"/>
    <w:rsid w:val="00D23F62"/>
    <w:rsid w:val="00D2502B"/>
    <w:rsid w:val="00D2517B"/>
    <w:rsid w:val="00D25300"/>
    <w:rsid w:val="00D26603"/>
    <w:rsid w:val="00D26B98"/>
    <w:rsid w:val="00D2738C"/>
    <w:rsid w:val="00D27893"/>
    <w:rsid w:val="00D312CB"/>
    <w:rsid w:val="00D318D9"/>
    <w:rsid w:val="00D31E11"/>
    <w:rsid w:val="00D3217B"/>
    <w:rsid w:val="00D33D0B"/>
    <w:rsid w:val="00D3409E"/>
    <w:rsid w:val="00D343D7"/>
    <w:rsid w:val="00D346AE"/>
    <w:rsid w:val="00D35868"/>
    <w:rsid w:val="00D366C0"/>
    <w:rsid w:val="00D36ABD"/>
    <w:rsid w:val="00D37E0F"/>
    <w:rsid w:val="00D407A5"/>
    <w:rsid w:val="00D412FA"/>
    <w:rsid w:val="00D41EC1"/>
    <w:rsid w:val="00D42D76"/>
    <w:rsid w:val="00D43D57"/>
    <w:rsid w:val="00D44014"/>
    <w:rsid w:val="00D443CD"/>
    <w:rsid w:val="00D461F8"/>
    <w:rsid w:val="00D463C2"/>
    <w:rsid w:val="00D50785"/>
    <w:rsid w:val="00D50E7D"/>
    <w:rsid w:val="00D522AD"/>
    <w:rsid w:val="00D523A4"/>
    <w:rsid w:val="00D52A78"/>
    <w:rsid w:val="00D532CA"/>
    <w:rsid w:val="00D53946"/>
    <w:rsid w:val="00D53F47"/>
    <w:rsid w:val="00D5472F"/>
    <w:rsid w:val="00D54A9A"/>
    <w:rsid w:val="00D54F6A"/>
    <w:rsid w:val="00D554DE"/>
    <w:rsid w:val="00D55821"/>
    <w:rsid w:val="00D561BE"/>
    <w:rsid w:val="00D56313"/>
    <w:rsid w:val="00D56776"/>
    <w:rsid w:val="00D57A78"/>
    <w:rsid w:val="00D57ABF"/>
    <w:rsid w:val="00D61D89"/>
    <w:rsid w:val="00D61F92"/>
    <w:rsid w:val="00D620AC"/>
    <w:rsid w:val="00D620BA"/>
    <w:rsid w:val="00D63885"/>
    <w:rsid w:val="00D63AED"/>
    <w:rsid w:val="00D63B9A"/>
    <w:rsid w:val="00D63C28"/>
    <w:rsid w:val="00D63C42"/>
    <w:rsid w:val="00D63CA2"/>
    <w:rsid w:val="00D64CC3"/>
    <w:rsid w:val="00D64FC1"/>
    <w:rsid w:val="00D6515D"/>
    <w:rsid w:val="00D6614F"/>
    <w:rsid w:val="00D66799"/>
    <w:rsid w:val="00D667AC"/>
    <w:rsid w:val="00D67D0A"/>
    <w:rsid w:val="00D72480"/>
    <w:rsid w:val="00D731A7"/>
    <w:rsid w:val="00D735AE"/>
    <w:rsid w:val="00D740FD"/>
    <w:rsid w:val="00D745A6"/>
    <w:rsid w:val="00D747B8"/>
    <w:rsid w:val="00D74C72"/>
    <w:rsid w:val="00D74EE2"/>
    <w:rsid w:val="00D74FA8"/>
    <w:rsid w:val="00D754B5"/>
    <w:rsid w:val="00D75B54"/>
    <w:rsid w:val="00D75D58"/>
    <w:rsid w:val="00D76DB9"/>
    <w:rsid w:val="00D76DFD"/>
    <w:rsid w:val="00D77ABE"/>
    <w:rsid w:val="00D803E2"/>
    <w:rsid w:val="00D80F53"/>
    <w:rsid w:val="00D8180B"/>
    <w:rsid w:val="00D81F72"/>
    <w:rsid w:val="00D82132"/>
    <w:rsid w:val="00D829E6"/>
    <w:rsid w:val="00D83432"/>
    <w:rsid w:val="00D835AD"/>
    <w:rsid w:val="00D83762"/>
    <w:rsid w:val="00D83A26"/>
    <w:rsid w:val="00D83F32"/>
    <w:rsid w:val="00D847A9"/>
    <w:rsid w:val="00D851BE"/>
    <w:rsid w:val="00D866E0"/>
    <w:rsid w:val="00D878DA"/>
    <w:rsid w:val="00D87902"/>
    <w:rsid w:val="00D87AF8"/>
    <w:rsid w:val="00D87E70"/>
    <w:rsid w:val="00D910E3"/>
    <w:rsid w:val="00D925A6"/>
    <w:rsid w:val="00D9290F"/>
    <w:rsid w:val="00D92EB5"/>
    <w:rsid w:val="00D92EDF"/>
    <w:rsid w:val="00D93126"/>
    <w:rsid w:val="00D93534"/>
    <w:rsid w:val="00D9449B"/>
    <w:rsid w:val="00D94E85"/>
    <w:rsid w:val="00D94ED0"/>
    <w:rsid w:val="00D957CA"/>
    <w:rsid w:val="00D96078"/>
    <w:rsid w:val="00D9626D"/>
    <w:rsid w:val="00D97DA6"/>
    <w:rsid w:val="00DA0372"/>
    <w:rsid w:val="00DA040A"/>
    <w:rsid w:val="00DA0F56"/>
    <w:rsid w:val="00DA0FB6"/>
    <w:rsid w:val="00DA124A"/>
    <w:rsid w:val="00DA2218"/>
    <w:rsid w:val="00DA3DFC"/>
    <w:rsid w:val="00DA4179"/>
    <w:rsid w:val="00DA430D"/>
    <w:rsid w:val="00DA43CB"/>
    <w:rsid w:val="00DA4EBD"/>
    <w:rsid w:val="00DA51DE"/>
    <w:rsid w:val="00DA5ABC"/>
    <w:rsid w:val="00DA5B7D"/>
    <w:rsid w:val="00DA65A8"/>
    <w:rsid w:val="00DA7616"/>
    <w:rsid w:val="00DB04F6"/>
    <w:rsid w:val="00DB052D"/>
    <w:rsid w:val="00DB1189"/>
    <w:rsid w:val="00DB1BF9"/>
    <w:rsid w:val="00DB1CB2"/>
    <w:rsid w:val="00DB1D3D"/>
    <w:rsid w:val="00DB2455"/>
    <w:rsid w:val="00DB3D51"/>
    <w:rsid w:val="00DB47BC"/>
    <w:rsid w:val="00DB4AFE"/>
    <w:rsid w:val="00DB51A4"/>
    <w:rsid w:val="00DB6128"/>
    <w:rsid w:val="00DB6267"/>
    <w:rsid w:val="00DB7422"/>
    <w:rsid w:val="00DB756E"/>
    <w:rsid w:val="00DB7A93"/>
    <w:rsid w:val="00DC070F"/>
    <w:rsid w:val="00DC0D3C"/>
    <w:rsid w:val="00DC0F59"/>
    <w:rsid w:val="00DC2855"/>
    <w:rsid w:val="00DC2B9D"/>
    <w:rsid w:val="00DC2BB2"/>
    <w:rsid w:val="00DC30D1"/>
    <w:rsid w:val="00DC3F52"/>
    <w:rsid w:val="00DC43CF"/>
    <w:rsid w:val="00DC461A"/>
    <w:rsid w:val="00DC5361"/>
    <w:rsid w:val="00DC5372"/>
    <w:rsid w:val="00DC5BE7"/>
    <w:rsid w:val="00DC5D5D"/>
    <w:rsid w:val="00DC5DA1"/>
    <w:rsid w:val="00DC615E"/>
    <w:rsid w:val="00DC6223"/>
    <w:rsid w:val="00DC6311"/>
    <w:rsid w:val="00DC6411"/>
    <w:rsid w:val="00DC713C"/>
    <w:rsid w:val="00DC7885"/>
    <w:rsid w:val="00DD013E"/>
    <w:rsid w:val="00DD1822"/>
    <w:rsid w:val="00DD18A6"/>
    <w:rsid w:val="00DD1D77"/>
    <w:rsid w:val="00DD291E"/>
    <w:rsid w:val="00DD2D07"/>
    <w:rsid w:val="00DD2EE0"/>
    <w:rsid w:val="00DD330D"/>
    <w:rsid w:val="00DD3BD7"/>
    <w:rsid w:val="00DD4538"/>
    <w:rsid w:val="00DD4F40"/>
    <w:rsid w:val="00DD500A"/>
    <w:rsid w:val="00DD69C0"/>
    <w:rsid w:val="00DD6DFD"/>
    <w:rsid w:val="00DD7FF8"/>
    <w:rsid w:val="00DE00B7"/>
    <w:rsid w:val="00DE119B"/>
    <w:rsid w:val="00DE120B"/>
    <w:rsid w:val="00DE13E8"/>
    <w:rsid w:val="00DE17C0"/>
    <w:rsid w:val="00DE1BFD"/>
    <w:rsid w:val="00DE2087"/>
    <w:rsid w:val="00DE2963"/>
    <w:rsid w:val="00DE3262"/>
    <w:rsid w:val="00DE40CC"/>
    <w:rsid w:val="00DE43F4"/>
    <w:rsid w:val="00DE5245"/>
    <w:rsid w:val="00DE5613"/>
    <w:rsid w:val="00DE645F"/>
    <w:rsid w:val="00DE6EB7"/>
    <w:rsid w:val="00DE753A"/>
    <w:rsid w:val="00DE7587"/>
    <w:rsid w:val="00DE78E2"/>
    <w:rsid w:val="00DF01BC"/>
    <w:rsid w:val="00DF0A7D"/>
    <w:rsid w:val="00DF23C0"/>
    <w:rsid w:val="00DF282D"/>
    <w:rsid w:val="00DF2D08"/>
    <w:rsid w:val="00DF3296"/>
    <w:rsid w:val="00DF3483"/>
    <w:rsid w:val="00DF386D"/>
    <w:rsid w:val="00DF3BBA"/>
    <w:rsid w:val="00DF4A03"/>
    <w:rsid w:val="00DF52BD"/>
    <w:rsid w:val="00DF576F"/>
    <w:rsid w:val="00DF5BF7"/>
    <w:rsid w:val="00DF5F0F"/>
    <w:rsid w:val="00DF6370"/>
    <w:rsid w:val="00DF6809"/>
    <w:rsid w:val="00DF77A5"/>
    <w:rsid w:val="00DF7C55"/>
    <w:rsid w:val="00DF7CA0"/>
    <w:rsid w:val="00E007CC"/>
    <w:rsid w:val="00E0276F"/>
    <w:rsid w:val="00E0330A"/>
    <w:rsid w:val="00E03585"/>
    <w:rsid w:val="00E03653"/>
    <w:rsid w:val="00E03D0A"/>
    <w:rsid w:val="00E03FD6"/>
    <w:rsid w:val="00E05117"/>
    <w:rsid w:val="00E058A0"/>
    <w:rsid w:val="00E05E22"/>
    <w:rsid w:val="00E063EB"/>
    <w:rsid w:val="00E06A0B"/>
    <w:rsid w:val="00E06E2C"/>
    <w:rsid w:val="00E072E7"/>
    <w:rsid w:val="00E07549"/>
    <w:rsid w:val="00E075DD"/>
    <w:rsid w:val="00E07909"/>
    <w:rsid w:val="00E100DF"/>
    <w:rsid w:val="00E12356"/>
    <w:rsid w:val="00E12454"/>
    <w:rsid w:val="00E124B5"/>
    <w:rsid w:val="00E1307D"/>
    <w:rsid w:val="00E13145"/>
    <w:rsid w:val="00E141A2"/>
    <w:rsid w:val="00E14C31"/>
    <w:rsid w:val="00E14C5C"/>
    <w:rsid w:val="00E14D8A"/>
    <w:rsid w:val="00E152FF"/>
    <w:rsid w:val="00E15D08"/>
    <w:rsid w:val="00E1601A"/>
    <w:rsid w:val="00E160E2"/>
    <w:rsid w:val="00E166FF"/>
    <w:rsid w:val="00E16DFC"/>
    <w:rsid w:val="00E171F9"/>
    <w:rsid w:val="00E200F9"/>
    <w:rsid w:val="00E20164"/>
    <w:rsid w:val="00E211E7"/>
    <w:rsid w:val="00E2334B"/>
    <w:rsid w:val="00E23F8C"/>
    <w:rsid w:val="00E2567B"/>
    <w:rsid w:val="00E25A5A"/>
    <w:rsid w:val="00E277FF"/>
    <w:rsid w:val="00E27951"/>
    <w:rsid w:val="00E27A34"/>
    <w:rsid w:val="00E30108"/>
    <w:rsid w:val="00E30290"/>
    <w:rsid w:val="00E30DB7"/>
    <w:rsid w:val="00E3154A"/>
    <w:rsid w:val="00E32B98"/>
    <w:rsid w:val="00E33274"/>
    <w:rsid w:val="00E33D10"/>
    <w:rsid w:val="00E34707"/>
    <w:rsid w:val="00E34B10"/>
    <w:rsid w:val="00E3577A"/>
    <w:rsid w:val="00E35863"/>
    <w:rsid w:val="00E35C1F"/>
    <w:rsid w:val="00E367F6"/>
    <w:rsid w:val="00E36E5F"/>
    <w:rsid w:val="00E409AA"/>
    <w:rsid w:val="00E40E80"/>
    <w:rsid w:val="00E41A24"/>
    <w:rsid w:val="00E41CE5"/>
    <w:rsid w:val="00E42CD1"/>
    <w:rsid w:val="00E43572"/>
    <w:rsid w:val="00E43A91"/>
    <w:rsid w:val="00E444AD"/>
    <w:rsid w:val="00E44708"/>
    <w:rsid w:val="00E447C3"/>
    <w:rsid w:val="00E44AD9"/>
    <w:rsid w:val="00E44D1E"/>
    <w:rsid w:val="00E4597E"/>
    <w:rsid w:val="00E45D2F"/>
    <w:rsid w:val="00E45E09"/>
    <w:rsid w:val="00E470F9"/>
    <w:rsid w:val="00E47566"/>
    <w:rsid w:val="00E47C77"/>
    <w:rsid w:val="00E47FF0"/>
    <w:rsid w:val="00E5005B"/>
    <w:rsid w:val="00E508E1"/>
    <w:rsid w:val="00E50BD1"/>
    <w:rsid w:val="00E51124"/>
    <w:rsid w:val="00E5233F"/>
    <w:rsid w:val="00E523A7"/>
    <w:rsid w:val="00E52868"/>
    <w:rsid w:val="00E5336D"/>
    <w:rsid w:val="00E539EB"/>
    <w:rsid w:val="00E53DAC"/>
    <w:rsid w:val="00E54799"/>
    <w:rsid w:val="00E547C0"/>
    <w:rsid w:val="00E549DB"/>
    <w:rsid w:val="00E54DED"/>
    <w:rsid w:val="00E54F50"/>
    <w:rsid w:val="00E55068"/>
    <w:rsid w:val="00E56988"/>
    <w:rsid w:val="00E56CEE"/>
    <w:rsid w:val="00E56F28"/>
    <w:rsid w:val="00E571ED"/>
    <w:rsid w:val="00E57BDC"/>
    <w:rsid w:val="00E6061C"/>
    <w:rsid w:val="00E6074B"/>
    <w:rsid w:val="00E6089B"/>
    <w:rsid w:val="00E61269"/>
    <w:rsid w:val="00E61F7A"/>
    <w:rsid w:val="00E621B0"/>
    <w:rsid w:val="00E63E44"/>
    <w:rsid w:val="00E641BC"/>
    <w:rsid w:val="00E6433F"/>
    <w:rsid w:val="00E6434C"/>
    <w:rsid w:val="00E645B6"/>
    <w:rsid w:val="00E64A5F"/>
    <w:rsid w:val="00E650C7"/>
    <w:rsid w:val="00E65BAA"/>
    <w:rsid w:val="00E65CE7"/>
    <w:rsid w:val="00E65F8B"/>
    <w:rsid w:val="00E669EC"/>
    <w:rsid w:val="00E66A24"/>
    <w:rsid w:val="00E66FCD"/>
    <w:rsid w:val="00E674CB"/>
    <w:rsid w:val="00E67EB2"/>
    <w:rsid w:val="00E70415"/>
    <w:rsid w:val="00E70553"/>
    <w:rsid w:val="00E70A04"/>
    <w:rsid w:val="00E70E8C"/>
    <w:rsid w:val="00E70F4D"/>
    <w:rsid w:val="00E72AB6"/>
    <w:rsid w:val="00E72B66"/>
    <w:rsid w:val="00E732E8"/>
    <w:rsid w:val="00E74278"/>
    <w:rsid w:val="00E75207"/>
    <w:rsid w:val="00E75413"/>
    <w:rsid w:val="00E754CA"/>
    <w:rsid w:val="00E754FE"/>
    <w:rsid w:val="00E757A2"/>
    <w:rsid w:val="00E75B62"/>
    <w:rsid w:val="00E7705F"/>
    <w:rsid w:val="00E77C5E"/>
    <w:rsid w:val="00E77DDB"/>
    <w:rsid w:val="00E77F25"/>
    <w:rsid w:val="00E80666"/>
    <w:rsid w:val="00E809E9"/>
    <w:rsid w:val="00E80C04"/>
    <w:rsid w:val="00E80E3E"/>
    <w:rsid w:val="00E80F1D"/>
    <w:rsid w:val="00E81954"/>
    <w:rsid w:val="00E82012"/>
    <w:rsid w:val="00E82AA6"/>
    <w:rsid w:val="00E82FE4"/>
    <w:rsid w:val="00E831F0"/>
    <w:rsid w:val="00E8320A"/>
    <w:rsid w:val="00E83D42"/>
    <w:rsid w:val="00E83FF6"/>
    <w:rsid w:val="00E84013"/>
    <w:rsid w:val="00E843B5"/>
    <w:rsid w:val="00E8461F"/>
    <w:rsid w:val="00E846A7"/>
    <w:rsid w:val="00E8488E"/>
    <w:rsid w:val="00E84992"/>
    <w:rsid w:val="00E84AED"/>
    <w:rsid w:val="00E84F25"/>
    <w:rsid w:val="00E852AD"/>
    <w:rsid w:val="00E86AD1"/>
    <w:rsid w:val="00E90A12"/>
    <w:rsid w:val="00E90A84"/>
    <w:rsid w:val="00E90FA8"/>
    <w:rsid w:val="00E90FC4"/>
    <w:rsid w:val="00E91B73"/>
    <w:rsid w:val="00E9218E"/>
    <w:rsid w:val="00E927A0"/>
    <w:rsid w:val="00E92A3B"/>
    <w:rsid w:val="00E92BD3"/>
    <w:rsid w:val="00E934BE"/>
    <w:rsid w:val="00E943F2"/>
    <w:rsid w:val="00E945E9"/>
    <w:rsid w:val="00E95634"/>
    <w:rsid w:val="00E959A1"/>
    <w:rsid w:val="00E9646B"/>
    <w:rsid w:val="00E968DB"/>
    <w:rsid w:val="00E9698C"/>
    <w:rsid w:val="00E96A7C"/>
    <w:rsid w:val="00E96CB3"/>
    <w:rsid w:val="00E9746E"/>
    <w:rsid w:val="00E97F8F"/>
    <w:rsid w:val="00EA0423"/>
    <w:rsid w:val="00EA0D1F"/>
    <w:rsid w:val="00EA128B"/>
    <w:rsid w:val="00EA12A5"/>
    <w:rsid w:val="00EA1CAF"/>
    <w:rsid w:val="00EA21E5"/>
    <w:rsid w:val="00EA2719"/>
    <w:rsid w:val="00EA3030"/>
    <w:rsid w:val="00EA3DF3"/>
    <w:rsid w:val="00EA40FC"/>
    <w:rsid w:val="00EA4416"/>
    <w:rsid w:val="00EA4A16"/>
    <w:rsid w:val="00EA4A24"/>
    <w:rsid w:val="00EA4C7F"/>
    <w:rsid w:val="00EA4E55"/>
    <w:rsid w:val="00EA4F7B"/>
    <w:rsid w:val="00EA5868"/>
    <w:rsid w:val="00EA5BFB"/>
    <w:rsid w:val="00EA622D"/>
    <w:rsid w:val="00EA7D0B"/>
    <w:rsid w:val="00EB013C"/>
    <w:rsid w:val="00EB0F7E"/>
    <w:rsid w:val="00EB11C4"/>
    <w:rsid w:val="00EB142F"/>
    <w:rsid w:val="00EB1F1F"/>
    <w:rsid w:val="00EB24E6"/>
    <w:rsid w:val="00EB263C"/>
    <w:rsid w:val="00EB2C96"/>
    <w:rsid w:val="00EB2CC1"/>
    <w:rsid w:val="00EB30AC"/>
    <w:rsid w:val="00EB3240"/>
    <w:rsid w:val="00EB328D"/>
    <w:rsid w:val="00EB3A45"/>
    <w:rsid w:val="00EB3C81"/>
    <w:rsid w:val="00EB4062"/>
    <w:rsid w:val="00EB42D5"/>
    <w:rsid w:val="00EB5657"/>
    <w:rsid w:val="00EB64DB"/>
    <w:rsid w:val="00EB6688"/>
    <w:rsid w:val="00EB7F13"/>
    <w:rsid w:val="00EC0996"/>
    <w:rsid w:val="00EC1289"/>
    <w:rsid w:val="00EC1387"/>
    <w:rsid w:val="00EC1497"/>
    <w:rsid w:val="00EC1602"/>
    <w:rsid w:val="00EC16B9"/>
    <w:rsid w:val="00EC1998"/>
    <w:rsid w:val="00EC1BBC"/>
    <w:rsid w:val="00EC284B"/>
    <w:rsid w:val="00EC41FD"/>
    <w:rsid w:val="00EC45BB"/>
    <w:rsid w:val="00EC55C3"/>
    <w:rsid w:val="00EC6EA5"/>
    <w:rsid w:val="00EC7263"/>
    <w:rsid w:val="00EC77BF"/>
    <w:rsid w:val="00EC7F5F"/>
    <w:rsid w:val="00ED03CA"/>
    <w:rsid w:val="00ED081D"/>
    <w:rsid w:val="00ED098E"/>
    <w:rsid w:val="00ED0CB5"/>
    <w:rsid w:val="00ED0E88"/>
    <w:rsid w:val="00ED1CD6"/>
    <w:rsid w:val="00ED2163"/>
    <w:rsid w:val="00ED2912"/>
    <w:rsid w:val="00ED3E14"/>
    <w:rsid w:val="00ED3ED1"/>
    <w:rsid w:val="00ED4B2E"/>
    <w:rsid w:val="00ED542C"/>
    <w:rsid w:val="00ED54FF"/>
    <w:rsid w:val="00ED5C38"/>
    <w:rsid w:val="00ED5DF2"/>
    <w:rsid w:val="00ED61EA"/>
    <w:rsid w:val="00ED7003"/>
    <w:rsid w:val="00ED70C0"/>
    <w:rsid w:val="00ED78F5"/>
    <w:rsid w:val="00ED7DA8"/>
    <w:rsid w:val="00EE1E8C"/>
    <w:rsid w:val="00EE2C56"/>
    <w:rsid w:val="00EE3936"/>
    <w:rsid w:val="00EE3F81"/>
    <w:rsid w:val="00EE40CC"/>
    <w:rsid w:val="00EE4E63"/>
    <w:rsid w:val="00EE4F65"/>
    <w:rsid w:val="00EE5A8D"/>
    <w:rsid w:val="00EE6618"/>
    <w:rsid w:val="00EE67A4"/>
    <w:rsid w:val="00EE6F52"/>
    <w:rsid w:val="00EE72EB"/>
    <w:rsid w:val="00EE775B"/>
    <w:rsid w:val="00EE7897"/>
    <w:rsid w:val="00EE78BA"/>
    <w:rsid w:val="00EF079D"/>
    <w:rsid w:val="00EF08FF"/>
    <w:rsid w:val="00EF0E0F"/>
    <w:rsid w:val="00EF160C"/>
    <w:rsid w:val="00EF1AC8"/>
    <w:rsid w:val="00EF1DA6"/>
    <w:rsid w:val="00EF411E"/>
    <w:rsid w:val="00EF4BCD"/>
    <w:rsid w:val="00EF5025"/>
    <w:rsid w:val="00EF52F0"/>
    <w:rsid w:val="00EF5E1F"/>
    <w:rsid w:val="00EF6989"/>
    <w:rsid w:val="00EF77C4"/>
    <w:rsid w:val="00EF7B84"/>
    <w:rsid w:val="00F012BB"/>
    <w:rsid w:val="00F01BF8"/>
    <w:rsid w:val="00F01ECB"/>
    <w:rsid w:val="00F0304A"/>
    <w:rsid w:val="00F03D24"/>
    <w:rsid w:val="00F03E90"/>
    <w:rsid w:val="00F045AA"/>
    <w:rsid w:val="00F05309"/>
    <w:rsid w:val="00F053EB"/>
    <w:rsid w:val="00F0569E"/>
    <w:rsid w:val="00F05946"/>
    <w:rsid w:val="00F06BD0"/>
    <w:rsid w:val="00F06F36"/>
    <w:rsid w:val="00F0732A"/>
    <w:rsid w:val="00F07F27"/>
    <w:rsid w:val="00F10632"/>
    <w:rsid w:val="00F10C7E"/>
    <w:rsid w:val="00F10C80"/>
    <w:rsid w:val="00F1149F"/>
    <w:rsid w:val="00F11D6A"/>
    <w:rsid w:val="00F124B3"/>
    <w:rsid w:val="00F132E0"/>
    <w:rsid w:val="00F14101"/>
    <w:rsid w:val="00F147AB"/>
    <w:rsid w:val="00F14DFA"/>
    <w:rsid w:val="00F1591B"/>
    <w:rsid w:val="00F174B7"/>
    <w:rsid w:val="00F22969"/>
    <w:rsid w:val="00F23599"/>
    <w:rsid w:val="00F23ECC"/>
    <w:rsid w:val="00F23F6D"/>
    <w:rsid w:val="00F24A7A"/>
    <w:rsid w:val="00F24FE3"/>
    <w:rsid w:val="00F252FA"/>
    <w:rsid w:val="00F255DC"/>
    <w:rsid w:val="00F25A6B"/>
    <w:rsid w:val="00F2633B"/>
    <w:rsid w:val="00F26AC4"/>
    <w:rsid w:val="00F26F9C"/>
    <w:rsid w:val="00F2755D"/>
    <w:rsid w:val="00F27EEB"/>
    <w:rsid w:val="00F300CF"/>
    <w:rsid w:val="00F30AF4"/>
    <w:rsid w:val="00F30E0C"/>
    <w:rsid w:val="00F312CB"/>
    <w:rsid w:val="00F312FC"/>
    <w:rsid w:val="00F31963"/>
    <w:rsid w:val="00F31FBF"/>
    <w:rsid w:val="00F34848"/>
    <w:rsid w:val="00F34BF9"/>
    <w:rsid w:val="00F34F42"/>
    <w:rsid w:val="00F34F47"/>
    <w:rsid w:val="00F3548D"/>
    <w:rsid w:val="00F356A7"/>
    <w:rsid w:val="00F35FB9"/>
    <w:rsid w:val="00F3680D"/>
    <w:rsid w:val="00F405B5"/>
    <w:rsid w:val="00F40929"/>
    <w:rsid w:val="00F41D56"/>
    <w:rsid w:val="00F42125"/>
    <w:rsid w:val="00F431E1"/>
    <w:rsid w:val="00F43901"/>
    <w:rsid w:val="00F43DE5"/>
    <w:rsid w:val="00F44579"/>
    <w:rsid w:val="00F44CB6"/>
    <w:rsid w:val="00F45A04"/>
    <w:rsid w:val="00F45F4A"/>
    <w:rsid w:val="00F460A0"/>
    <w:rsid w:val="00F46692"/>
    <w:rsid w:val="00F469FD"/>
    <w:rsid w:val="00F46A6B"/>
    <w:rsid w:val="00F46DD2"/>
    <w:rsid w:val="00F47493"/>
    <w:rsid w:val="00F47CC1"/>
    <w:rsid w:val="00F47D45"/>
    <w:rsid w:val="00F47E93"/>
    <w:rsid w:val="00F50A1D"/>
    <w:rsid w:val="00F50C1E"/>
    <w:rsid w:val="00F50D00"/>
    <w:rsid w:val="00F511E9"/>
    <w:rsid w:val="00F51A1B"/>
    <w:rsid w:val="00F51C9E"/>
    <w:rsid w:val="00F521C7"/>
    <w:rsid w:val="00F52DD5"/>
    <w:rsid w:val="00F52F49"/>
    <w:rsid w:val="00F532D5"/>
    <w:rsid w:val="00F53EFD"/>
    <w:rsid w:val="00F5452A"/>
    <w:rsid w:val="00F553FF"/>
    <w:rsid w:val="00F55600"/>
    <w:rsid w:val="00F57011"/>
    <w:rsid w:val="00F57233"/>
    <w:rsid w:val="00F57ABC"/>
    <w:rsid w:val="00F57F95"/>
    <w:rsid w:val="00F60F29"/>
    <w:rsid w:val="00F611D1"/>
    <w:rsid w:val="00F61236"/>
    <w:rsid w:val="00F6133B"/>
    <w:rsid w:val="00F61B1D"/>
    <w:rsid w:val="00F638D5"/>
    <w:rsid w:val="00F64CBA"/>
    <w:rsid w:val="00F65944"/>
    <w:rsid w:val="00F65957"/>
    <w:rsid w:val="00F665F5"/>
    <w:rsid w:val="00F67F47"/>
    <w:rsid w:val="00F67F89"/>
    <w:rsid w:val="00F70B79"/>
    <w:rsid w:val="00F70C2B"/>
    <w:rsid w:val="00F71A06"/>
    <w:rsid w:val="00F71BDD"/>
    <w:rsid w:val="00F722E0"/>
    <w:rsid w:val="00F743A4"/>
    <w:rsid w:val="00F747BA"/>
    <w:rsid w:val="00F74B1A"/>
    <w:rsid w:val="00F75541"/>
    <w:rsid w:val="00F75AD5"/>
    <w:rsid w:val="00F75D47"/>
    <w:rsid w:val="00F764CE"/>
    <w:rsid w:val="00F775FE"/>
    <w:rsid w:val="00F77D73"/>
    <w:rsid w:val="00F80335"/>
    <w:rsid w:val="00F807D2"/>
    <w:rsid w:val="00F80BBE"/>
    <w:rsid w:val="00F80CD9"/>
    <w:rsid w:val="00F80FBD"/>
    <w:rsid w:val="00F8192A"/>
    <w:rsid w:val="00F81D02"/>
    <w:rsid w:val="00F82CA2"/>
    <w:rsid w:val="00F82EC2"/>
    <w:rsid w:val="00F83481"/>
    <w:rsid w:val="00F8359D"/>
    <w:rsid w:val="00F83B19"/>
    <w:rsid w:val="00F84A0E"/>
    <w:rsid w:val="00F8646A"/>
    <w:rsid w:val="00F90118"/>
    <w:rsid w:val="00F90CE1"/>
    <w:rsid w:val="00F90D67"/>
    <w:rsid w:val="00F913F7"/>
    <w:rsid w:val="00F91429"/>
    <w:rsid w:val="00F923F7"/>
    <w:rsid w:val="00F92560"/>
    <w:rsid w:val="00F92EBD"/>
    <w:rsid w:val="00F936C6"/>
    <w:rsid w:val="00F937F3"/>
    <w:rsid w:val="00F94DD1"/>
    <w:rsid w:val="00F95112"/>
    <w:rsid w:val="00F951CE"/>
    <w:rsid w:val="00F952F8"/>
    <w:rsid w:val="00F9597C"/>
    <w:rsid w:val="00F95EED"/>
    <w:rsid w:val="00F96AD8"/>
    <w:rsid w:val="00F96E4B"/>
    <w:rsid w:val="00F974F5"/>
    <w:rsid w:val="00F97B1A"/>
    <w:rsid w:val="00F97DBB"/>
    <w:rsid w:val="00FA02E3"/>
    <w:rsid w:val="00FA0A2C"/>
    <w:rsid w:val="00FA0AF8"/>
    <w:rsid w:val="00FA1642"/>
    <w:rsid w:val="00FA2B3D"/>
    <w:rsid w:val="00FA32B3"/>
    <w:rsid w:val="00FA3AAF"/>
    <w:rsid w:val="00FA405D"/>
    <w:rsid w:val="00FA4868"/>
    <w:rsid w:val="00FA4D76"/>
    <w:rsid w:val="00FA5DD9"/>
    <w:rsid w:val="00FA6FB6"/>
    <w:rsid w:val="00FA78F5"/>
    <w:rsid w:val="00FA7EA2"/>
    <w:rsid w:val="00FA7F81"/>
    <w:rsid w:val="00FB0170"/>
    <w:rsid w:val="00FB0814"/>
    <w:rsid w:val="00FB0B11"/>
    <w:rsid w:val="00FB3385"/>
    <w:rsid w:val="00FB34A3"/>
    <w:rsid w:val="00FB571F"/>
    <w:rsid w:val="00FB64D8"/>
    <w:rsid w:val="00FB6946"/>
    <w:rsid w:val="00FB6AA1"/>
    <w:rsid w:val="00FB6CAA"/>
    <w:rsid w:val="00FB74E3"/>
    <w:rsid w:val="00FC0004"/>
    <w:rsid w:val="00FC041C"/>
    <w:rsid w:val="00FC04A7"/>
    <w:rsid w:val="00FC07C2"/>
    <w:rsid w:val="00FC2186"/>
    <w:rsid w:val="00FC2307"/>
    <w:rsid w:val="00FC24D8"/>
    <w:rsid w:val="00FC27BC"/>
    <w:rsid w:val="00FC2B3B"/>
    <w:rsid w:val="00FC2C0F"/>
    <w:rsid w:val="00FC3B36"/>
    <w:rsid w:val="00FC4064"/>
    <w:rsid w:val="00FC53D5"/>
    <w:rsid w:val="00FC7205"/>
    <w:rsid w:val="00FC724D"/>
    <w:rsid w:val="00FC732E"/>
    <w:rsid w:val="00FC73CC"/>
    <w:rsid w:val="00FD002F"/>
    <w:rsid w:val="00FD0467"/>
    <w:rsid w:val="00FD0851"/>
    <w:rsid w:val="00FD0B4D"/>
    <w:rsid w:val="00FD0FC8"/>
    <w:rsid w:val="00FD129C"/>
    <w:rsid w:val="00FD1458"/>
    <w:rsid w:val="00FD17BB"/>
    <w:rsid w:val="00FD1B27"/>
    <w:rsid w:val="00FD1BCE"/>
    <w:rsid w:val="00FD2528"/>
    <w:rsid w:val="00FD2973"/>
    <w:rsid w:val="00FD2D48"/>
    <w:rsid w:val="00FD3577"/>
    <w:rsid w:val="00FD3736"/>
    <w:rsid w:val="00FD3CB3"/>
    <w:rsid w:val="00FD4BFE"/>
    <w:rsid w:val="00FD4E7D"/>
    <w:rsid w:val="00FD516C"/>
    <w:rsid w:val="00FD530F"/>
    <w:rsid w:val="00FD5954"/>
    <w:rsid w:val="00FD66B8"/>
    <w:rsid w:val="00FD68F2"/>
    <w:rsid w:val="00FD6EE3"/>
    <w:rsid w:val="00FD7472"/>
    <w:rsid w:val="00FD7762"/>
    <w:rsid w:val="00FD785E"/>
    <w:rsid w:val="00FD7BFC"/>
    <w:rsid w:val="00FD7DAD"/>
    <w:rsid w:val="00FE0192"/>
    <w:rsid w:val="00FE05F9"/>
    <w:rsid w:val="00FE0B90"/>
    <w:rsid w:val="00FE1430"/>
    <w:rsid w:val="00FE218A"/>
    <w:rsid w:val="00FE246D"/>
    <w:rsid w:val="00FE2BAD"/>
    <w:rsid w:val="00FE4AA5"/>
    <w:rsid w:val="00FE59B8"/>
    <w:rsid w:val="00FE5C0F"/>
    <w:rsid w:val="00FE69CF"/>
    <w:rsid w:val="00FE6AB5"/>
    <w:rsid w:val="00FE708D"/>
    <w:rsid w:val="00FE73D9"/>
    <w:rsid w:val="00FE768E"/>
    <w:rsid w:val="00FE7B8C"/>
    <w:rsid w:val="00FF0925"/>
    <w:rsid w:val="00FF0BCA"/>
    <w:rsid w:val="00FF17EC"/>
    <w:rsid w:val="00FF1CBD"/>
    <w:rsid w:val="00FF50AF"/>
    <w:rsid w:val="00FF571F"/>
    <w:rsid w:val="00FF5A66"/>
    <w:rsid w:val="00FF5AC3"/>
    <w:rsid w:val="00FF5C0E"/>
    <w:rsid w:val="00FF6167"/>
    <w:rsid w:val="00FF67A2"/>
    <w:rsid w:val="00FF69D3"/>
    <w:rsid w:val="00FF7375"/>
    <w:rsid w:val="010158B1"/>
    <w:rsid w:val="010A352A"/>
    <w:rsid w:val="010C1960"/>
    <w:rsid w:val="010F4961"/>
    <w:rsid w:val="011D16E3"/>
    <w:rsid w:val="013D70D8"/>
    <w:rsid w:val="014C6C69"/>
    <w:rsid w:val="015211B2"/>
    <w:rsid w:val="01560E65"/>
    <w:rsid w:val="01635CBC"/>
    <w:rsid w:val="0168270A"/>
    <w:rsid w:val="018E4FBA"/>
    <w:rsid w:val="01B61D13"/>
    <w:rsid w:val="01BA6C42"/>
    <w:rsid w:val="01C315F3"/>
    <w:rsid w:val="01C42947"/>
    <w:rsid w:val="01C724DD"/>
    <w:rsid w:val="01C8068D"/>
    <w:rsid w:val="01C93B03"/>
    <w:rsid w:val="01DA22E8"/>
    <w:rsid w:val="01DC430B"/>
    <w:rsid w:val="01E56D51"/>
    <w:rsid w:val="01E808E5"/>
    <w:rsid w:val="01EC5964"/>
    <w:rsid w:val="01F32682"/>
    <w:rsid w:val="01F76937"/>
    <w:rsid w:val="01FE121F"/>
    <w:rsid w:val="020801E0"/>
    <w:rsid w:val="020C26B9"/>
    <w:rsid w:val="020E2D07"/>
    <w:rsid w:val="020E4272"/>
    <w:rsid w:val="02122902"/>
    <w:rsid w:val="021D57BF"/>
    <w:rsid w:val="0220162A"/>
    <w:rsid w:val="022607FC"/>
    <w:rsid w:val="022A4578"/>
    <w:rsid w:val="023301F3"/>
    <w:rsid w:val="023C07B0"/>
    <w:rsid w:val="023D59A2"/>
    <w:rsid w:val="02437F22"/>
    <w:rsid w:val="024A5727"/>
    <w:rsid w:val="025579D8"/>
    <w:rsid w:val="025644C2"/>
    <w:rsid w:val="02573E08"/>
    <w:rsid w:val="025A7F5B"/>
    <w:rsid w:val="02610164"/>
    <w:rsid w:val="02710ACF"/>
    <w:rsid w:val="027741A0"/>
    <w:rsid w:val="02850240"/>
    <w:rsid w:val="028E58D5"/>
    <w:rsid w:val="02AF6825"/>
    <w:rsid w:val="02B61E86"/>
    <w:rsid w:val="02C609F3"/>
    <w:rsid w:val="02CD38AA"/>
    <w:rsid w:val="02D87ED1"/>
    <w:rsid w:val="02E53A69"/>
    <w:rsid w:val="02EA3359"/>
    <w:rsid w:val="02EE0D4B"/>
    <w:rsid w:val="02F6036C"/>
    <w:rsid w:val="030A17B7"/>
    <w:rsid w:val="0321201B"/>
    <w:rsid w:val="033F2E6B"/>
    <w:rsid w:val="034A38CF"/>
    <w:rsid w:val="034B0503"/>
    <w:rsid w:val="034F0FFC"/>
    <w:rsid w:val="03560B25"/>
    <w:rsid w:val="035B0474"/>
    <w:rsid w:val="035D78A9"/>
    <w:rsid w:val="037378B9"/>
    <w:rsid w:val="03852A2A"/>
    <w:rsid w:val="038E0B03"/>
    <w:rsid w:val="039B360E"/>
    <w:rsid w:val="03A557E2"/>
    <w:rsid w:val="03B037DB"/>
    <w:rsid w:val="03B13DC0"/>
    <w:rsid w:val="03B30075"/>
    <w:rsid w:val="03B54F6E"/>
    <w:rsid w:val="03BC6D6F"/>
    <w:rsid w:val="03D65E0B"/>
    <w:rsid w:val="03F36379"/>
    <w:rsid w:val="04052511"/>
    <w:rsid w:val="040618CC"/>
    <w:rsid w:val="04255B22"/>
    <w:rsid w:val="042C2195"/>
    <w:rsid w:val="0434039F"/>
    <w:rsid w:val="0434326B"/>
    <w:rsid w:val="0438760B"/>
    <w:rsid w:val="043C33B3"/>
    <w:rsid w:val="044B204F"/>
    <w:rsid w:val="048465EF"/>
    <w:rsid w:val="0496443E"/>
    <w:rsid w:val="04AE4786"/>
    <w:rsid w:val="04C41BFD"/>
    <w:rsid w:val="04F6464E"/>
    <w:rsid w:val="051253DF"/>
    <w:rsid w:val="05260369"/>
    <w:rsid w:val="052905BF"/>
    <w:rsid w:val="05345444"/>
    <w:rsid w:val="053A45D1"/>
    <w:rsid w:val="05487D41"/>
    <w:rsid w:val="0564098A"/>
    <w:rsid w:val="056F0D42"/>
    <w:rsid w:val="05755452"/>
    <w:rsid w:val="057B359B"/>
    <w:rsid w:val="057E24DC"/>
    <w:rsid w:val="058B0AA7"/>
    <w:rsid w:val="05912BC0"/>
    <w:rsid w:val="05914928"/>
    <w:rsid w:val="05A0730A"/>
    <w:rsid w:val="05A522F8"/>
    <w:rsid w:val="05A7624B"/>
    <w:rsid w:val="05AD4641"/>
    <w:rsid w:val="05AF7C75"/>
    <w:rsid w:val="05C20286"/>
    <w:rsid w:val="05C251A9"/>
    <w:rsid w:val="05C71E6C"/>
    <w:rsid w:val="05D014C0"/>
    <w:rsid w:val="05E03733"/>
    <w:rsid w:val="05E55829"/>
    <w:rsid w:val="05E75240"/>
    <w:rsid w:val="05F74B11"/>
    <w:rsid w:val="05FC776F"/>
    <w:rsid w:val="06053FBB"/>
    <w:rsid w:val="060A3293"/>
    <w:rsid w:val="0614307D"/>
    <w:rsid w:val="06194E37"/>
    <w:rsid w:val="06213418"/>
    <w:rsid w:val="06240874"/>
    <w:rsid w:val="06465656"/>
    <w:rsid w:val="065E763A"/>
    <w:rsid w:val="067047F8"/>
    <w:rsid w:val="067E4A22"/>
    <w:rsid w:val="0683198E"/>
    <w:rsid w:val="06864A4B"/>
    <w:rsid w:val="068D44F5"/>
    <w:rsid w:val="06AB3DD1"/>
    <w:rsid w:val="06AF2FFB"/>
    <w:rsid w:val="06BC3781"/>
    <w:rsid w:val="06D50BEB"/>
    <w:rsid w:val="06D74A2C"/>
    <w:rsid w:val="06EB3F3F"/>
    <w:rsid w:val="06F577E8"/>
    <w:rsid w:val="071507C8"/>
    <w:rsid w:val="07225785"/>
    <w:rsid w:val="072873BB"/>
    <w:rsid w:val="073238F1"/>
    <w:rsid w:val="073B6FE0"/>
    <w:rsid w:val="074111B1"/>
    <w:rsid w:val="074D6575"/>
    <w:rsid w:val="07533F36"/>
    <w:rsid w:val="07596741"/>
    <w:rsid w:val="075E0B8E"/>
    <w:rsid w:val="076152B8"/>
    <w:rsid w:val="07661999"/>
    <w:rsid w:val="07664E77"/>
    <w:rsid w:val="07731EAA"/>
    <w:rsid w:val="07742032"/>
    <w:rsid w:val="07750F25"/>
    <w:rsid w:val="0777285B"/>
    <w:rsid w:val="0787735D"/>
    <w:rsid w:val="079316D9"/>
    <w:rsid w:val="07A02254"/>
    <w:rsid w:val="07A40D0D"/>
    <w:rsid w:val="07A62AA0"/>
    <w:rsid w:val="07C44E7A"/>
    <w:rsid w:val="07CA6BFF"/>
    <w:rsid w:val="07D17BF9"/>
    <w:rsid w:val="07D3202E"/>
    <w:rsid w:val="07D356C3"/>
    <w:rsid w:val="07D3662D"/>
    <w:rsid w:val="07ED3E50"/>
    <w:rsid w:val="07F11D5C"/>
    <w:rsid w:val="07F2611C"/>
    <w:rsid w:val="07F72612"/>
    <w:rsid w:val="08187148"/>
    <w:rsid w:val="081C3048"/>
    <w:rsid w:val="08254DA9"/>
    <w:rsid w:val="083165EE"/>
    <w:rsid w:val="084D55BB"/>
    <w:rsid w:val="08503B40"/>
    <w:rsid w:val="08533D34"/>
    <w:rsid w:val="085C2EE0"/>
    <w:rsid w:val="086B7E47"/>
    <w:rsid w:val="087A6560"/>
    <w:rsid w:val="088A0927"/>
    <w:rsid w:val="088A55B4"/>
    <w:rsid w:val="08A635A7"/>
    <w:rsid w:val="08AD6C17"/>
    <w:rsid w:val="08B16A03"/>
    <w:rsid w:val="08BB2F44"/>
    <w:rsid w:val="08C44DDC"/>
    <w:rsid w:val="08C950D4"/>
    <w:rsid w:val="08D22D3E"/>
    <w:rsid w:val="08D84962"/>
    <w:rsid w:val="08E101DB"/>
    <w:rsid w:val="08E52A7D"/>
    <w:rsid w:val="08EB18BA"/>
    <w:rsid w:val="08F762BA"/>
    <w:rsid w:val="090E17D7"/>
    <w:rsid w:val="091B1D9A"/>
    <w:rsid w:val="092019C2"/>
    <w:rsid w:val="09250729"/>
    <w:rsid w:val="092D16AE"/>
    <w:rsid w:val="093A3911"/>
    <w:rsid w:val="093C3E5F"/>
    <w:rsid w:val="093C6A5A"/>
    <w:rsid w:val="094853D6"/>
    <w:rsid w:val="094C2CFC"/>
    <w:rsid w:val="09505536"/>
    <w:rsid w:val="09505EB9"/>
    <w:rsid w:val="09617B60"/>
    <w:rsid w:val="096631CD"/>
    <w:rsid w:val="096819E5"/>
    <w:rsid w:val="09731112"/>
    <w:rsid w:val="09742DA2"/>
    <w:rsid w:val="097914E1"/>
    <w:rsid w:val="097D0060"/>
    <w:rsid w:val="097F3EC8"/>
    <w:rsid w:val="098B79AF"/>
    <w:rsid w:val="098E0E17"/>
    <w:rsid w:val="099230F1"/>
    <w:rsid w:val="09926C3F"/>
    <w:rsid w:val="09A360F7"/>
    <w:rsid w:val="09AA0CF8"/>
    <w:rsid w:val="09B34C39"/>
    <w:rsid w:val="09B35E37"/>
    <w:rsid w:val="09B36FD7"/>
    <w:rsid w:val="09D76741"/>
    <w:rsid w:val="09D76F1E"/>
    <w:rsid w:val="09E849FF"/>
    <w:rsid w:val="09ED650C"/>
    <w:rsid w:val="09FE0880"/>
    <w:rsid w:val="0A06218B"/>
    <w:rsid w:val="0A09306F"/>
    <w:rsid w:val="0A160DA1"/>
    <w:rsid w:val="0A2D7411"/>
    <w:rsid w:val="0A31455B"/>
    <w:rsid w:val="0A35554F"/>
    <w:rsid w:val="0A3E236F"/>
    <w:rsid w:val="0A496008"/>
    <w:rsid w:val="0A594461"/>
    <w:rsid w:val="0A5C1B8B"/>
    <w:rsid w:val="0A5D1ED0"/>
    <w:rsid w:val="0A6777D2"/>
    <w:rsid w:val="0A711FBF"/>
    <w:rsid w:val="0A733318"/>
    <w:rsid w:val="0A7A21D4"/>
    <w:rsid w:val="0A9170DF"/>
    <w:rsid w:val="0A9950FF"/>
    <w:rsid w:val="0A9F0577"/>
    <w:rsid w:val="0ABD5083"/>
    <w:rsid w:val="0AC41053"/>
    <w:rsid w:val="0ACA75C8"/>
    <w:rsid w:val="0ACE0658"/>
    <w:rsid w:val="0AD64734"/>
    <w:rsid w:val="0AE36634"/>
    <w:rsid w:val="0AE36AF8"/>
    <w:rsid w:val="0AF15CFA"/>
    <w:rsid w:val="0AFC003F"/>
    <w:rsid w:val="0B016806"/>
    <w:rsid w:val="0B05567B"/>
    <w:rsid w:val="0B08299E"/>
    <w:rsid w:val="0B0C27DE"/>
    <w:rsid w:val="0B17115E"/>
    <w:rsid w:val="0B1E2202"/>
    <w:rsid w:val="0B252B6D"/>
    <w:rsid w:val="0B3253FF"/>
    <w:rsid w:val="0B3E02C1"/>
    <w:rsid w:val="0B5C1083"/>
    <w:rsid w:val="0B5C2E5D"/>
    <w:rsid w:val="0B6039B7"/>
    <w:rsid w:val="0B691BF6"/>
    <w:rsid w:val="0B6C2785"/>
    <w:rsid w:val="0B767A76"/>
    <w:rsid w:val="0B7B1564"/>
    <w:rsid w:val="0B7E5142"/>
    <w:rsid w:val="0B820F62"/>
    <w:rsid w:val="0B980BE8"/>
    <w:rsid w:val="0B9E3A77"/>
    <w:rsid w:val="0BA453E8"/>
    <w:rsid w:val="0BC43905"/>
    <w:rsid w:val="0BC57F2C"/>
    <w:rsid w:val="0BD406C2"/>
    <w:rsid w:val="0BE2375B"/>
    <w:rsid w:val="0BE434CD"/>
    <w:rsid w:val="0BE657EA"/>
    <w:rsid w:val="0BF3162B"/>
    <w:rsid w:val="0BFD164D"/>
    <w:rsid w:val="0C006213"/>
    <w:rsid w:val="0C135EC4"/>
    <w:rsid w:val="0C1647E7"/>
    <w:rsid w:val="0C2B1E1F"/>
    <w:rsid w:val="0C2B7B75"/>
    <w:rsid w:val="0C5229D9"/>
    <w:rsid w:val="0C5B2877"/>
    <w:rsid w:val="0C8A7A0F"/>
    <w:rsid w:val="0C95588D"/>
    <w:rsid w:val="0C977A45"/>
    <w:rsid w:val="0CA473FB"/>
    <w:rsid w:val="0CA96169"/>
    <w:rsid w:val="0CB1228C"/>
    <w:rsid w:val="0CB83E97"/>
    <w:rsid w:val="0CBA3F12"/>
    <w:rsid w:val="0CBD63A2"/>
    <w:rsid w:val="0CBE1594"/>
    <w:rsid w:val="0CC21FCD"/>
    <w:rsid w:val="0CC812BA"/>
    <w:rsid w:val="0CC846C1"/>
    <w:rsid w:val="0CDA72FB"/>
    <w:rsid w:val="0CF828DA"/>
    <w:rsid w:val="0CFF1682"/>
    <w:rsid w:val="0D0402A5"/>
    <w:rsid w:val="0D1A52FE"/>
    <w:rsid w:val="0D26451B"/>
    <w:rsid w:val="0D287AD8"/>
    <w:rsid w:val="0D2A49B2"/>
    <w:rsid w:val="0D3A334A"/>
    <w:rsid w:val="0D467E81"/>
    <w:rsid w:val="0D4A7916"/>
    <w:rsid w:val="0D512D8F"/>
    <w:rsid w:val="0D6670E9"/>
    <w:rsid w:val="0D79701A"/>
    <w:rsid w:val="0D8B1869"/>
    <w:rsid w:val="0D901583"/>
    <w:rsid w:val="0D907F6B"/>
    <w:rsid w:val="0D921EF1"/>
    <w:rsid w:val="0D9B50BB"/>
    <w:rsid w:val="0D9D0F58"/>
    <w:rsid w:val="0DA26C7B"/>
    <w:rsid w:val="0DA3136F"/>
    <w:rsid w:val="0DA769A8"/>
    <w:rsid w:val="0DB6207F"/>
    <w:rsid w:val="0DD47594"/>
    <w:rsid w:val="0DDC464C"/>
    <w:rsid w:val="0DE17029"/>
    <w:rsid w:val="0DE21FDA"/>
    <w:rsid w:val="0DE55DB5"/>
    <w:rsid w:val="0DF04E2B"/>
    <w:rsid w:val="0DF5437D"/>
    <w:rsid w:val="0DF60015"/>
    <w:rsid w:val="0E080EBC"/>
    <w:rsid w:val="0E0A5AA3"/>
    <w:rsid w:val="0E1908BD"/>
    <w:rsid w:val="0E2F7F12"/>
    <w:rsid w:val="0E4423FE"/>
    <w:rsid w:val="0E487CBF"/>
    <w:rsid w:val="0E4F2897"/>
    <w:rsid w:val="0E5A517E"/>
    <w:rsid w:val="0E623785"/>
    <w:rsid w:val="0E6333CF"/>
    <w:rsid w:val="0E6E3BA6"/>
    <w:rsid w:val="0E704E46"/>
    <w:rsid w:val="0E72334F"/>
    <w:rsid w:val="0E8A32FA"/>
    <w:rsid w:val="0E982238"/>
    <w:rsid w:val="0EA4172A"/>
    <w:rsid w:val="0EA7480A"/>
    <w:rsid w:val="0EC20A29"/>
    <w:rsid w:val="0EC757F3"/>
    <w:rsid w:val="0ECE43E8"/>
    <w:rsid w:val="0ECE4E8F"/>
    <w:rsid w:val="0ECF5966"/>
    <w:rsid w:val="0ECF7029"/>
    <w:rsid w:val="0ED57D13"/>
    <w:rsid w:val="0ED76303"/>
    <w:rsid w:val="0EDA6E4F"/>
    <w:rsid w:val="0EDE357E"/>
    <w:rsid w:val="0EE47744"/>
    <w:rsid w:val="0EE92265"/>
    <w:rsid w:val="0EEB1D0A"/>
    <w:rsid w:val="0EF52D1F"/>
    <w:rsid w:val="0F070AF5"/>
    <w:rsid w:val="0F095DD2"/>
    <w:rsid w:val="0F0D2F45"/>
    <w:rsid w:val="0F2D3A21"/>
    <w:rsid w:val="0F3D705F"/>
    <w:rsid w:val="0F4C70F6"/>
    <w:rsid w:val="0F6961A5"/>
    <w:rsid w:val="0F70697C"/>
    <w:rsid w:val="0F73443D"/>
    <w:rsid w:val="0F7473A7"/>
    <w:rsid w:val="0F7906CA"/>
    <w:rsid w:val="0F966685"/>
    <w:rsid w:val="0F9B3B19"/>
    <w:rsid w:val="0F9D586C"/>
    <w:rsid w:val="0F9E020A"/>
    <w:rsid w:val="0FAE1CD4"/>
    <w:rsid w:val="0FC72CA6"/>
    <w:rsid w:val="0FC77CD1"/>
    <w:rsid w:val="0FFA73C5"/>
    <w:rsid w:val="0FFC5567"/>
    <w:rsid w:val="100915F5"/>
    <w:rsid w:val="100B1D5C"/>
    <w:rsid w:val="100D7F34"/>
    <w:rsid w:val="101E049B"/>
    <w:rsid w:val="102D686A"/>
    <w:rsid w:val="1035646A"/>
    <w:rsid w:val="103602A5"/>
    <w:rsid w:val="103964E8"/>
    <w:rsid w:val="103F5AF5"/>
    <w:rsid w:val="10611DC9"/>
    <w:rsid w:val="10690FE8"/>
    <w:rsid w:val="106A5813"/>
    <w:rsid w:val="10720701"/>
    <w:rsid w:val="10724084"/>
    <w:rsid w:val="107F6B01"/>
    <w:rsid w:val="10836E9B"/>
    <w:rsid w:val="1094680D"/>
    <w:rsid w:val="10951DFF"/>
    <w:rsid w:val="109C6E7F"/>
    <w:rsid w:val="10A764FC"/>
    <w:rsid w:val="10AB2E1C"/>
    <w:rsid w:val="10B37D7E"/>
    <w:rsid w:val="10B52687"/>
    <w:rsid w:val="10BD746C"/>
    <w:rsid w:val="10C176D7"/>
    <w:rsid w:val="10D46487"/>
    <w:rsid w:val="10DA5124"/>
    <w:rsid w:val="10E52CF1"/>
    <w:rsid w:val="10F1283D"/>
    <w:rsid w:val="11052DDC"/>
    <w:rsid w:val="111100E2"/>
    <w:rsid w:val="1117786B"/>
    <w:rsid w:val="112A1620"/>
    <w:rsid w:val="11475793"/>
    <w:rsid w:val="11521273"/>
    <w:rsid w:val="115477D7"/>
    <w:rsid w:val="1156359C"/>
    <w:rsid w:val="11613D9A"/>
    <w:rsid w:val="117633CA"/>
    <w:rsid w:val="117E6D49"/>
    <w:rsid w:val="118C522D"/>
    <w:rsid w:val="118D718A"/>
    <w:rsid w:val="118E3EA0"/>
    <w:rsid w:val="119767DA"/>
    <w:rsid w:val="11987110"/>
    <w:rsid w:val="11991A9E"/>
    <w:rsid w:val="11997572"/>
    <w:rsid w:val="119C4A41"/>
    <w:rsid w:val="11A02ADA"/>
    <w:rsid w:val="11B63CBF"/>
    <w:rsid w:val="11B77168"/>
    <w:rsid w:val="11C1305F"/>
    <w:rsid w:val="11C37F70"/>
    <w:rsid w:val="11C550BD"/>
    <w:rsid w:val="11D82DE0"/>
    <w:rsid w:val="11DC70ED"/>
    <w:rsid w:val="11F94CE8"/>
    <w:rsid w:val="12034524"/>
    <w:rsid w:val="1215051F"/>
    <w:rsid w:val="1218568A"/>
    <w:rsid w:val="121E75B5"/>
    <w:rsid w:val="12365DC4"/>
    <w:rsid w:val="124310E0"/>
    <w:rsid w:val="12440CC9"/>
    <w:rsid w:val="124945F2"/>
    <w:rsid w:val="12592381"/>
    <w:rsid w:val="125C2EB3"/>
    <w:rsid w:val="12684A9C"/>
    <w:rsid w:val="127F54C5"/>
    <w:rsid w:val="1282187D"/>
    <w:rsid w:val="12916C0B"/>
    <w:rsid w:val="12970DFF"/>
    <w:rsid w:val="129A6B8B"/>
    <w:rsid w:val="12A850E7"/>
    <w:rsid w:val="12A90CFC"/>
    <w:rsid w:val="12A95078"/>
    <w:rsid w:val="12AB12CA"/>
    <w:rsid w:val="12AD5DA2"/>
    <w:rsid w:val="12B52742"/>
    <w:rsid w:val="12B85F61"/>
    <w:rsid w:val="12CF169A"/>
    <w:rsid w:val="12DF2F88"/>
    <w:rsid w:val="12F33ED2"/>
    <w:rsid w:val="12F518C6"/>
    <w:rsid w:val="13037F17"/>
    <w:rsid w:val="1304704C"/>
    <w:rsid w:val="130A17FE"/>
    <w:rsid w:val="131D1A7B"/>
    <w:rsid w:val="13237D3F"/>
    <w:rsid w:val="132C01E4"/>
    <w:rsid w:val="13331816"/>
    <w:rsid w:val="13337327"/>
    <w:rsid w:val="133A5CB6"/>
    <w:rsid w:val="13476103"/>
    <w:rsid w:val="13491C6E"/>
    <w:rsid w:val="134E58B1"/>
    <w:rsid w:val="1351565F"/>
    <w:rsid w:val="1354004B"/>
    <w:rsid w:val="135B52E2"/>
    <w:rsid w:val="135F0040"/>
    <w:rsid w:val="136C4A29"/>
    <w:rsid w:val="1373507E"/>
    <w:rsid w:val="1374649F"/>
    <w:rsid w:val="13751A10"/>
    <w:rsid w:val="137676B6"/>
    <w:rsid w:val="137B2671"/>
    <w:rsid w:val="137B7C04"/>
    <w:rsid w:val="139134A4"/>
    <w:rsid w:val="13A7188E"/>
    <w:rsid w:val="13A7748F"/>
    <w:rsid w:val="13B023D6"/>
    <w:rsid w:val="13B15766"/>
    <w:rsid w:val="13B160CF"/>
    <w:rsid w:val="13B27B58"/>
    <w:rsid w:val="13E27516"/>
    <w:rsid w:val="13E3431C"/>
    <w:rsid w:val="13E72565"/>
    <w:rsid w:val="13F5150B"/>
    <w:rsid w:val="14144F04"/>
    <w:rsid w:val="14272406"/>
    <w:rsid w:val="142725E2"/>
    <w:rsid w:val="14280182"/>
    <w:rsid w:val="14280FB7"/>
    <w:rsid w:val="142C2B38"/>
    <w:rsid w:val="14322A6E"/>
    <w:rsid w:val="14364954"/>
    <w:rsid w:val="144E453D"/>
    <w:rsid w:val="146E0E5F"/>
    <w:rsid w:val="146E328D"/>
    <w:rsid w:val="147B3F25"/>
    <w:rsid w:val="147D6FEC"/>
    <w:rsid w:val="148A223A"/>
    <w:rsid w:val="14954F4A"/>
    <w:rsid w:val="14A223D0"/>
    <w:rsid w:val="14AF1113"/>
    <w:rsid w:val="14B026D8"/>
    <w:rsid w:val="14B2340A"/>
    <w:rsid w:val="14B368BD"/>
    <w:rsid w:val="14B9367F"/>
    <w:rsid w:val="14BB488D"/>
    <w:rsid w:val="14D55592"/>
    <w:rsid w:val="14F9576B"/>
    <w:rsid w:val="150739C0"/>
    <w:rsid w:val="151806CC"/>
    <w:rsid w:val="1527040A"/>
    <w:rsid w:val="15282B85"/>
    <w:rsid w:val="153F142A"/>
    <w:rsid w:val="15486723"/>
    <w:rsid w:val="154A341E"/>
    <w:rsid w:val="154A4329"/>
    <w:rsid w:val="154D24C3"/>
    <w:rsid w:val="1551250B"/>
    <w:rsid w:val="15681DA6"/>
    <w:rsid w:val="156D1FC6"/>
    <w:rsid w:val="15703C3D"/>
    <w:rsid w:val="157D1BA9"/>
    <w:rsid w:val="157E16C4"/>
    <w:rsid w:val="15811718"/>
    <w:rsid w:val="15947A70"/>
    <w:rsid w:val="159544DF"/>
    <w:rsid w:val="15A11C17"/>
    <w:rsid w:val="15A56B1C"/>
    <w:rsid w:val="15AA6D08"/>
    <w:rsid w:val="15BC2141"/>
    <w:rsid w:val="15BD6DBB"/>
    <w:rsid w:val="15C26A24"/>
    <w:rsid w:val="15C52E14"/>
    <w:rsid w:val="15C64E42"/>
    <w:rsid w:val="15CC1848"/>
    <w:rsid w:val="15D01776"/>
    <w:rsid w:val="15DF40A0"/>
    <w:rsid w:val="15F31F6F"/>
    <w:rsid w:val="16102B37"/>
    <w:rsid w:val="16150AF5"/>
    <w:rsid w:val="16190F79"/>
    <w:rsid w:val="161A65B5"/>
    <w:rsid w:val="161D0B5E"/>
    <w:rsid w:val="162538B1"/>
    <w:rsid w:val="16421465"/>
    <w:rsid w:val="164668A0"/>
    <w:rsid w:val="165151F0"/>
    <w:rsid w:val="16596256"/>
    <w:rsid w:val="165C6476"/>
    <w:rsid w:val="166E0EDF"/>
    <w:rsid w:val="16762C6B"/>
    <w:rsid w:val="167830F9"/>
    <w:rsid w:val="167F52D8"/>
    <w:rsid w:val="16843FE8"/>
    <w:rsid w:val="16896A62"/>
    <w:rsid w:val="169B4CEA"/>
    <w:rsid w:val="16A02485"/>
    <w:rsid w:val="16A04C8D"/>
    <w:rsid w:val="16B234ED"/>
    <w:rsid w:val="16BB79CC"/>
    <w:rsid w:val="16BC0529"/>
    <w:rsid w:val="16BC406E"/>
    <w:rsid w:val="16BF2673"/>
    <w:rsid w:val="16D3067D"/>
    <w:rsid w:val="16D62921"/>
    <w:rsid w:val="16E45F1E"/>
    <w:rsid w:val="16E6448D"/>
    <w:rsid w:val="16EB5997"/>
    <w:rsid w:val="16EC2F9F"/>
    <w:rsid w:val="16F85665"/>
    <w:rsid w:val="171A3B8C"/>
    <w:rsid w:val="171C67BB"/>
    <w:rsid w:val="172B40E8"/>
    <w:rsid w:val="17431E9E"/>
    <w:rsid w:val="17444F6D"/>
    <w:rsid w:val="17683AD8"/>
    <w:rsid w:val="176A7618"/>
    <w:rsid w:val="17854570"/>
    <w:rsid w:val="17981A0C"/>
    <w:rsid w:val="179F5F34"/>
    <w:rsid w:val="17A41EBB"/>
    <w:rsid w:val="17AC6467"/>
    <w:rsid w:val="17B46377"/>
    <w:rsid w:val="17C06011"/>
    <w:rsid w:val="17C7781F"/>
    <w:rsid w:val="17DB45A7"/>
    <w:rsid w:val="17FE56D2"/>
    <w:rsid w:val="180A6C1C"/>
    <w:rsid w:val="1819791C"/>
    <w:rsid w:val="182676B1"/>
    <w:rsid w:val="18346944"/>
    <w:rsid w:val="183D67C9"/>
    <w:rsid w:val="18402957"/>
    <w:rsid w:val="18404FDF"/>
    <w:rsid w:val="18414DD7"/>
    <w:rsid w:val="185818DB"/>
    <w:rsid w:val="185E3E48"/>
    <w:rsid w:val="18603C8C"/>
    <w:rsid w:val="186460A9"/>
    <w:rsid w:val="187803CF"/>
    <w:rsid w:val="187F1FF8"/>
    <w:rsid w:val="18874F11"/>
    <w:rsid w:val="18965BF3"/>
    <w:rsid w:val="18976D47"/>
    <w:rsid w:val="18AA06D3"/>
    <w:rsid w:val="18BA078A"/>
    <w:rsid w:val="18BB00AE"/>
    <w:rsid w:val="18C74FEF"/>
    <w:rsid w:val="18D24317"/>
    <w:rsid w:val="18E4242E"/>
    <w:rsid w:val="18E47AFB"/>
    <w:rsid w:val="18F251EF"/>
    <w:rsid w:val="18F441F2"/>
    <w:rsid w:val="18F635DA"/>
    <w:rsid w:val="18FB1E26"/>
    <w:rsid w:val="19036EFF"/>
    <w:rsid w:val="190D1BCB"/>
    <w:rsid w:val="191E190E"/>
    <w:rsid w:val="19217E92"/>
    <w:rsid w:val="192264F0"/>
    <w:rsid w:val="192537E2"/>
    <w:rsid w:val="192910D1"/>
    <w:rsid w:val="193F3A7D"/>
    <w:rsid w:val="194402AF"/>
    <w:rsid w:val="194E3DE3"/>
    <w:rsid w:val="194F09AB"/>
    <w:rsid w:val="19554A9F"/>
    <w:rsid w:val="196D0D09"/>
    <w:rsid w:val="19755C24"/>
    <w:rsid w:val="19786647"/>
    <w:rsid w:val="19804DE7"/>
    <w:rsid w:val="19834077"/>
    <w:rsid w:val="198366C0"/>
    <w:rsid w:val="198D4870"/>
    <w:rsid w:val="19996DF5"/>
    <w:rsid w:val="19A01BFC"/>
    <w:rsid w:val="19A743EF"/>
    <w:rsid w:val="19A82B2F"/>
    <w:rsid w:val="19AB1DD1"/>
    <w:rsid w:val="19AF5431"/>
    <w:rsid w:val="19BE61D3"/>
    <w:rsid w:val="19C525AA"/>
    <w:rsid w:val="19C6072A"/>
    <w:rsid w:val="19D60529"/>
    <w:rsid w:val="19D73655"/>
    <w:rsid w:val="19DC68E8"/>
    <w:rsid w:val="19EC532F"/>
    <w:rsid w:val="19EF10C9"/>
    <w:rsid w:val="19EF3A3F"/>
    <w:rsid w:val="19F67D4D"/>
    <w:rsid w:val="1A065F4C"/>
    <w:rsid w:val="1A0B4C38"/>
    <w:rsid w:val="1A2815F9"/>
    <w:rsid w:val="1A374ADA"/>
    <w:rsid w:val="1A376E82"/>
    <w:rsid w:val="1A4C320A"/>
    <w:rsid w:val="1A506A55"/>
    <w:rsid w:val="1A57297D"/>
    <w:rsid w:val="1A64481B"/>
    <w:rsid w:val="1A647046"/>
    <w:rsid w:val="1A6B2A00"/>
    <w:rsid w:val="1A701673"/>
    <w:rsid w:val="1A792A95"/>
    <w:rsid w:val="1A802878"/>
    <w:rsid w:val="1A811D38"/>
    <w:rsid w:val="1A811E34"/>
    <w:rsid w:val="1A863F18"/>
    <w:rsid w:val="1A910CE2"/>
    <w:rsid w:val="1A9B7DD5"/>
    <w:rsid w:val="1A9F4DD3"/>
    <w:rsid w:val="1AA02CC1"/>
    <w:rsid w:val="1AA34147"/>
    <w:rsid w:val="1AAA2469"/>
    <w:rsid w:val="1AB01772"/>
    <w:rsid w:val="1ACF1071"/>
    <w:rsid w:val="1AD913A5"/>
    <w:rsid w:val="1AE11241"/>
    <w:rsid w:val="1AF615E5"/>
    <w:rsid w:val="1B0A7BBA"/>
    <w:rsid w:val="1B0F6B4C"/>
    <w:rsid w:val="1B0F7AA9"/>
    <w:rsid w:val="1B1C7285"/>
    <w:rsid w:val="1B246FEB"/>
    <w:rsid w:val="1B2A37FE"/>
    <w:rsid w:val="1B3728B6"/>
    <w:rsid w:val="1B3A2AC9"/>
    <w:rsid w:val="1B4B6541"/>
    <w:rsid w:val="1B504610"/>
    <w:rsid w:val="1B67630B"/>
    <w:rsid w:val="1B6E3F56"/>
    <w:rsid w:val="1B724FF4"/>
    <w:rsid w:val="1B7673D2"/>
    <w:rsid w:val="1B7855D0"/>
    <w:rsid w:val="1B8936C7"/>
    <w:rsid w:val="1B8D4FFA"/>
    <w:rsid w:val="1B9763A5"/>
    <w:rsid w:val="1BA065C6"/>
    <w:rsid w:val="1BBB09E4"/>
    <w:rsid w:val="1BBB7E1B"/>
    <w:rsid w:val="1BC30046"/>
    <w:rsid w:val="1BC40E18"/>
    <w:rsid w:val="1BCD2AD0"/>
    <w:rsid w:val="1BE2035A"/>
    <w:rsid w:val="1BEA1350"/>
    <w:rsid w:val="1BF50442"/>
    <w:rsid w:val="1C0834CB"/>
    <w:rsid w:val="1C161EA7"/>
    <w:rsid w:val="1C1C142B"/>
    <w:rsid w:val="1C211321"/>
    <w:rsid w:val="1C2F2C95"/>
    <w:rsid w:val="1C325040"/>
    <w:rsid w:val="1C360927"/>
    <w:rsid w:val="1C45718B"/>
    <w:rsid w:val="1C58688E"/>
    <w:rsid w:val="1C6B59C7"/>
    <w:rsid w:val="1C6E5608"/>
    <w:rsid w:val="1C714C9E"/>
    <w:rsid w:val="1C833ADC"/>
    <w:rsid w:val="1C8D419E"/>
    <w:rsid w:val="1C970551"/>
    <w:rsid w:val="1C986AD4"/>
    <w:rsid w:val="1CA40393"/>
    <w:rsid w:val="1CA91954"/>
    <w:rsid w:val="1CAD41EA"/>
    <w:rsid w:val="1CB53749"/>
    <w:rsid w:val="1CBF4959"/>
    <w:rsid w:val="1CC9510A"/>
    <w:rsid w:val="1CCE1692"/>
    <w:rsid w:val="1CDB6B00"/>
    <w:rsid w:val="1CE43299"/>
    <w:rsid w:val="1CF54FF4"/>
    <w:rsid w:val="1CFF76EA"/>
    <w:rsid w:val="1D092B04"/>
    <w:rsid w:val="1D0A1AF6"/>
    <w:rsid w:val="1D0E5DB7"/>
    <w:rsid w:val="1D275040"/>
    <w:rsid w:val="1D445521"/>
    <w:rsid w:val="1D446469"/>
    <w:rsid w:val="1D47754D"/>
    <w:rsid w:val="1D504DE7"/>
    <w:rsid w:val="1D607FE8"/>
    <w:rsid w:val="1D64390D"/>
    <w:rsid w:val="1D6C5603"/>
    <w:rsid w:val="1D727E6C"/>
    <w:rsid w:val="1D781B21"/>
    <w:rsid w:val="1D854561"/>
    <w:rsid w:val="1D962B4E"/>
    <w:rsid w:val="1DA32593"/>
    <w:rsid w:val="1DC33B26"/>
    <w:rsid w:val="1DD227D3"/>
    <w:rsid w:val="1DE5214F"/>
    <w:rsid w:val="1DFD178F"/>
    <w:rsid w:val="1E1803F0"/>
    <w:rsid w:val="1E27533B"/>
    <w:rsid w:val="1E2C165F"/>
    <w:rsid w:val="1E2C1B19"/>
    <w:rsid w:val="1E3529BB"/>
    <w:rsid w:val="1E3968AC"/>
    <w:rsid w:val="1E3A48CB"/>
    <w:rsid w:val="1E405B88"/>
    <w:rsid w:val="1E4227CA"/>
    <w:rsid w:val="1E4F74E5"/>
    <w:rsid w:val="1E6C05B6"/>
    <w:rsid w:val="1E6F23A9"/>
    <w:rsid w:val="1E720A88"/>
    <w:rsid w:val="1E864A57"/>
    <w:rsid w:val="1E8A6F07"/>
    <w:rsid w:val="1E945CC3"/>
    <w:rsid w:val="1EB439E3"/>
    <w:rsid w:val="1EB95ADC"/>
    <w:rsid w:val="1EBF2FBC"/>
    <w:rsid w:val="1EC167AA"/>
    <w:rsid w:val="1ED7750B"/>
    <w:rsid w:val="1EE84B35"/>
    <w:rsid w:val="1EEA375A"/>
    <w:rsid w:val="1EF22700"/>
    <w:rsid w:val="1EFD2866"/>
    <w:rsid w:val="1F313819"/>
    <w:rsid w:val="1F3F6BCD"/>
    <w:rsid w:val="1F533069"/>
    <w:rsid w:val="1F5A0EB4"/>
    <w:rsid w:val="1F5A5A9B"/>
    <w:rsid w:val="1F7D75A4"/>
    <w:rsid w:val="1F8A0062"/>
    <w:rsid w:val="1F8F389E"/>
    <w:rsid w:val="1F9B7C19"/>
    <w:rsid w:val="1F9F2269"/>
    <w:rsid w:val="1FA50060"/>
    <w:rsid w:val="1FAE0F9B"/>
    <w:rsid w:val="1FB93833"/>
    <w:rsid w:val="1FBF513C"/>
    <w:rsid w:val="1FD0450B"/>
    <w:rsid w:val="1FD278A5"/>
    <w:rsid w:val="1FDD3A94"/>
    <w:rsid w:val="1FE40CDF"/>
    <w:rsid w:val="1FE475FF"/>
    <w:rsid w:val="1FEF6442"/>
    <w:rsid w:val="1FFA5D19"/>
    <w:rsid w:val="1FFC1963"/>
    <w:rsid w:val="1FFD706B"/>
    <w:rsid w:val="20084168"/>
    <w:rsid w:val="200D7CB2"/>
    <w:rsid w:val="201442A9"/>
    <w:rsid w:val="201C16CB"/>
    <w:rsid w:val="2027770D"/>
    <w:rsid w:val="20314C2B"/>
    <w:rsid w:val="203154D9"/>
    <w:rsid w:val="20396C30"/>
    <w:rsid w:val="203F2167"/>
    <w:rsid w:val="2041552F"/>
    <w:rsid w:val="20426E6F"/>
    <w:rsid w:val="20455AD4"/>
    <w:rsid w:val="204868B6"/>
    <w:rsid w:val="204C1B98"/>
    <w:rsid w:val="20596DDE"/>
    <w:rsid w:val="20785051"/>
    <w:rsid w:val="207D4C37"/>
    <w:rsid w:val="20884E04"/>
    <w:rsid w:val="209D5DB7"/>
    <w:rsid w:val="20A80BC8"/>
    <w:rsid w:val="20C32BB6"/>
    <w:rsid w:val="20C429A4"/>
    <w:rsid w:val="20DB1DCB"/>
    <w:rsid w:val="20EF3A8C"/>
    <w:rsid w:val="20F732EB"/>
    <w:rsid w:val="20FD5507"/>
    <w:rsid w:val="20FE0381"/>
    <w:rsid w:val="2114203B"/>
    <w:rsid w:val="21153DD7"/>
    <w:rsid w:val="211C0A4B"/>
    <w:rsid w:val="21213694"/>
    <w:rsid w:val="21244917"/>
    <w:rsid w:val="2126687C"/>
    <w:rsid w:val="214C7B4F"/>
    <w:rsid w:val="215132A1"/>
    <w:rsid w:val="21610D82"/>
    <w:rsid w:val="21657822"/>
    <w:rsid w:val="216C0C2E"/>
    <w:rsid w:val="21734428"/>
    <w:rsid w:val="217376F4"/>
    <w:rsid w:val="21777FE1"/>
    <w:rsid w:val="21836915"/>
    <w:rsid w:val="218568C3"/>
    <w:rsid w:val="2188619C"/>
    <w:rsid w:val="218E49A5"/>
    <w:rsid w:val="218F4382"/>
    <w:rsid w:val="21946481"/>
    <w:rsid w:val="2197641E"/>
    <w:rsid w:val="219D362E"/>
    <w:rsid w:val="219F3CB9"/>
    <w:rsid w:val="21A50970"/>
    <w:rsid w:val="21A66B01"/>
    <w:rsid w:val="21B0149B"/>
    <w:rsid w:val="21C663F8"/>
    <w:rsid w:val="21C874D4"/>
    <w:rsid w:val="21E7107F"/>
    <w:rsid w:val="21F26BD2"/>
    <w:rsid w:val="21F46882"/>
    <w:rsid w:val="21FD58E6"/>
    <w:rsid w:val="21FF70E9"/>
    <w:rsid w:val="22075EB9"/>
    <w:rsid w:val="224E6E78"/>
    <w:rsid w:val="226B46F2"/>
    <w:rsid w:val="22763A9D"/>
    <w:rsid w:val="22776E67"/>
    <w:rsid w:val="22785759"/>
    <w:rsid w:val="227A7DB1"/>
    <w:rsid w:val="2280794F"/>
    <w:rsid w:val="22925C36"/>
    <w:rsid w:val="229A2159"/>
    <w:rsid w:val="229F2B09"/>
    <w:rsid w:val="22AB4913"/>
    <w:rsid w:val="22B855DC"/>
    <w:rsid w:val="22D06F49"/>
    <w:rsid w:val="22E04A16"/>
    <w:rsid w:val="22EA0EFD"/>
    <w:rsid w:val="22F44B8C"/>
    <w:rsid w:val="22FA1B52"/>
    <w:rsid w:val="23087E24"/>
    <w:rsid w:val="230A5699"/>
    <w:rsid w:val="231065C4"/>
    <w:rsid w:val="231B0D2E"/>
    <w:rsid w:val="231D19A7"/>
    <w:rsid w:val="231F36F8"/>
    <w:rsid w:val="23257032"/>
    <w:rsid w:val="23365D2C"/>
    <w:rsid w:val="23386315"/>
    <w:rsid w:val="233B071B"/>
    <w:rsid w:val="236170FB"/>
    <w:rsid w:val="2363501B"/>
    <w:rsid w:val="23646BE5"/>
    <w:rsid w:val="237479BA"/>
    <w:rsid w:val="23830791"/>
    <w:rsid w:val="238458E5"/>
    <w:rsid w:val="238E275D"/>
    <w:rsid w:val="23A00173"/>
    <w:rsid w:val="23A6278A"/>
    <w:rsid w:val="23B52DCE"/>
    <w:rsid w:val="23B77991"/>
    <w:rsid w:val="23CD0460"/>
    <w:rsid w:val="23CD1711"/>
    <w:rsid w:val="23D01639"/>
    <w:rsid w:val="23D363CC"/>
    <w:rsid w:val="23D366A1"/>
    <w:rsid w:val="23DE4ACE"/>
    <w:rsid w:val="23F90C56"/>
    <w:rsid w:val="240807C5"/>
    <w:rsid w:val="24094498"/>
    <w:rsid w:val="240F468D"/>
    <w:rsid w:val="24153280"/>
    <w:rsid w:val="241D20DF"/>
    <w:rsid w:val="2422146F"/>
    <w:rsid w:val="244D009B"/>
    <w:rsid w:val="24673266"/>
    <w:rsid w:val="24765D09"/>
    <w:rsid w:val="248B2AF4"/>
    <w:rsid w:val="24916779"/>
    <w:rsid w:val="24A060B8"/>
    <w:rsid w:val="24A829B8"/>
    <w:rsid w:val="24AA79A2"/>
    <w:rsid w:val="24B622DA"/>
    <w:rsid w:val="24BD305F"/>
    <w:rsid w:val="24CB3292"/>
    <w:rsid w:val="24CB594F"/>
    <w:rsid w:val="24D40EAA"/>
    <w:rsid w:val="24DB01C3"/>
    <w:rsid w:val="24E97594"/>
    <w:rsid w:val="24F60297"/>
    <w:rsid w:val="24FF65DD"/>
    <w:rsid w:val="2507025E"/>
    <w:rsid w:val="250C788A"/>
    <w:rsid w:val="25151E56"/>
    <w:rsid w:val="252225F9"/>
    <w:rsid w:val="253E01D9"/>
    <w:rsid w:val="254737E9"/>
    <w:rsid w:val="254B3F10"/>
    <w:rsid w:val="25534569"/>
    <w:rsid w:val="255433F8"/>
    <w:rsid w:val="25543A98"/>
    <w:rsid w:val="255703BF"/>
    <w:rsid w:val="255C6137"/>
    <w:rsid w:val="255D677C"/>
    <w:rsid w:val="256538CD"/>
    <w:rsid w:val="256B4972"/>
    <w:rsid w:val="257037C1"/>
    <w:rsid w:val="257824BF"/>
    <w:rsid w:val="257D3973"/>
    <w:rsid w:val="258169B0"/>
    <w:rsid w:val="258536E9"/>
    <w:rsid w:val="25867CE7"/>
    <w:rsid w:val="25893E99"/>
    <w:rsid w:val="258D03B2"/>
    <w:rsid w:val="2590283E"/>
    <w:rsid w:val="25931CE9"/>
    <w:rsid w:val="25965AFF"/>
    <w:rsid w:val="25B443AE"/>
    <w:rsid w:val="25B67552"/>
    <w:rsid w:val="25BA6AE0"/>
    <w:rsid w:val="25C44118"/>
    <w:rsid w:val="25CE571E"/>
    <w:rsid w:val="25D44CFA"/>
    <w:rsid w:val="25E321BD"/>
    <w:rsid w:val="25F13286"/>
    <w:rsid w:val="25F265C2"/>
    <w:rsid w:val="25FB5F2C"/>
    <w:rsid w:val="25FE02D8"/>
    <w:rsid w:val="26046FD3"/>
    <w:rsid w:val="26050791"/>
    <w:rsid w:val="261A0E1F"/>
    <w:rsid w:val="26232A33"/>
    <w:rsid w:val="26276EDE"/>
    <w:rsid w:val="2632653A"/>
    <w:rsid w:val="26415BF7"/>
    <w:rsid w:val="26483C00"/>
    <w:rsid w:val="264D0627"/>
    <w:rsid w:val="26553592"/>
    <w:rsid w:val="26553AC3"/>
    <w:rsid w:val="266B449D"/>
    <w:rsid w:val="266F3DC8"/>
    <w:rsid w:val="266F508F"/>
    <w:rsid w:val="26840708"/>
    <w:rsid w:val="2688753F"/>
    <w:rsid w:val="268D015A"/>
    <w:rsid w:val="268E433A"/>
    <w:rsid w:val="268F7602"/>
    <w:rsid w:val="26AD209B"/>
    <w:rsid w:val="26AF5C5D"/>
    <w:rsid w:val="26C62159"/>
    <w:rsid w:val="26CA56B0"/>
    <w:rsid w:val="26D1317D"/>
    <w:rsid w:val="26D74CD2"/>
    <w:rsid w:val="26FB4822"/>
    <w:rsid w:val="270F17A0"/>
    <w:rsid w:val="27110EC0"/>
    <w:rsid w:val="272E2624"/>
    <w:rsid w:val="27360AD5"/>
    <w:rsid w:val="274100C8"/>
    <w:rsid w:val="274C2744"/>
    <w:rsid w:val="27537234"/>
    <w:rsid w:val="27574D08"/>
    <w:rsid w:val="27653FF5"/>
    <w:rsid w:val="27681B6F"/>
    <w:rsid w:val="27737958"/>
    <w:rsid w:val="277614D7"/>
    <w:rsid w:val="277F1F40"/>
    <w:rsid w:val="27813F0B"/>
    <w:rsid w:val="278E5416"/>
    <w:rsid w:val="27A5316E"/>
    <w:rsid w:val="27AB7420"/>
    <w:rsid w:val="27AE721E"/>
    <w:rsid w:val="27B54D2B"/>
    <w:rsid w:val="27D40C81"/>
    <w:rsid w:val="27DF6AEB"/>
    <w:rsid w:val="27E225B4"/>
    <w:rsid w:val="27E22AA2"/>
    <w:rsid w:val="27E2710A"/>
    <w:rsid w:val="27F06E5D"/>
    <w:rsid w:val="27F91FD2"/>
    <w:rsid w:val="280264A6"/>
    <w:rsid w:val="28055DC4"/>
    <w:rsid w:val="28074933"/>
    <w:rsid w:val="28133188"/>
    <w:rsid w:val="282736A8"/>
    <w:rsid w:val="282E4E2A"/>
    <w:rsid w:val="28436550"/>
    <w:rsid w:val="285D229C"/>
    <w:rsid w:val="285F42E6"/>
    <w:rsid w:val="287D5ADD"/>
    <w:rsid w:val="28826459"/>
    <w:rsid w:val="288A2706"/>
    <w:rsid w:val="28992091"/>
    <w:rsid w:val="289D0B33"/>
    <w:rsid w:val="289E6888"/>
    <w:rsid w:val="28AD4927"/>
    <w:rsid w:val="28AE3BEF"/>
    <w:rsid w:val="28B65753"/>
    <w:rsid w:val="28B906EB"/>
    <w:rsid w:val="28C130CD"/>
    <w:rsid w:val="28C232C7"/>
    <w:rsid w:val="28E11819"/>
    <w:rsid w:val="28E76DC6"/>
    <w:rsid w:val="28F078FC"/>
    <w:rsid w:val="28F53E97"/>
    <w:rsid w:val="29087DD3"/>
    <w:rsid w:val="290A62EB"/>
    <w:rsid w:val="291C1BEF"/>
    <w:rsid w:val="29224988"/>
    <w:rsid w:val="292D2840"/>
    <w:rsid w:val="293B6B7B"/>
    <w:rsid w:val="29406B30"/>
    <w:rsid w:val="294458E2"/>
    <w:rsid w:val="294B461B"/>
    <w:rsid w:val="294E3748"/>
    <w:rsid w:val="29531CAE"/>
    <w:rsid w:val="29596AB7"/>
    <w:rsid w:val="2962351C"/>
    <w:rsid w:val="29656416"/>
    <w:rsid w:val="2968235C"/>
    <w:rsid w:val="297077F1"/>
    <w:rsid w:val="2980158E"/>
    <w:rsid w:val="29860F19"/>
    <w:rsid w:val="29905A39"/>
    <w:rsid w:val="299F16EC"/>
    <w:rsid w:val="29A82F9A"/>
    <w:rsid w:val="29A93195"/>
    <w:rsid w:val="29AF1D6A"/>
    <w:rsid w:val="29B36989"/>
    <w:rsid w:val="29B62875"/>
    <w:rsid w:val="29BC41C0"/>
    <w:rsid w:val="29E556B8"/>
    <w:rsid w:val="29FE26FD"/>
    <w:rsid w:val="2A074E36"/>
    <w:rsid w:val="2A1B5D32"/>
    <w:rsid w:val="2A1C1991"/>
    <w:rsid w:val="2A1E1C47"/>
    <w:rsid w:val="2A1E51F5"/>
    <w:rsid w:val="2A214CAD"/>
    <w:rsid w:val="2A246262"/>
    <w:rsid w:val="2A2A74B8"/>
    <w:rsid w:val="2A5B04C2"/>
    <w:rsid w:val="2A5D3399"/>
    <w:rsid w:val="2A6F5074"/>
    <w:rsid w:val="2A725AC2"/>
    <w:rsid w:val="2A950F9B"/>
    <w:rsid w:val="2AA0735F"/>
    <w:rsid w:val="2AA579B7"/>
    <w:rsid w:val="2AAB7199"/>
    <w:rsid w:val="2AC804C4"/>
    <w:rsid w:val="2AC8106E"/>
    <w:rsid w:val="2ACB25ED"/>
    <w:rsid w:val="2AEE44EB"/>
    <w:rsid w:val="2AEE70D5"/>
    <w:rsid w:val="2AF21533"/>
    <w:rsid w:val="2AF35616"/>
    <w:rsid w:val="2B051519"/>
    <w:rsid w:val="2B135FB2"/>
    <w:rsid w:val="2B2139F4"/>
    <w:rsid w:val="2B23278E"/>
    <w:rsid w:val="2B402FB6"/>
    <w:rsid w:val="2B463A6E"/>
    <w:rsid w:val="2B4E4E87"/>
    <w:rsid w:val="2B544869"/>
    <w:rsid w:val="2B585F1C"/>
    <w:rsid w:val="2B5C6105"/>
    <w:rsid w:val="2B64017E"/>
    <w:rsid w:val="2B6C29D2"/>
    <w:rsid w:val="2B6D2E77"/>
    <w:rsid w:val="2B7F10D8"/>
    <w:rsid w:val="2B817D26"/>
    <w:rsid w:val="2B8542D4"/>
    <w:rsid w:val="2B8D4541"/>
    <w:rsid w:val="2B935BAD"/>
    <w:rsid w:val="2BAC2D2F"/>
    <w:rsid w:val="2BB21CCC"/>
    <w:rsid w:val="2BDA1D24"/>
    <w:rsid w:val="2BDF08AE"/>
    <w:rsid w:val="2BE657AF"/>
    <w:rsid w:val="2BEA6DE1"/>
    <w:rsid w:val="2BF5703E"/>
    <w:rsid w:val="2C000B28"/>
    <w:rsid w:val="2C032B9D"/>
    <w:rsid w:val="2C092127"/>
    <w:rsid w:val="2C0A16D6"/>
    <w:rsid w:val="2C4D03CF"/>
    <w:rsid w:val="2C5219D2"/>
    <w:rsid w:val="2C56271C"/>
    <w:rsid w:val="2C5D7016"/>
    <w:rsid w:val="2C697E31"/>
    <w:rsid w:val="2C6F4176"/>
    <w:rsid w:val="2C7E330D"/>
    <w:rsid w:val="2C862C26"/>
    <w:rsid w:val="2C8D408E"/>
    <w:rsid w:val="2C9527A2"/>
    <w:rsid w:val="2CA41728"/>
    <w:rsid w:val="2CB9629B"/>
    <w:rsid w:val="2CC8785D"/>
    <w:rsid w:val="2CCF6F62"/>
    <w:rsid w:val="2CD57E2A"/>
    <w:rsid w:val="2CDB154B"/>
    <w:rsid w:val="2CDD2A7C"/>
    <w:rsid w:val="2CE0707D"/>
    <w:rsid w:val="2CE62E66"/>
    <w:rsid w:val="2CE6425C"/>
    <w:rsid w:val="2CFE562B"/>
    <w:rsid w:val="2D002BD4"/>
    <w:rsid w:val="2D025CC0"/>
    <w:rsid w:val="2D095211"/>
    <w:rsid w:val="2D0C342A"/>
    <w:rsid w:val="2D0D2294"/>
    <w:rsid w:val="2D290112"/>
    <w:rsid w:val="2D2C3ECE"/>
    <w:rsid w:val="2D377528"/>
    <w:rsid w:val="2D3C164C"/>
    <w:rsid w:val="2D3D2B28"/>
    <w:rsid w:val="2D4C23BB"/>
    <w:rsid w:val="2D50272C"/>
    <w:rsid w:val="2D584DDE"/>
    <w:rsid w:val="2D5F204A"/>
    <w:rsid w:val="2D6C4F7E"/>
    <w:rsid w:val="2D6F14A2"/>
    <w:rsid w:val="2D7E4F9B"/>
    <w:rsid w:val="2D90188F"/>
    <w:rsid w:val="2D9F31CD"/>
    <w:rsid w:val="2DAA1FA9"/>
    <w:rsid w:val="2DAC1364"/>
    <w:rsid w:val="2DCC276E"/>
    <w:rsid w:val="2DCD1A2F"/>
    <w:rsid w:val="2DD449A0"/>
    <w:rsid w:val="2DE95718"/>
    <w:rsid w:val="2DF80543"/>
    <w:rsid w:val="2E0D0442"/>
    <w:rsid w:val="2E1D551E"/>
    <w:rsid w:val="2E311CB3"/>
    <w:rsid w:val="2E314AB8"/>
    <w:rsid w:val="2E353BBF"/>
    <w:rsid w:val="2E556B4A"/>
    <w:rsid w:val="2E5D7F01"/>
    <w:rsid w:val="2E634BAB"/>
    <w:rsid w:val="2E7E5F7D"/>
    <w:rsid w:val="2E9B2968"/>
    <w:rsid w:val="2E9E56D3"/>
    <w:rsid w:val="2EA44684"/>
    <w:rsid w:val="2EB76E9A"/>
    <w:rsid w:val="2EC57728"/>
    <w:rsid w:val="2ECA7BFC"/>
    <w:rsid w:val="2ED32413"/>
    <w:rsid w:val="2EDE5EFF"/>
    <w:rsid w:val="2EF43027"/>
    <w:rsid w:val="2EFA6D62"/>
    <w:rsid w:val="2EFD7786"/>
    <w:rsid w:val="2F1060B5"/>
    <w:rsid w:val="2F122A82"/>
    <w:rsid w:val="2F142CBB"/>
    <w:rsid w:val="2F2B6531"/>
    <w:rsid w:val="2F316E4D"/>
    <w:rsid w:val="2F364229"/>
    <w:rsid w:val="2F36513C"/>
    <w:rsid w:val="2F37472D"/>
    <w:rsid w:val="2F3B5C93"/>
    <w:rsid w:val="2F3C7C19"/>
    <w:rsid w:val="2F4609EC"/>
    <w:rsid w:val="2F4844B9"/>
    <w:rsid w:val="2F4B5F8C"/>
    <w:rsid w:val="2F4D241A"/>
    <w:rsid w:val="2F5A0002"/>
    <w:rsid w:val="2F5B332D"/>
    <w:rsid w:val="2F5E2C95"/>
    <w:rsid w:val="2F5E7721"/>
    <w:rsid w:val="2F6551D0"/>
    <w:rsid w:val="2F690997"/>
    <w:rsid w:val="2F762E69"/>
    <w:rsid w:val="2F771F24"/>
    <w:rsid w:val="2F7D2128"/>
    <w:rsid w:val="2F800DF0"/>
    <w:rsid w:val="2F9A34C2"/>
    <w:rsid w:val="2F9C5AF8"/>
    <w:rsid w:val="2F9D7CB6"/>
    <w:rsid w:val="2FA52864"/>
    <w:rsid w:val="2FA64CB4"/>
    <w:rsid w:val="2FA840EC"/>
    <w:rsid w:val="2FA904D5"/>
    <w:rsid w:val="2FAC4963"/>
    <w:rsid w:val="2FB30071"/>
    <w:rsid w:val="2FB7178E"/>
    <w:rsid w:val="2FBB7A45"/>
    <w:rsid w:val="2FD91F56"/>
    <w:rsid w:val="2FDD75B5"/>
    <w:rsid w:val="2FDE5753"/>
    <w:rsid w:val="2FE564D2"/>
    <w:rsid w:val="2FEC3FE3"/>
    <w:rsid w:val="30106571"/>
    <w:rsid w:val="30247A94"/>
    <w:rsid w:val="30340199"/>
    <w:rsid w:val="304D5146"/>
    <w:rsid w:val="304E1E24"/>
    <w:rsid w:val="306C75A3"/>
    <w:rsid w:val="307250E0"/>
    <w:rsid w:val="30734B61"/>
    <w:rsid w:val="30765C04"/>
    <w:rsid w:val="30766A4E"/>
    <w:rsid w:val="30841C5E"/>
    <w:rsid w:val="308953DD"/>
    <w:rsid w:val="308C2399"/>
    <w:rsid w:val="30981B79"/>
    <w:rsid w:val="30AB25FE"/>
    <w:rsid w:val="30AC5FEB"/>
    <w:rsid w:val="30B31694"/>
    <w:rsid w:val="30BE7BC6"/>
    <w:rsid w:val="30BF6269"/>
    <w:rsid w:val="30C52749"/>
    <w:rsid w:val="30C86E32"/>
    <w:rsid w:val="30CA75AF"/>
    <w:rsid w:val="30D007F8"/>
    <w:rsid w:val="30D45D5C"/>
    <w:rsid w:val="30DE3BE2"/>
    <w:rsid w:val="30E56A5C"/>
    <w:rsid w:val="30EA725E"/>
    <w:rsid w:val="30EB1D92"/>
    <w:rsid w:val="30F671BA"/>
    <w:rsid w:val="31044850"/>
    <w:rsid w:val="310517C3"/>
    <w:rsid w:val="31164BE9"/>
    <w:rsid w:val="3123178D"/>
    <w:rsid w:val="31284E8E"/>
    <w:rsid w:val="31317A80"/>
    <w:rsid w:val="313D1E85"/>
    <w:rsid w:val="31526A8C"/>
    <w:rsid w:val="315551A9"/>
    <w:rsid w:val="315B157D"/>
    <w:rsid w:val="317128FB"/>
    <w:rsid w:val="31797C33"/>
    <w:rsid w:val="317A1AD8"/>
    <w:rsid w:val="317C3421"/>
    <w:rsid w:val="3181135C"/>
    <w:rsid w:val="3193679F"/>
    <w:rsid w:val="319E6EB3"/>
    <w:rsid w:val="31A24FF8"/>
    <w:rsid w:val="31AC6E5F"/>
    <w:rsid w:val="31AE26E2"/>
    <w:rsid w:val="31B33E3A"/>
    <w:rsid w:val="31BD50BF"/>
    <w:rsid w:val="31C441A0"/>
    <w:rsid w:val="31CE3D74"/>
    <w:rsid w:val="31CF7B0E"/>
    <w:rsid w:val="31FD0FFD"/>
    <w:rsid w:val="320166E8"/>
    <w:rsid w:val="32152C0D"/>
    <w:rsid w:val="321A383C"/>
    <w:rsid w:val="322B2294"/>
    <w:rsid w:val="32343073"/>
    <w:rsid w:val="32361C69"/>
    <w:rsid w:val="324D32B2"/>
    <w:rsid w:val="3250348B"/>
    <w:rsid w:val="325936F9"/>
    <w:rsid w:val="32595ED9"/>
    <w:rsid w:val="326F017B"/>
    <w:rsid w:val="3270647B"/>
    <w:rsid w:val="3285287B"/>
    <w:rsid w:val="328C30E9"/>
    <w:rsid w:val="329025E0"/>
    <w:rsid w:val="329E14EC"/>
    <w:rsid w:val="32A12CA4"/>
    <w:rsid w:val="32AA1AAD"/>
    <w:rsid w:val="32B62701"/>
    <w:rsid w:val="32B73119"/>
    <w:rsid w:val="32BF3DCB"/>
    <w:rsid w:val="32C90DDA"/>
    <w:rsid w:val="32CA79A6"/>
    <w:rsid w:val="32D07FC3"/>
    <w:rsid w:val="32E94575"/>
    <w:rsid w:val="32F740EB"/>
    <w:rsid w:val="32FB1A50"/>
    <w:rsid w:val="330E574A"/>
    <w:rsid w:val="330F7292"/>
    <w:rsid w:val="331326CF"/>
    <w:rsid w:val="333267D6"/>
    <w:rsid w:val="334537BE"/>
    <w:rsid w:val="334F2754"/>
    <w:rsid w:val="335965AE"/>
    <w:rsid w:val="336A1748"/>
    <w:rsid w:val="336E5717"/>
    <w:rsid w:val="33762794"/>
    <w:rsid w:val="33821F3A"/>
    <w:rsid w:val="33857467"/>
    <w:rsid w:val="338B7503"/>
    <w:rsid w:val="33B522C8"/>
    <w:rsid w:val="33B71288"/>
    <w:rsid w:val="33D458AC"/>
    <w:rsid w:val="33E760E8"/>
    <w:rsid w:val="33ED1FE9"/>
    <w:rsid w:val="33F20B8B"/>
    <w:rsid w:val="33F556FA"/>
    <w:rsid w:val="33FC1D45"/>
    <w:rsid w:val="3421360C"/>
    <w:rsid w:val="342504B8"/>
    <w:rsid w:val="343D1FC6"/>
    <w:rsid w:val="344017C6"/>
    <w:rsid w:val="345402C1"/>
    <w:rsid w:val="345D4AB4"/>
    <w:rsid w:val="34604006"/>
    <w:rsid w:val="34701D28"/>
    <w:rsid w:val="34824DB5"/>
    <w:rsid w:val="34871F5D"/>
    <w:rsid w:val="34927B7C"/>
    <w:rsid w:val="349F0860"/>
    <w:rsid w:val="34A315F0"/>
    <w:rsid w:val="34A727BA"/>
    <w:rsid w:val="34AB35A6"/>
    <w:rsid w:val="34B159E5"/>
    <w:rsid w:val="34B325C2"/>
    <w:rsid w:val="34BF4AA2"/>
    <w:rsid w:val="34C14432"/>
    <w:rsid w:val="34F42938"/>
    <w:rsid w:val="34F81ED5"/>
    <w:rsid w:val="34FB42F6"/>
    <w:rsid w:val="35043A93"/>
    <w:rsid w:val="350A5B08"/>
    <w:rsid w:val="35313930"/>
    <w:rsid w:val="35324345"/>
    <w:rsid w:val="35335B62"/>
    <w:rsid w:val="35375F33"/>
    <w:rsid w:val="3538126F"/>
    <w:rsid w:val="354E1F5A"/>
    <w:rsid w:val="355551D4"/>
    <w:rsid w:val="3556212E"/>
    <w:rsid w:val="355B3C78"/>
    <w:rsid w:val="35620B8A"/>
    <w:rsid w:val="35821658"/>
    <w:rsid w:val="358A6762"/>
    <w:rsid w:val="35973234"/>
    <w:rsid w:val="35AB7C94"/>
    <w:rsid w:val="35AC2A87"/>
    <w:rsid w:val="35AE448B"/>
    <w:rsid w:val="35C6295A"/>
    <w:rsid w:val="35C730C1"/>
    <w:rsid w:val="35C75AE8"/>
    <w:rsid w:val="35D054D7"/>
    <w:rsid w:val="35D1393E"/>
    <w:rsid w:val="35F64A12"/>
    <w:rsid w:val="36104029"/>
    <w:rsid w:val="36164A5A"/>
    <w:rsid w:val="361F48E3"/>
    <w:rsid w:val="36204B64"/>
    <w:rsid w:val="3622134F"/>
    <w:rsid w:val="362D4718"/>
    <w:rsid w:val="363F24A8"/>
    <w:rsid w:val="36466992"/>
    <w:rsid w:val="36471A2B"/>
    <w:rsid w:val="364C3A11"/>
    <w:rsid w:val="36505208"/>
    <w:rsid w:val="365B0343"/>
    <w:rsid w:val="365D3B12"/>
    <w:rsid w:val="365E0715"/>
    <w:rsid w:val="366357DB"/>
    <w:rsid w:val="36692CCA"/>
    <w:rsid w:val="366A18E9"/>
    <w:rsid w:val="36703C6C"/>
    <w:rsid w:val="36713D0A"/>
    <w:rsid w:val="36717811"/>
    <w:rsid w:val="367C6174"/>
    <w:rsid w:val="368359B2"/>
    <w:rsid w:val="36CD119B"/>
    <w:rsid w:val="36CF25E9"/>
    <w:rsid w:val="36CF5679"/>
    <w:rsid w:val="36D77DE2"/>
    <w:rsid w:val="36ED1D06"/>
    <w:rsid w:val="36EE7862"/>
    <w:rsid w:val="36EF61F6"/>
    <w:rsid w:val="36FF59A2"/>
    <w:rsid w:val="37014124"/>
    <w:rsid w:val="37074459"/>
    <w:rsid w:val="371138D1"/>
    <w:rsid w:val="371A45D4"/>
    <w:rsid w:val="37207574"/>
    <w:rsid w:val="372103F9"/>
    <w:rsid w:val="373161E4"/>
    <w:rsid w:val="373750F5"/>
    <w:rsid w:val="373B6A03"/>
    <w:rsid w:val="373E632A"/>
    <w:rsid w:val="373F4E89"/>
    <w:rsid w:val="37460DAB"/>
    <w:rsid w:val="374A67A8"/>
    <w:rsid w:val="375F57D4"/>
    <w:rsid w:val="37604605"/>
    <w:rsid w:val="376356F2"/>
    <w:rsid w:val="37636C02"/>
    <w:rsid w:val="376845A5"/>
    <w:rsid w:val="37765E64"/>
    <w:rsid w:val="379A349A"/>
    <w:rsid w:val="37A74B92"/>
    <w:rsid w:val="37AF778F"/>
    <w:rsid w:val="37B82F8E"/>
    <w:rsid w:val="37C04C12"/>
    <w:rsid w:val="37C4069D"/>
    <w:rsid w:val="37C74012"/>
    <w:rsid w:val="37D10F0F"/>
    <w:rsid w:val="37D5009A"/>
    <w:rsid w:val="37D65BDB"/>
    <w:rsid w:val="37D94C2E"/>
    <w:rsid w:val="37DC70F2"/>
    <w:rsid w:val="37E97082"/>
    <w:rsid w:val="37EB4210"/>
    <w:rsid w:val="37EB524E"/>
    <w:rsid w:val="37ED395E"/>
    <w:rsid w:val="37F02302"/>
    <w:rsid w:val="37F614A2"/>
    <w:rsid w:val="37F62320"/>
    <w:rsid w:val="37FF52E6"/>
    <w:rsid w:val="380B2139"/>
    <w:rsid w:val="38201493"/>
    <w:rsid w:val="3822624E"/>
    <w:rsid w:val="3824026C"/>
    <w:rsid w:val="382535DE"/>
    <w:rsid w:val="38305A0B"/>
    <w:rsid w:val="383771A6"/>
    <w:rsid w:val="383C06A9"/>
    <w:rsid w:val="383E20C8"/>
    <w:rsid w:val="38544EB0"/>
    <w:rsid w:val="38552DD0"/>
    <w:rsid w:val="38671A22"/>
    <w:rsid w:val="386B1B9D"/>
    <w:rsid w:val="386B6EF2"/>
    <w:rsid w:val="386F4AE1"/>
    <w:rsid w:val="38727E99"/>
    <w:rsid w:val="38753903"/>
    <w:rsid w:val="38946417"/>
    <w:rsid w:val="38A21FAB"/>
    <w:rsid w:val="38B01213"/>
    <w:rsid w:val="38C25A43"/>
    <w:rsid w:val="38E737CB"/>
    <w:rsid w:val="38EB6921"/>
    <w:rsid w:val="38F74133"/>
    <w:rsid w:val="39024A97"/>
    <w:rsid w:val="39096895"/>
    <w:rsid w:val="390D4350"/>
    <w:rsid w:val="391607F8"/>
    <w:rsid w:val="39207F13"/>
    <w:rsid w:val="392D7D27"/>
    <w:rsid w:val="392F021C"/>
    <w:rsid w:val="3933078F"/>
    <w:rsid w:val="3937233C"/>
    <w:rsid w:val="393B3DCD"/>
    <w:rsid w:val="394E2165"/>
    <w:rsid w:val="39564662"/>
    <w:rsid w:val="39585E03"/>
    <w:rsid w:val="396264FC"/>
    <w:rsid w:val="396A1FAF"/>
    <w:rsid w:val="397C24E6"/>
    <w:rsid w:val="3980058B"/>
    <w:rsid w:val="398228BB"/>
    <w:rsid w:val="398B086B"/>
    <w:rsid w:val="398B5C03"/>
    <w:rsid w:val="39981838"/>
    <w:rsid w:val="39A041E0"/>
    <w:rsid w:val="39AD1007"/>
    <w:rsid w:val="39B505A2"/>
    <w:rsid w:val="39B56684"/>
    <w:rsid w:val="39C42974"/>
    <w:rsid w:val="39C803C8"/>
    <w:rsid w:val="39C805BC"/>
    <w:rsid w:val="39DC142E"/>
    <w:rsid w:val="39E57D7D"/>
    <w:rsid w:val="39EE56AD"/>
    <w:rsid w:val="39EF245D"/>
    <w:rsid w:val="39F35626"/>
    <w:rsid w:val="39F538AC"/>
    <w:rsid w:val="3A1665DD"/>
    <w:rsid w:val="3A1969BF"/>
    <w:rsid w:val="3A1A3D5F"/>
    <w:rsid w:val="3A251254"/>
    <w:rsid w:val="3A2F2498"/>
    <w:rsid w:val="3A413E1A"/>
    <w:rsid w:val="3A4B3685"/>
    <w:rsid w:val="3A5158B6"/>
    <w:rsid w:val="3A5C5653"/>
    <w:rsid w:val="3A5C7ADC"/>
    <w:rsid w:val="3A7B7200"/>
    <w:rsid w:val="3A841886"/>
    <w:rsid w:val="3A881FD0"/>
    <w:rsid w:val="3A8B3EBE"/>
    <w:rsid w:val="3A965FF8"/>
    <w:rsid w:val="3AAB782E"/>
    <w:rsid w:val="3AB00B41"/>
    <w:rsid w:val="3AB927C2"/>
    <w:rsid w:val="3ABD274E"/>
    <w:rsid w:val="3AD567FF"/>
    <w:rsid w:val="3AE113B5"/>
    <w:rsid w:val="3AE17E37"/>
    <w:rsid w:val="3AE35693"/>
    <w:rsid w:val="3AED1CFC"/>
    <w:rsid w:val="3AF33CCC"/>
    <w:rsid w:val="3AF46E9D"/>
    <w:rsid w:val="3AF7472B"/>
    <w:rsid w:val="3B045CA7"/>
    <w:rsid w:val="3B065E5B"/>
    <w:rsid w:val="3B0971DA"/>
    <w:rsid w:val="3B117C1D"/>
    <w:rsid w:val="3B173408"/>
    <w:rsid w:val="3B1B30F0"/>
    <w:rsid w:val="3B237B88"/>
    <w:rsid w:val="3B2A0021"/>
    <w:rsid w:val="3B2B3CBF"/>
    <w:rsid w:val="3B3337DB"/>
    <w:rsid w:val="3B343FBA"/>
    <w:rsid w:val="3B38666B"/>
    <w:rsid w:val="3B39543C"/>
    <w:rsid w:val="3B43186D"/>
    <w:rsid w:val="3B4D385E"/>
    <w:rsid w:val="3B77509E"/>
    <w:rsid w:val="3B8A405C"/>
    <w:rsid w:val="3B9B32C2"/>
    <w:rsid w:val="3B9D3BF2"/>
    <w:rsid w:val="3BA56F23"/>
    <w:rsid w:val="3BAF1BD6"/>
    <w:rsid w:val="3BB16FF4"/>
    <w:rsid w:val="3BB214F6"/>
    <w:rsid w:val="3BB55BF5"/>
    <w:rsid w:val="3BB86D96"/>
    <w:rsid w:val="3BBB42CD"/>
    <w:rsid w:val="3BBC0ED2"/>
    <w:rsid w:val="3BD81E11"/>
    <w:rsid w:val="3BDE3650"/>
    <w:rsid w:val="3BE67283"/>
    <w:rsid w:val="3BE9437A"/>
    <w:rsid w:val="3BF266B8"/>
    <w:rsid w:val="3BF43033"/>
    <w:rsid w:val="3BFA65C6"/>
    <w:rsid w:val="3BFF3DC3"/>
    <w:rsid w:val="3C1441A0"/>
    <w:rsid w:val="3C1B7E72"/>
    <w:rsid w:val="3C2156A9"/>
    <w:rsid w:val="3C29650E"/>
    <w:rsid w:val="3C32086A"/>
    <w:rsid w:val="3C4F3527"/>
    <w:rsid w:val="3C5B26D9"/>
    <w:rsid w:val="3C5E29FC"/>
    <w:rsid w:val="3C61316B"/>
    <w:rsid w:val="3C6C39EA"/>
    <w:rsid w:val="3C725B44"/>
    <w:rsid w:val="3C8234DD"/>
    <w:rsid w:val="3C8E5F45"/>
    <w:rsid w:val="3C904E82"/>
    <w:rsid w:val="3C910669"/>
    <w:rsid w:val="3C9638C6"/>
    <w:rsid w:val="3CA037BA"/>
    <w:rsid w:val="3CA15711"/>
    <w:rsid w:val="3CAD007C"/>
    <w:rsid w:val="3CB23760"/>
    <w:rsid w:val="3CB91AD8"/>
    <w:rsid w:val="3CC627C5"/>
    <w:rsid w:val="3CC642F5"/>
    <w:rsid w:val="3CCD7BCD"/>
    <w:rsid w:val="3CDB275E"/>
    <w:rsid w:val="3CDF525E"/>
    <w:rsid w:val="3CE2684F"/>
    <w:rsid w:val="3CE70777"/>
    <w:rsid w:val="3CF60524"/>
    <w:rsid w:val="3CF6693E"/>
    <w:rsid w:val="3CF86983"/>
    <w:rsid w:val="3CFA74FE"/>
    <w:rsid w:val="3D1425C5"/>
    <w:rsid w:val="3D172D10"/>
    <w:rsid w:val="3D2A081A"/>
    <w:rsid w:val="3D2C62BD"/>
    <w:rsid w:val="3D306E1F"/>
    <w:rsid w:val="3D3153AC"/>
    <w:rsid w:val="3D491309"/>
    <w:rsid w:val="3D517CD8"/>
    <w:rsid w:val="3D6708F4"/>
    <w:rsid w:val="3D752E35"/>
    <w:rsid w:val="3D83734E"/>
    <w:rsid w:val="3D8B06DC"/>
    <w:rsid w:val="3D971435"/>
    <w:rsid w:val="3D980FD4"/>
    <w:rsid w:val="3DCB2A82"/>
    <w:rsid w:val="3DCE0879"/>
    <w:rsid w:val="3DF10A7C"/>
    <w:rsid w:val="3DFA1AB5"/>
    <w:rsid w:val="3E0D62B8"/>
    <w:rsid w:val="3E1721AF"/>
    <w:rsid w:val="3E220716"/>
    <w:rsid w:val="3E2328C7"/>
    <w:rsid w:val="3E2D3E4E"/>
    <w:rsid w:val="3E361FC5"/>
    <w:rsid w:val="3E373A04"/>
    <w:rsid w:val="3E427520"/>
    <w:rsid w:val="3E55719E"/>
    <w:rsid w:val="3E55782F"/>
    <w:rsid w:val="3E6A736D"/>
    <w:rsid w:val="3E6B6FE3"/>
    <w:rsid w:val="3E72437B"/>
    <w:rsid w:val="3E7503B8"/>
    <w:rsid w:val="3E8503A6"/>
    <w:rsid w:val="3E870186"/>
    <w:rsid w:val="3E9F2AE3"/>
    <w:rsid w:val="3EA03C76"/>
    <w:rsid w:val="3EBB61D2"/>
    <w:rsid w:val="3EBE4D45"/>
    <w:rsid w:val="3EC35518"/>
    <w:rsid w:val="3EC92207"/>
    <w:rsid w:val="3EC97933"/>
    <w:rsid w:val="3ECC58D4"/>
    <w:rsid w:val="3ECC7123"/>
    <w:rsid w:val="3ECE59B5"/>
    <w:rsid w:val="3EE0098A"/>
    <w:rsid w:val="3EF64E6C"/>
    <w:rsid w:val="3F09661C"/>
    <w:rsid w:val="3F0E653E"/>
    <w:rsid w:val="3F1A7E5E"/>
    <w:rsid w:val="3F2A4DA3"/>
    <w:rsid w:val="3F3D418C"/>
    <w:rsid w:val="3F413C22"/>
    <w:rsid w:val="3F4358DA"/>
    <w:rsid w:val="3F504FB1"/>
    <w:rsid w:val="3F5D6889"/>
    <w:rsid w:val="3F6E602F"/>
    <w:rsid w:val="3F777315"/>
    <w:rsid w:val="3F800E91"/>
    <w:rsid w:val="3F845D68"/>
    <w:rsid w:val="3F895BC8"/>
    <w:rsid w:val="3F8E7611"/>
    <w:rsid w:val="3F992BF4"/>
    <w:rsid w:val="3F9A1316"/>
    <w:rsid w:val="3FA01DEB"/>
    <w:rsid w:val="3FAA4CFF"/>
    <w:rsid w:val="3FB67271"/>
    <w:rsid w:val="3FCA6128"/>
    <w:rsid w:val="3FD20E2E"/>
    <w:rsid w:val="3FD55EF5"/>
    <w:rsid w:val="3FE10FC9"/>
    <w:rsid w:val="3FF62C59"/>
    <w:rsid w:val="3FF74E92"/>
    <w:rsid w:val="3FFF4633"/>
    <w:rsid w:val="400A5BDB"/>
    <w:rsid w:val="400C2221"/>
    <w:rsid w:val="4018014A"/>
    <w:rsid w:val="402060F7"/>
    <w:rsid w:val="402B1B06"/>
    <w:rsid w:val="402D1E88"/>
    <w:rsid w:val="402E736A"/>
    <w:rsid w:val="403006D3"/>
    <w:rsid w:val="40382183"/>
    <w:rsid w:val="403A5051"/>
    <w:rsid w:val="403E4BFE"/>
    <w:rsid w:val="40427768"/>
    <w:rsid w:val="404639FA"/>
    <w:rsid w:val="40533EA6"/>
    <w:rsid w:val="40555B9C"/>
    <w:rsid w:val="4057308A"/>
    <w:rsid w:val="405A5DF4"/>
    <w:rsid w:val="4062513E"/>
    <w:rsid w:val="40662A3D"/>
    <w:rsid w:val="40825B8A"/>
    <w:rsid w:val="408D55F7"/>
    <w:rsid w:val="408F69EB"/>
    <w:rsid w:val="40925DA2"/>
    <w:rsid w:val="40970A2D"/>
    <w:rsid w:val="40975469"/>
    <w:rsid w:val="40A44280"/>
    <w:rsid w:val="40B43190"/>
    <w:rsid w:val="40B8624F"/>
    <w:rsid w:val="40BD16C7"/>
    <w:rsid w:val="40C14732"/>
    <w:rsid w:val="40C81B18"/>
    <w:rsid w:val="40D13550"/>
    <w:rsid w:val="40EE7EDB"/>
    <w:rsid w:val="40F16743"/>
    <w:rsid w:val="40F30350"/>
    <w:rsid w:val="40F45178"/>
    <w:rsid w:val="410A64A5"/>
    <w:rsid w:val="4110463E"/>
    <w:rsid w:val="4116230F"/>
    <w:rsid w:val="41183BC0"/>
    <w:rsid w:val="413258A3"/>
    <w:rsid w:val="41333B5A"/>
    <w:rsid w:val="41356CBD"/>
    <w:rsid w:val="413A0D85"/>
    <w:rsid w:val="41500D52"/>
    <w:rsid w:val="4155101D"/>
    <w:rsid w:val="41565566"/>
    <w:rsid w:val="415B7AD1"/>
    <w:rsid w:val="41633DD8"/>
    <w:rsid w:val="41667EF2"/>
    <w:rsid w:val="41680476"/>
    <w:rsid w:val="416E6285"/>
    <w:rsid w:val="417032C1"/>
    <w:rsid w:val="41757923"/>
    <w:rsid w:val="417A30E2"/>
    <w:rsid w:val="418169BE"/>
    <w:rsid w:val="418F1ED9"/>
    <w:rsid w:val="41B241E3"/>
    <w:rsid w:val="41B745F4"/>
    <w:rsid w:val="41CD6473"/>
    <w:rsid w:val="41DB52B9"/>
    <w:rsid w:val="41E025E7"/>
    <w:rsid w:val="41F5467A"/>
    <w:rsid w:val="41FB31BE"/>
    <w:rsid w:val="42042ABD"/>
    <w:rsid w:val="421A237B"/>
    <w:rsid w:val="422A0B87"/>
    <w:rsid w:val="42301996"/>
    <w:rsid w:val="423A2DDF"/>
    <w:rsid w:val="42430929"/>
    <w:rsid w:val="42465653"/>
    <w:rsid w:val="424B3CAB"/>
    <w:rsid w:val="42540DB3"/>
    <w:rsid w:val="426E604B"/>
    <w:rsid w:val="428315B4"/>
    <w:rsid w:val="42853235"/>
    <w:rsid w:val="42956B52"/>
    <w:rsid w:val="429D215E"/>
    <w:rsid w:val="42AE2546"/>
    <w:rsid w:val="42BB6105"/>
    <w:rsid w:val="42BE567D"/>
    <w:rsid w:val="42C960F2"/>
    <w:rsid w:val="42CE1807"/>
    <w:rsid w:val="42D459F0"/>
    <w:rsid w:val="42D47D62"/>
    <w:rsid w:val="42D71FE1"/>
    <w:rsid w:val="42DF7BDA"/>
    <w:rsid w:val="42E655A6"/>
    <w:rsid w:val="431E2316"/>
    <w:rsid w:val="43230F30"/>
    <w:rsid w:val="43281959"/>
    <w:rsid w:val="43343527"/>
    <w:rsid w:val="43400A62"/>
    <w:rsid w:val="43581555"/>
    <w:rsid w:val="436C7C4E"/>
    <w:rsid w:val="43773DAA"/>
    <w:rsid w:val="43940F44"/>
    <w:rsid w:val="43973521"/>
    <w:rsid w:val="43A01FD7"/>
    <w:rsid w:val="43A32E9A"/>
    <w:rsid w:val="43A56B07"/>
    <w:rsid w:val="43A87FEE"/>
    <w:rsid w:val="43B417FE"/>
    <w:rsid w:val="43BF06DA"/>
    <w:rsid w:val="43C26B82"/>
    <w:rsid w:val="43C407BF"/>
    <w:rsid w:val="43C70250"/>
    <w:rsid w:val="43C74AC7"/>
    <w:rsid w:val="43CB71DC"/>
    <w:rsid w:val="43D3035D"/>
    <w:rsid w:val="43D35DAB"/>
    <w:rsid w:val="43D65399"/>
    <w:rsid w:val="43E2071B"/>
    <w:rsid w:val="43EF5DD3"/>
    <w:rsid w:val="43F220C4"/>
    <w:rsid w:val="43F53ADC"/>
    <w:rsid w:val="43FC47FA"/>
    <w:rsid w:val="4406408A"/>
    <w:rsid w:val="443148BE"/>
    <w:rsid w:val="44321982"/>
    <w:rsid w:val="443807EB"/>
    <w:rsid w:val="443B2F3F"/>
    <w:rsid w:val="443D22FC"/>
    <w:rsid w:val="44445DD5"/>
    <w:rsid w:val="44467EE7"/>
    <w:rsid w:val="4450786A"/>
    <w:rsid w:val="447425D3"/>
    <w:rsid w:val="4474705A"/>
    <w:rsid w:val="447E544C"/>
    <w:rsid w:val="44802CC6"/>
    <w:rsid w:val="44810E5F"/>
    <w:rsid w:val="448415CD"/>
    <w:rsid w:val="44B0030A"/>
    <w:rsid w:val="44B12DDB"/>
    <w:rsid w:val="44B26480"/>
    <w:rsid w:val="44BB3321"/>
    <w:rsid w:val="44BD44A7"/>
    <w:rsid w:val="44DC22A2"/>
    <w:rsid w:val="44E00867"/>
    <w:rsid w:val="44F20148"/>
    <w:rsid w:val="44FC0F72"/>
    <w:rsid w:val="45042213"/>
    <w:rsid w:val="45087732"/>
    <w:rsid w:val="451D7742"/>
    <w:rsid w:val="451F00AA"/>
    <w:rsid w:val="45322267"/>
    <w:rsid w:val="45360DE5"/>
    <w:rsid w:val="453C4E49"/>
    <w:rsid w:val="453F66E4"/>
    <w:rsid w:val="45495A4E"/>
    <w:rsid w:val="45672A02"/>
    <w:rsid w:val="456E6884"/>
    <w:rsid w:val="456F08F0"/>
    <w:rsid w:val="4577247A"/>
    <w:rsid w:val="45776F97"/>
    <w:rsid w:val="45980EB1"/>
    <w:rsid w:val="459B062C"/>
    <w:rsid w:val="459E391E"/>
    <w:rsid w:val="45AA6CAB"/>
    <w:rsid w:val="45AB2D36"/>
    <w:rsid w:val="45AC6FB7"/>
    <w:rsid w:val="45B87C84"/>
    <w:rsid w:val="45C42BE1"/>
    <w:rsid w:val="45CA2E84"/>
    <w:rsid w:val="45CD1820"/>
    <w:rsid w:val="45D34F4F"/>
    <w:rsid w:val="45D61ECA"/>
    <w:rsid w:val="45D83773"/>
    <w:rsid w:val="45D95B78"/>
    <w:rsid w:val="45DE021D"/>
    <w:rsid w:val="45EE52AC"/>
    <w:rsid w:val="45FF4B0C"/>
    <w:rsid w:val="46081075"/>
    <w:rsid w:val="46090F13"/>
    <w:rsid w:val="460D1148"/>
    <w:rsid w:val="460E4B26"/>
    <w:rsid w:val="46121409"/>
    <w:rsid w:val="461304E7"/>
    <w:rsid w:val="461C2003"/>
    <w:rsid w:val="463874B7"/>
    <w:rsid w:val="464341AA"/>
    <w:rsid w:val="464434B2"/>
    <w:rsid w:val="4649751D"/>
    <w:rsid w:val="464D3F7A"/>
    <w:rsid w:val="465F5F5B"/>
    <w:rsid w:val="46626D80"/>
    <w:rsid w:val="467F08D7"/>
    <w:rsid w:val="46873755"/>
    <w:rsid w:val="46912329"/>
    <w:rsid w:val="469211D3"/>
    <w:rsid w:val="46966F9B"/>
    <w:rsid w:val="46A619CA"/>
    <w:rsid w:val="46A61FCD"/>
    <w:rsid w:val="46B81898"/>
    <w:rsid w:val="46BC6B62"/>
    <w:rsid w:val="46C03345"/>
    <w:rsid w:val="46C259B0"/>
    <w:rsid w:val="46C60688"/>
    <w:rsid w:val="46C94BE0"/>
    <w:rsid w:val="46CA72C6"/>
    <w:rsid w:val="46CB03FD"/>
    <w:rsid w:val="46D304D0"/>
    <w:rsid w:val="46D63C51"/>
    <w:rsid w:val="46DE5159"/>
    <w:rsid w:val="46E355F0"/>
    <w:rsid w:val="46F4188D"/>
    <w:rsid w:val="46F71317"/>
    <w:rsid w:val="46FA1A65"/>
    <w:rsid w:val="47031BF2"/>
    <w:rsid w:val="470E6A39"/>
    <w:rsid w:val="47223BC6"/>
    <w:rsid w:val="4726465D"/>
    <w:rsid w:val="4730064C"/>
    <w:rsid w:val="47327095"/>
    <w:rsid w:val="47351B28"/>
    <w:rsid w:val="474A668A"/>
    <w:rsid w:val="47586F6F"/>
    <w:rsid w:val="475A2F1C"/>
    <w:rsid w:val="475E1C2E"/>
    <w:rsid w:val="47615288"/>
    <w:rsid w:val="4766664B"/>
    <w:rsid w:val="47697B7A"/>
    <w:rsid w:val="476C35B3"/>
    <w:rsid w:val="478B404F"/>
    <w:rsid w:val="47A42919"/>
    <w:rsid w:val="47B41DB0"/>
    <w:rsid w:val="47BD2DD7"/>
    <w:rsid w:val="47C12BFB"/>
    <w:rsid w:val="47D41880"/>
    <w:rsid w:val="47D673E1"/>
    <w:rsid w:val="47E939C0"/>
    <w:rsid w:val="47EE3331"/>
    <w:rsid w:val="47F954A6"/>
    <w:rsid w:val="47FD6943"/>
    <w:rsid w:val="47FF49A1"/>
    <w:rsid w:val="480C0A88"/>
    <w:rsid w:val="482B3AC3"/>
    <w:rsid w:val="4831273D"/>
    <w:rsid w:val="4832732B"/>
    <w:rsid w:val="48336C3E"/>
    <w:rsid w:val="48497064"/>
    <w:rsid w:val="48912572"/>
    <w:rsid w:val="489C7E06"/>
    <w:rsid w:val="48A24720"/>
    <w:rsid w:val="48BB15F4"/>
    <w:rsid w:val="48C651A4"/>
    <w:rsid w:val="48F25A2E"/>
    <w:rsid w:val="48F82F7F"/>
    <w:rsid w:val="48FC3E80"/>
    <w:rsid w:val="48FD5A79"/>
    <w:rsid w:val="48FF197B"/>
    <w:rsid w:val="490439D1"/>
    <w:rsid w:val="490C4076"/>
    <w:rsid w:val="491D4733"/>
    <w:rsid w:val="492735B1"/>
    <w:rsid w:val="49275879"/>
    <w:rsid w:val="49282A5C"/>
    <w:rsid w:val="49506816"/>
    <w:rsid w:val="4951615D"/>
    <w:rsid w:val="495439A9"/>
    <w:rsid w:val="496D6126"/>
    <w:rsid w:val="4970431A"/>
    <w:rsid w:val="49755779"/>
    <w:rsid w:val="497E7A80"/>
    <w:rsid w:val="49850216"/>
    <w:rsid w:val="49900800"/>
    <w:rsid w:val="49996F58"/>
    <w:rsid w:val="499D2B69"/>
    <w:rsid w:val="49A52C44"/>
    <w:rsid w:val="49B76D63"/>
    <w:rsid w:val="49BD4166"/>
    <w:rsid w:val="49C62A3B"/>
    <w:rsid w:val="49D62C36"/>
    <w:rsid w:val="49DD0563"/>
    <w:rsid w:val="49DD6BDA"/>
    <w:rsid w:val="49E10994"/>
    <w:rsid w:val="49E9415A"/>
    <w:rsid w:val="4A2E6212"/>
    <w:rsid w:val="4A363DCE"/>
    <w:rsid w:val="4A411F6D"/>
    <w:rsid w:val="4A482A62"/>
    <w:rsid w:val="4A532C82"/>
    <w:rsid w:val="4A5752E6"/>
    <w:rsid w:val="4A5E614C"/>
    <w:rsid w:val="4A67710A"/>
    <w:rsid w:val="4A8B07CD"/>
    <w:rsid w:val="4A8E02B7"/>
    <w:rsid w:val="4A99532C"/>
    <w:rsid w:val="4ABD61F8"/>
    <w:rsid w:val="4AD062F3"/>
    <w:rsid w:val="4AD30E8F"/>
    <w:rsid w:val="4AE91283"/>
    <w:rsid w:val="4AEA7154"/>
    <w:rsid w:val="4AED0F9A"/>
    <w:rsid w:val="4AF6118B"/>
    <w:rsid w:val="4AFB69CD"/>
    <w:rsid w:val="4B0556BB"/>
    <w:rsid w:val="4B06733D"/>
    <w:rsid w:val="4B07627D"/>
    <w:rsid w:val="4B086BE2"/>
    <w:rsid w:val="4B0A44EE"/>
    <w:rsid w:val="4B0C0D1F"/>
    <w:rsid w:val="4B0E45C7"/>
    <w:rsid w:val="4B1C5761"/>
    <w:rsid w:val="4B280749"/>
    <w:rsid w:val="4B2C1655"/>
    <w:rsid w:val="4B3553F7"/>
    <w:rsid w:val="4B3B75BF"/>
    <w:rsid w:val="4B3E1900"/>
    <w:rsid w:val="4B42274B"/>
    <w:rsid w:val="4B433CE5"/>
    <w:rsid w:val="4B4576B5"/>
    <w:rsid w:val="4B503DFC"/>
    <w:rsid w:val="4B5F623C"/>
    <w:rsid w:val="4B6A3730"/>
    <w:rsid w:val="4B75241E"/>
    <w:rsid w:val="4B8255F2"/>
    <w:rsid w:val="4B885F70"/>
    <w:rsid w:val="4B896C62"/>
    <w:rsid w:val="4B8A7FEB"/>
    <w:rsid w:val="4B92125B"/>
    <w:rsid w:val="4BA561AD"/>
    <w:rsid w:val="4BA74670"/>
    <w:rsid w:val="4BB349AE"/>
    <w:rsid w:val="4BC320F1"/>
    <w:rsid w:val="4BDE6989"/>
    <w:rsid w:val="4BE625B5"/>
    <w:rsid w:val="4BF20662"/>
    <w:rsid w:val="4C017E39"/>
    <w:rsid w:val="4C1B1985"/>
    <w:rsid w:val="4C203D52"/>
    <w:rsid w:val="4C23688B"/>
    <w:rsid w:val="4C31792E"/>
    <w:rsid w:val="4C3205F8"/>
    <w:rsid w:val="4C4001B7"/>
    <w:rsid w:val="4C6E2C87"/>
    <w:rsid w:val="4C6E46E9"/>
    <w:rsid w:val="4C7A59B6"/>
    <w:rsid w:val="4C7F7B2D"/>
    <w:rsid w:val="4C966257"/>
    <w:rsid w:val="4CB87D41"/>
    <w:rsid w:val="4CBE3306"/>
    <w:rsid w:val="4CC50ACA"/>
    <w:rsid w:val="4CD26FAE"/>
    <w:rsid w:val="4CD60DE2"/>
    <w:rsid w:val="4CDC7651"/>
    <w:rsid w:val="4CE72A1B"/>
    <w:rsid w:val="4CEA63BF"/>
    <w:rsid w:val="4CED63DC"/>
    <w:rsid w:val="4CF14D6C"/>
    <w:rsid w:val="4CF9348E"/>
    <w:rsid w:val="4CFA2D4E"/>
    <w:rsid w:val="4CFE4FC9"/>
    <w:rsid w:val="4D144E60"/>
    <w:rsid w:val="4D1574FA"/>
    <w:rsid w:val="4D1E7BED"/>
    <w:rsid w:val="4D2E33D2"/>
    <w:rsid w:val="4D405D1C"/>
    <w:rsid w:val="4D46282D"/>
    <w:rsid w:val="4D4A5219"/>
    <w:rsid w:val="4D4D43DA"/>
    <w:rsid w:val="4D504A6C"/>
    <w:rsid w:val="4D640301"/>
    <w:rsid w:val="4D7321B3"/>
    <w:rsid w:val="4D863294"/>
    <w:rsid w:val="4D8710FA"/>
    <w:rsid w:val="4D8E6344"/>
    <w:rsid w:val="4DA237EB"/>
    <w:rsid w:val="4DB018FF"/>
    <w:rsid w:val="4DB52B7A"/>
    <w:rsid w:val="4DC20F99"/>
    <w:rsid w:val="4DC9067F"/>
    <w:rsid w:val="4DD54DF8"/>
    <w:rsid w:val="4DE72D03"/>
    <w:rsid w:val="4DEC24F3"/>
    <w:rsid w:val="4DF56521"/>
    <w:rsid w:val="4E167C53"/>
    <w:rsid w:val="4E1F3B18"/>
    <w:rsid w:val="4E2361A1"/>
    <w:rsid w:val="4E28277B"/>
    <w:rsid w:val="4E2904BF"/>
    <w:rsid w:val="4E2E1FA9"/>
    <w:rsid w:val="4E314950"/>
    <w:rsid w:val="4E337619"/>
    <w:rsid w:val="4E347586"/>
    <w:rsid w:val="4E382735"/>
    <w:rsid w:val="4E42310F"/>
    <w:rsid w:val="4E481C78"/>
    <w:rsid w:val="4E4C59DB"/>
    <w:rsid w:val="4E5A686A"/>
    <w:rsid w:val="4E613BFB"/>
    <w:rsid w:val="4E623647"/>
    <w:rsid w:val="4E6A01CB"/>
    <w:rsid w:val="4E6B7EA5"/>
    <w:rsid w:val="4E6E1C53"/>
    <w:rsid w:val="4EA247FB"/>
    <w:rsid w:val="4EA2771C"/>
    <w:rsid w:val="4EA4190C"/>
    <w:rsid w:val="4EA43E69"/>
    <w:rsid w:val="4EA51E20"/>
    <w:rsid w:val="4EA6493E"/>
    <w:rsid w:val="4EAE06F6"/>
    <w:rsid w:val="4EB22BB6"/>
    <w:rsid w:val="4EC37333"/>
    <w:rsid w:val="4EC776D5"/>
    <w:rsid w:val="4EC8127A"/>
    <w:rsid w:val="4EE50701"/>
    <w:rsid w:val="4EF040A7"/>
    <w:rsid w:val="4F0F0438"/>
    <w:rsid w:val="4F16270E"/>
    <w:rsid w:val="4F2A1107"/>
    <w:rsid w:val="4F2A504C"/>
    <w:rsid w:val="4F2E38C4"/>
    <w:rsid w:val="4F3A52DE"/>
    <w:rsid w:val="4F3B587D"/>
    <w:rsid w:val="4F66772F"/>
    <w:rsid w:val="4F685253"/>
    <w:rsid w:val="4F6F26F5"/>
    <w:rsid w:val="4F7D337D"/>
    <w:rsid w:val="4F824D96"/>
    <w:rsid w:val="4F8C2FB3"/>
    <w:rsid w:val="4FA04E29"/>
    <w:rsid w:val="4FBB2971"/>
    <w:rsid w:val="4FC13F6A"/>
    <w:rsid w:val="4FCF316C"/>
    <w:rsid w:val="4FE14605"/>
    <w:rsid w:val="4FE565EC"/>
    <w:rsid w:val="4FF0716A"/>
    <w:rsid w:val="50017C41"/>
    <w:rsid w:val="500205BA"/>
    <w:rsid w:val="50024414"/>
    <w:rsid w:val="500535AA"/>
    <w:rsid w:val="500D2E4B"/>
    <w:rsid w:val="501D4744"/>
    <w:rsid w:val="50276E57"/>
    <w:rsid w:val="5031683F"/>
    <w:rsid w:val="50367030"/>
    <w:rsid w:val="50380850"/>
    <w:rsid w:val="50386315"/>
    <w:rsid w:val="50455FE3"/>
    <w:rsid w:val="50457115"/>
    <w:rsid w:val="504D3701"/>
    <w:rsid w:val="50535369"/>
    <w:rsid w:val="506028D3"/>
    <w:rsid w:val="506232F9"/>
    <w:rsid w:val="5066125B"/>
    <w:rsid w:val="50682A28"/>
    <w:rsid w:val="50765DDF"/>
    <w:rsid w:val="50960717"/>
    <w:rsid w:val="5099629C"/>
    <w:rsid w:val="509D4D54"/>
    <w:rsid w:val="50AE3718"/>
    <w:rsid w:val="50BB4FBC"/>
    <w:rsid w:val="50BC3FA1"/>
    <w:rsid w:val="50CC2DC6"/>
    <w:rsid w:val="50D06305"/>
    <w:rsid w:val="50D113DA"/>
    <w:rsid w:val="50D5213E"/>
    <w:rsid w:val="50E616DE"/>
    <w:rsid w:val="5103159D"/>
    <w:rsid w:val="510905CA"/>
    <w:rsid w:val="510E0F37"/>
    <w:rsid w:val="512F062D"/>
    <w:rsid w:val="51342243"/>
    <w:rsid w:val="513B1368"/>
    <w:rsid w:val="514E7CBB"/>
    <w:rsid w:val="51631DA9"/>
    <w:rsid w:val="516B2E8D"/>
    <w:rsid w:val="517A4872"/>
    <w:rsid w:val="517D48CD"/>
    <w:rsid w:val="518026E4"/>
    <w:rsid w:val="5195350F"/>
    <w:rsid w:val="519E4C88"/>
    <w:rsid w:val="51A27D77"/>
    <w:rsid w:val="51B05A39"/>
    <w:rsid w:val="51B135C6"/>
    <w:rsid w:val="51B428B3"/>
    <w:rsid w:val="51B77F8C"/>
    <w:rsid w:val="51BE6C89"/>
    <w:rsid w:val="51C751FA"/>
    <w:rsid w:val="51D14AD6"/>
    <w:rsid w:val="51F61A56"/>
    <w:rsid w:val="520041D9"/>
    <w:rsid w:val="520A5B54"/>
    <w:rsid w:val="52103039"/>
    <w:rsid w:val="52186274"/>
    <w:rsid w:val="521E485F"/>
    <w:rsid w:val="522303CE"/>
    <w:rsid w:val="522359D4"/>
    <w:rsid w:val="52243E5D"/>
    <w:rsid w:val="52317083"/>
    <w:rsid w:val="5240444C"/>
    <w:rsid w:val="524F1AE6"/>
    <w:rsid w:val="525B5043"/>
    <w:rsid w:val="525F410A"/>
    <w:rsid w:val="52744F0A"/>
    <w:rsid w:val="52775220"/>
    <w:rsid w:val="52832880"/>
    <w:rsid w:val="528463CF"/>
    <w:rsid w:val="528D1AA9"/>
    <w:rsid w:val="528D7D87"/>
    <w:rsid w:val="528F51C0"/>
    <w:rsid w:val="52916E87"/>
    <w:rsid w:val="52980AF4"/>
    <w:rsid w:val="529B6573"/>
    <w:rsid w:val="52C35EAB"/>
    <w:rsid w:val="52CF3F51"/>
    <w:rsid w:val="52D46018"/>
    <w:rsid w:val="52E56525"/>
    <w:rsid w:val="52F23421"/>
    <w:rsid w:val="52FF4C78"/>
    <w:rsid w:val="5307344D"/>
    <w:rsid w:val="530957F4"/>
    <w:rsid w:val="532852E2"/>
    <w:rsid w:val="533B3ED3"/>
    <w:rsid w:val="534076C8"/>
    <w:rsid w:val="534A4B2C"/>
    <w:rsid w:val="534D35AE"/>
    <w:rsid w:val="53624A20"/>
    <w:rsid w:val="53663926"/>
    <w:rsid w:val="53681453"/>
    <w:rsid w:val="536D2BC6"/>
    <w:rsid w:val="537A7DBC"/>
    <w:rsid w:val="5380656F"/>
    <w:rsid w:val="53816D27"/>
    <w:rsid w:val="5389303A"/>
    <w:rsid w:val="538C4C0F"/>
    <w:rsid w:val="5391717C"/>
    <w:rsid w:val="53A5631A"/>
    <w:rsid w:val="53A65412"/>
    <w:rsid w:val="53B73FC1"/>
    <w:rsid w:val="53C338ED"/>
    <w:rsid w:val="53D862EC"/>
    <w:rsid w:val="53E346D2"/>
    <w:rsid w:val="53E9288F"/>
    <w:rsid w:val="53EC07B5"/>
    <w:rsid w:val="53F22443"/>
    <w:rsid w:val="53F74C64"/>
    <w:rsid w:val="540724EA"/>
    <w:rsid w:val="540B0776"/>
    <w:rsid w:val="54165B73"/>
    <w:rsid w:val="54190BF9"/>
    <w:rsid w:val="54236F87"/>
    <w:rsid w:val="542645E9"/>
    <w:rsid w:val="54365B10"/>
    <w:rsid w:val="54443BA8"/>
    <w:rsid w:val="54480EFB"/>
    <w:rsid w:val="544D1B0E"/>
    <w:rsid w:val="544E3FC2"/>
    <w:rsid w:val="54522C47"/>
    <w:rsid w:val="545B46B0"/>
    <w:rsid w:val="545D5676"/>
    <w:rsid w:val="54654B0C"/>
    <w:rsid w:val="5471537E"/>
    <w:rsid w:val="54752E62"/>
    <w:rsid w:val="547E24BF"/>
    <w:rsid w:val="54856EF1"/>
    <w:rsid w:val="548E31F6"/>
    <w:rsid w:val="548E6083"/>
    <w:rsid w:val="548F134A"/>
    <w:rsid w:val="549831C9"/>
    <w:rsid w:val="549F65E6"/>
    <w:rsid w:val="54A133FC"/>
    <w:rsid w:val="54A37900"/>
    <w:rsid w:val="54A76D51"/>
    <w:rsid w:val="54A77F2B"/>
    <w:rsid w:val="54AE73F3"/>
    <w:rsid w:val="54B8587C"/>
    <w:rsid w:val="54BD3DA5"/>
    <w:rsid w:val="54BF7F41"/>
    <w:rsid w:val="54D01F36"/>
    <w:rsid w:val="54D33878"/>
    <w:rsid w:val="54D724D7"/>
    <w:rsid w:val="54FA00B2"/>
    <w:rsid w:val="54FC6E53"/>
    <w:rsid w:val="54FD340D"/>
    <w:rsid w:val="5504173E"/>
    <w:rsid w:val="55093C1C"/>
    <w:rsid w:val="551342FD"/>
    <w:rsid w:val="552B6BB7"/>
    <w:rsid w:val="552D4733"/>
    <w:rsid w:val="55384D93"/>
    <w:rsid w:val="554C37FB"/>
    <w:rsid w:val="554F6BFF"/>
    <w:rsid w:val="556067D7"/>
    <w:rsid w:val="55640407"/>
    <w:rsid w:val="55640CA7"/>
    <w:rsid w:val="55661692"/>
    <w:rsid w:val="55826EBF"/>
    <w:rsid w:val="558A6B75"/>
    <w:rsid w:val="55901DFC"/>
    <w:rsid w:val="5595230C"/>
    <w:rsid w:val="55A26A6B"/>
    <w:rsid w:val="55A44DFE"/>
    <w:rsid w:val="55A955D9"/>
    <w:rsid w:val="55AB1FFC"/>
    <w:rsid w:val="55AD5E81"/>
    <w:rsid w:val="55D230C7"/>
    <w:rsid w:val="55D44BC4"/>
    <w:rsid w:val="55FE315D"/>
    <w:rsid w:val="560B310B"/>
    <w:rsid w:val="561B7643"/>
    <w:rsid w:val="563A0A27"/>
    <w:rsid w:val="56612D74"/>
    <w:rsid w:val="567E14C6"/>
    <w:rsid w:val="567E3265"/>
    <w:rsid w:val="56895324"/>
    <w:rsid w:val="568B0961"/>
    <w:rsid w:val="568C0C9D"/>
    <w:rsid w:val="568F54EC"/>
    <w:rsid w:val="56960A86"/>
    <w:rsid w:val="56A1131A"/>
    <w:rsid w:val="56AA799C"/>
    <w:rsid w:val="56B31871"/>
    <w:rsid w:val="56C444EE"/>
    <w:rsid w:val="56D20C4E"/>
    <w:rsid w:val="56D6522B"/>
    <w:rsid w:val="56DB02A6"/>
    <w:rsid w:val="56DB75C0"/>
    <w:rsid w:val="56E36E81"/>
    <w:rsid w:val="56EA12CE"/>
    <w:rsid w:val="56FD2B70"/>
    <w:rsid w:val="5706160D"/>
    <w:rsid w:val="57092456"/>
    <w:rsid w:val="570C14F9"/>
    <w:rsid w:val="5711721C"/>
    <w:rsid w:val="57151C2A"/>
    <w:rsid w:val="57174BCE"/>
    <w:rsid w:val="57177709"/>
    <w:rsid w:val="571A6909"/>
    <w:rsid w:val="571F59B7"/>
    <w:rsid w:val="57284D3D"/>
    <w:rsid w:val="572960F5"/>
    <w:rsid w:val="57320183"/>
    <w:rsid w:val="574524A4"/>
    <w:rsid w:val="575A6015"/>
    <w:rsid w:val="576222B6"/>
    <w:rsid w:val="57644EB5"/>
    <w:rsid w:val="576E6386"/>
    <w:rsid w:val="57763038"/>
    <w:rsid w:val="57782627"/>
    <w:rsid w:val="57787EC4"/>
    <w:rsid w:val="57802640"/>
    <w:rsid w:val="579228F1"/>
    <w:rsid w:val="579D2939"/>
    <w:rsid w:val="579E3208"/>
    <w:rsid w:val="57AC59FC"/>
    <w:rsid w:val="57AF5A9B"/>
    <w:rsid w:val="57B047DE"/>
    <w:rsid w:val="57B900A5"/>
    <w:rsid w:val="57C638F5"/>
    <w:rsid w:val="57CE66EB"/>
    <w:rsid w:val="57CF1451"/>
    <w:rsid w:val="57D809FC"/>
    <w:rsid w:val="57D95B8A"/>
    <w:rsid w:val="57DE5B83"/>
    <w:rsid w:val="57E2403B"/>
    <w:rsid w:val="57F5319B"/>
    <w:rsid w:val="57FD3155"/>
    <w:rsid w:val="58114DF7"/>
    <w:rsid w:val="58392E80"/>
    <w:rsid w:val="58483971"/>
    <w:rsid w:val="5849558D"/>
    <w:rsid w:val="584C7C53"/>
    <w:rsid w:val="584E1EE5"/>
    <w:rsid w:val="585666A2"/>
    <w:rsid w:val="585738CF"/>
    <w:rsid w:val="58581E6F"/>
    <w:rsid w:val="58592E70"/>
    <w:rsid w:val="58605B86"/>
    <w:rsid w:val="5865292E"/>
    <w:rsid w:val="587D41A6"/>
    <w:rsid w:val="588F4EBA"/>
    <w:rsid w:val="58910C83"/>
    <w:rsid w:val="58965744"/>
    <w:rsid w:val="58A22082"/>
    <w:rsid w:val="58B02A53"/>
    <w:rsid w:val="58B132FB"/>
    <w:rsid w:val="58B82E48"/>
    <w:rsid w:val="58C875CA"/>
    <w:rsid w:val="58CE0B6B"/>
    <w:rsid w:val="58D17821"/>
    <w:rsid w:val="58D903B3"/>
    <w:rsid w:val="58DE6F8E"/>
    <w:rsid w:val="58E844E4"/>
    <w:rsid w:val="58EC4B9C"/>
    <w:rsid w:val="58EF4DC1"/>
    <w:rsid w:val="58F30545"/>
    <w:rsid w:val="59062AAD"/>
    <w:rsid w:val="590B3B47"/>
    <w:rsid w:val="59124334"/>
    <w:rsid w:val="59163874"/>
    <w:rsid w:val="591B47DE"/>
    <w:rsid w:val="59207EA4"/>
    <w:rsid w:val="592B7E89"/>
    <w:rsid w:val="59347AAD"/>
    <w:rsid w:val="593E6737"/>
    <w:rsid w:val="594A1FBE"/>
    <w:rsid w:val="59684641"/>
    <w:rsid w:val="597A4613"/>
    <w:rsid w:val="597A5874"/>
    <w:rsid w:val="597C27AA"/>
    <w:rsid w:val="598B2F4B"/>
    <w:rsid w:val="599B4658"/>
    <w:rsid w:val="59A86FA1"/>
    <w:rsid w:val="59AB0E29"/>
    <w:rsid w:val="59AD3EFF"/>
    <w:rsid w:val="59B15DD0"/>
    <w:rsid w:val="59D87B2A"/>
    <w:rsid w:val="59DA7237"/>
    <w:rsid w:val="59EB1F71"/>
    <w:rsid w:val="59EC465E"/>
    <w:rsid w:val="59EF1912"/>
    <w:rsid w:val="59FA1BEA"/>
    <w:rsid w:val="59FA53E3"/>
    <w:rsid w:val="59FD7A77"/>
    <w:rsid w:val="5A0341E1"/>
    <w:rsid w:val="5A1A32AE"/>
    <w:rsid w:val="5A223E45"/>
    <w:rsid w:val="5A272718"/>
    <w:rsid w:val="5A291321"/>
    <w:rsid w:val="5A2F617E"/>
    <w:rsid w:val="5A333F92"/>
    <w:rsid w:val="5A36772E"/>
    <w:rsid w:val="5A3B503C"/>
    <w:rsid w:val="5A432DC1"/>
    <w:rsid w:val="5A5348A3"/>
    <w:rsid w:val="5A5657DD"/>
    <w:rsid w:val="5A566436"/>
    <w:rsid w:val="5A62679E"/>
    <w:rsid w:val="5A627DD0"/>
    <w:rsid w:val="5A7831E9"/>
    <w:rsid w:val="5A870270"/>
    <w:rsid w:val="5AA034F6"/>
    <w:rsid w:val="5AA1304E"/>
    <w:rsid w:val="5AA95838"/>
    <w:rsid w:val="5AAB21F1"/>
    <w:rsid w:val="5AAD63A8"/>
    <w:rsid w:val="5AAE2C28"/>
    <w:rsid w:val="5AAF297F"/>
    <w:rsid w:val="5ABC286E"/>
    <w:rsid w:val="5AC825A8"/>
    <w:rsid w:val="5ACE7AC6"/>
    <w:rsid w:val="5ACF737C"/>
    <w:rsid w:val="5ADC2314"/>
    <w:rsid w:val="5AE77592"/>
    <w:rsid w:val="5AFF6E22"/>
    <w:rsid w:val="5B042DAA"/>
    <w:rsid w:val="5B0646D7"/>
    <w:rsid w:val="5B1840BF"/>
    <w:rsid w:val="5B1D4029"/>
    <w:rsid w:val="5B1F1801"/>
    <w:rsid w:val="5B1F4BC1"/>
    <w:rsid w:val="5B2910CC"/>
    <w:rsid w:val="5B2D07A3"/>
    <w:rsid w:val="5B2D6F22"/>
    <w:rsid w:val="5B3148DF"/>
    <w:rsid w:val="5B440F1B"/>
    <w:rsid w:val="5B596602"/>
    <w:rsid w:val="5B7811D8"/>
    <w:rsid w:val="5B82243E"/>
    <w:rsid w:val="5B8860F3"/>
    <w:rsid w:val="5B8A69B0"/>
    <w:rsid w:val="5B8F3E4C"/>
    <w:rsid w:val="5B923D03"/>
    <w:rsid w:val="5B970B77"/>
    <w:rsid w:val="5B9D0A14"/>
    <w:rsid w:val="5BA47C38"/>
    <w:rsid w:val="5BAC6369"/>
    <w:rsid w:val="5BAD427B"/>
    <w:rsid w:val="5BAE7FF1"/>
    <w:rsid w:val="5BB73812"/>
    <w:rsid w:val="5BD913B5"/>
    <w:rsid w:val="5BDA7DCA"/>
    <w:rsid w:val="5BE03927"/>
    <w:rsid w:val="5BEC1B68"/>
    <w:rsid w:val="5BEF51C1"/>
    <w:rsid w:val="5BF256DD"/>
    <w:rsid w:val="5BF648FD"/>
    <w:rsid w:val="5BFF790B"/>
    <w:rsid w:val="5C07528B"/>
    <w:rsid w:val="5C1335B9"/>
    <w:rsid w:val="5C144392"/>
    <w:rsid w:val="5C1B60BB"/>
    <w:rsid w:val="5C22618B"/>
    <w:rsid w:val="5C347F07"/>
    <w:rsid w:val="5C3A5AF0"/>
    <w:rsid w:val="5C3C4CA5"/>
    <w:rsid w:val="5C423ED7"/>
    <w:rsid w:val="5C434149"/>
    <w:rsid w:val="5C474DEB"/>
    <w:rsid w:val="5C501807"/>
    <w:rsid w:val="5C50338B"/>
    <w:rsid w:val="5C540EAF"/>
    <w:rsid w:val="5C6E6A20"/>
    <w:rsid w:val="5C6F2C41"/>
    <w:rsid w:val="5C74299E"/>
    <w:rsid w:val="5C7D2E61"/>
    <w:rsid w:val="5C7E1119"/>
    <w:rsid w:val="5C8A7071"/>
    <w:rsid w:val="5C9B3A84"/>
    <w:rsid w:val="5C9E3FCC"/>
    <w:rsid w:val="5CAF2DB3"/>
    <w:rsid w:val="5CBA2C19"/>
    <w:rsid w:val="5CD4098B"/>
    <w:rsid w:val="5CDA14F9"/>
    <w:rsid w:val="5CE82698"/>
    <w:rsid w:val="5CF11082"/>
    <w:rsid w:val="5CF76FF2"/>
    <w:rsid w:val="5CF943C2"/>
    <w:rsid w:val="5D0270DA"/>
    <w:rsid w:val="5D060350"/>
    <w:rsid w:val="5D0869F1"/>
    <w:rsid w:val="5D0A61B0"/>
    <w:rsid w:val="5D0C41D2"/>
    <w:rsid w:val="5D2333DD"/>
    <w:rsid w:val="5D2F1E94"/>
    <w:rsid w:val="5D33212D"/>
    <w:rsid w:val="5D400C17"/>
    <w:rsid w:val="5D5510C5"/>
    <w:rsid w:val="5D565178"/>
    <w:rsid w:val="5D5A7BF3"/>
    <w:rsid w:val="5D5F4792"/>
    <w:rsid w:val="5D6569E4"/>
    <w:rsid w:val="5D672DF0"/>
    <w:rsid w:val="5D6E0EA8"/>
    <w:rsid w:val="5D724F46"/>
    <w:rsid w:val="5D78764C"/>
    <w:rsid w:val="5D875AF9"/>
    <w:rsid w:val="5D8D03AA"/>
    <w:rsid w:val="5D8D58D4"/>
    <w:rsid w:val="5D9504F8"/>
    <w:rsid w:val="5D975F23"/>
    <w:rsid w:val="5DA31092"/>
    <w:rsid w:val="5DA41B06"/>
    <w:rsid w:val="5DA968A2"/>
    <w:rsid w:val="5DB06F40"/>
    <w:rsid w:val="5DC53F3B"/>
    <w:rsid w:val="5DC96C47"/>
    <w:rsid w:val="5DF62138"/>
    <w:rsid w:val="5E013C2B"/>
    <w:rsid w:val="5E0260E4"/>
    <w:rsid w:val="5E087D1D"/>
    <w:rsid w:val="5E0B1FD4"/>
    <w:rsid w:val="5E252C59"/>
    <w:rsid w:val="5E423255"/>
    <w:rsid w:val="5E4D084A"/>
    <w:rsid w:val="5E556D95"/>
    <w:rsid w:val="5E563918"/>
    <w:rsid w:val="5E5F2BF5"/>
    <w:rsid w:val="5E6229E5"/>
    <w:rsid w:val="5E6A5E1A"/>
    <w:rsid w:val="5E6B2F34"/>
    <w:rsid w:val="5E760265"/>
    <w:rsid w:val="5E84465E"/>
    <w:rsid w:val="5E8E3DA0"/>
    <w:rsid w:val="5E8F0512"/>
    <w:rsid w:val="5E915E4F"/>
    <w:rsid w:val="5E923EEF"/>
    <w:rsid w:val="5E925266"/>
    <w:rsid w:val="5E9C79E4"/>
    <w:rsid w:val="5E9D67B0"/>
    <w:rsid w:val="5EA12EB1"/>
    <w:rsid w:val="5EA43138"/>
    <w:rsid w:val="5EAF7F9E"/>
    <w:rsid w:val="5EB40716"/>
    <w:rsid w:val="5EB937F7"/>
    <w:rsid w:val="5EBF1602"/>
    <w:rsid w:val="5ECC222F"/>
    <w:rsid w:val="5ED36FA0"/>
    <w:rsid w:val="5ED71C92"/>
    <w:rsid w:val="5EDA3DC4"/>
    <w:rsid w:val="5EEC2DEE"/>
    <w:rsid w:val="5EF17D20"/>
    <w:rsid w:val="5EF377E2"/>
    <w:rsid w:val="5F1238EF"/>
    <w:rsid w:val="5F152139"/>
    <w:rsid w:val="5F2F4232"/>
    <w:rsid w:val="5F365ADD"/>
    <w:rsid w:val="5F467535"/>
    <w:rsid w:val="5F8A061B"/>
    <w:rsid w:val="5F99120B"/>
    <w:rsid w:val="5FA864EF"/>
    <w:rsid w:val="5FB231D1"/>
    <w:rsid w:val="5FC03CFC"/>
    <w:rsid w:val="5FD25A17"/>
    <w:rsid w:val="601616AD"/>
    <w:rsid w:val="60271B3D"/>
    <w:rsid w:val="603B1E35"/>
    <w:rsid w:val="603F5533"/>
    <w:rsid w:val="60413FAB"/>
    <w:rsid w:val="605B52DA"/>
    <w:rsid w:val="608307BF"/>
    <w:rsid w:val="609876D0"/>
    <w:rsid w:val="60994B8B"/>
    <w:rsid w:val="609B2312"/>
    <w:rsid w:val="60AE7F72"/>
    <w:rsid w:val="60B8163A"/>
    <w:rsid w:val="60C423BB"/>
    <w:rsid w:val="60D076AF"/>
    <w:rsid w:val="60D1014B"/>
    <w:rsid w:val="60D41E70"/>
    <w:rsid w:val="60EA345B"/>
    <w:rsid w:val="60F15306"/>
    <w:rsid w:val="610116DC"/>
    <w:rsid w:val="61084E72"/>
    <w:rsid w:val="610E72CA"/>
    <w:rsid w:val="610F4F12"/>
    <w:rsid w:val="611053AF"/>
    <w:rsid w:val="611B1191"/>
    <w:rsid w:val="6125314A"/>
    <w:rsid w:val="61264A21"/>
    <w:rsid w:val="612F3064"/>
    <w:rsid w:val="61392033"/>
    <w:rsid w:val="613F5790"/>
    <w:rsid w:val="614F2213"/>
    <w:rsid w:val="61545DA2"/>
    <w:rsid w:val="615D3C22"/>
    <w:rsid w:val="616805DD"/>
    <w:rsid w:val="6181722A"/>
    <w:rsid w:val="618E7AD4"/>
    <w:rsid w:val="61A11DAC"/>
    <w:rsid w:val="61A5264B"/>
    <w:rsid w:val="61A7062B"/>
    <w:rsid w:val="61B22684"/>
    <w:rsid w:val="61B62BA9"/>
    <w:rsid w:val="61BD43F3"/>
    <w:rsid w:val="61D06F0B"/>
    <w:rsid w:val="61E000E1"/>
    <w:rsid w:val="61E64CF7"/>
    <w:rsid w:val="61F11E6F"/>
    <w:rsid w:val="61F57B9A"/>
    <w:rsid w:val="61FA001E"/>
    <w:rsid w:val="61FC06FB"/>
    <w:rsid w:val="62001A0A"/>
    <w:rsid w:val="620156F2"/>
    <w:rsid w:val="62041B21"/>
    <w:rsid w:val="620F7652"/>
    <w:rsid w:val="621971F6"/>
    <w:rsid w:val="62220008"/>
    <w:rsid w:val="6232347F"/>
    <w:rsid w:val="623D5DB4"/>
    <w:rsid w:val="623E3F04"/>
    <w:rsid w:val="624A7D5D"/>
    <w:rsid w:val="62574425"/>
    <w:rsid w:val="6263278A"/>
    <w:rsid w:val="6266133C"/>
    <w:rsid w:val="62742131"/>
    <w:rsid w:val="62785145"/>
    <w:rsid w:val="627A2979"/>
    <w:rsid w:val="627C26A8"/>
    <w:rsid w:val="627C4DC6"/>
    <w:rsid w:val="6293611E"/>
    <w:rsid w:val="629F6AA4"/>
    <w:rsid w:val="62A85D3B"/>
    <w:rsid w:val="62C10C1B"/>
    <w:rsid w:val="62D47EEB"/>
    <w:rsid w:val="62DC26BD"/>
    <w:rsid w:val="62E14383"/>
    <w:rsid w:val="62E45A94"/>
    <w:rsid w:val="62EF0DEB"/>
    <w:rsid w:val="62F2359F"/>
    <w:rsid w:val="63087393"/>
    <w:rsid w:val="632629FD"/>
    <w:rsid w:val="6347780F"/>
    <w:rsid w:val="6348505A"/>
    <w:rsid w:val="634F0183"/>
    <w:rsid w:val="63500613"/>
    <w:rsid w:val="63581289"/>
    <w:rsid w:val="6358588A"/>
    <w:rsid w:val="63634DDD"/>
    <w:rsid w:val="637936D3"/>
    <w:rsid w:val="63861904"/>
    <w:rsid w:val="639540D2"/>
    <w:rsid w:val="639C6928"/>
    <w:rsid w:val="639E365B"/>
    <w:rsid w:val="63A60122"/>
    <w:rsid w:val="63A8690E"/>
    <w:rsid w:val="63AC5873"/>
    <w:rsid w:val="63B74F0B"/>
    <w:rsid w:val="63BF5529"/>
    <w:rsid w:val="63C028E3"/>
    <w:rsid w:val="63C17040"/>
    <w:rsid w:val="63C303CF"/>
    <w:rsid w:val="63D51657"/>
    <w:rsid w:val="63E235F9"/>
    <w:rsid w:val="63F03183"/>
    <w:rsid w:val="6402249F"/>
    <w:rsid w:val="640D276F"/>
    <w:rsid w:val="641505D1"/>
    <w:rsid w:val="64192B93"/>
    <w:rsid w:val="641E4C43"/>
    <w:rsid w:val="643C6BBE"/>
    <w:rsid w:val="64473B66"/>
    <w:rsid w:val="644D7023"/>
    <w:rsid w:val="64536BEE"/>
    <w:rsid w:val="645B07FE"/>
    <w:rsid w:val="646115D3"/>
    <w:rsid w:val="648563A5"/>
    <w:rsid w:val="64882BA3"/>
    <w:rsid w:val="6499256B"/>
    <w:rsid w:val="64A365E8"/>
    <w:rsid w:val="64B15963"/>
    <w:rsid w:val="64B50194"/>
    <w:rsid w:val="64B60998"/>
    <w:rsid w:val="64C12D16"/>
    <w:rsid w:val="64DD051C"/>
    <w:rsid w:val="64E4654C"/>
    <w:rsid w:val="64EC2F58"/>
    <w:rsid w:val="64ED147E"/>
    <w:rsid w:val="64F24A37"/>
    <w:rsid w:val="64F41FD4"/>
    <w:rsid w:val="64FA1056"/>
    <w:rsid w:val="64FC3961"/>
    <w:rsid w:val="65076307"/>
    <w:rsid w:val="65095250"/>
    <w:rsid w:val="650F2588"/>
    <w:rsid w:val="65122339"/>
    <w:rsid w:val="652934F6"/>
    <w:rsid w:val="652A4737"/>
    <w:rsid w:val="6534200A"/>
    <w:rsid w:val="65403F58"/>
    <w:rsid w:val="654D3103"/>
    <w:rsid w:val="6553213B"/>
    <w:rsid w:val="655C355C"/>
    <w:rsid w:val="655D44A3"/>
    <w:rsid w:val="65643868"/>
    <w:rsid w:val="65703C6D"/>
    <w:rsid w:val="658C56B5"/>
    <w:rsid w:val="658E4E52"/>
    <w:rsid w:val="65A57BCB"/>
    <w:rsid w:val="65AF0259"/>
    <w:rsid w:val="65AF0850"/>
    <w:rsid w:val="65B66E6B"/>
    <w:rsid w:val="65B725EB"/>
    <w:rsid w:val="65B763C4"/>
    <w:rsid w:val="65C27A66"/>
    <w:rsid w:val="65C32960"/>
    <w:rsid w:val="65CC75A6"/>
    <w:rsid w:val="65D91120"/>
    <w:rsid w:val="65E10083"/>
    <w:rsid w:val="65EC37B3"/>
    <w:rsid w:val="661C613C"/>
    <w:rsid w:val="661F5C42"/>
    <w:rsid w:val="66202B01"/>
    <w:rsid w:val="662363C9"/>
    <w:rsid w:val="66292161"/>
    <w:rsid w:val="663A4B31"/>
    <w:rsid w:val="6661020B"/>
    <w:rsid w:val="66651C8A"/>
    <w:rsid w:val="666E486E"/>
    <w:rsid w:val="66797273"/>
    <w:rsid w:val="667A4C99"/>
    <w:rsid w:val="668F132B"/>
    <w:rsid w:val="66926AD2"/>
    <w:rsid w:val="66937950"/>
    <w:rsid w:val="669868C0"/>
    <w:rsid w:val="669F0911"/>
    <w:rsid w:val="66B12665"/>
    <w:rsid w:val="66C342E1"/>
    <w:rsid w:val="66C80039"/>
    <w:rsid w:val="66CD3389"/>
    <w:rsid w:val="66CD410D"/>
    <w:rsid w:val="66D20AB6"/>
    <w:rsid w:val="66D56C28"/>
    <w:rsid w:val="66D63895"/>
    <w:rsid w:val="66DD6476"/>
    <w:rsid w:val="66E57FE5"/>
    <w:rsid w:val="66EC2A85"/>
    <w:rsid w:val="66EE25CB"/>
    <w:rsid w:val="67085430"/>
    <w:rsid w:val="67087479"/>
    <w:rsid w:val="67304345"/>
    <w:rsid w:val="673B36E7"/>
    <w:rsid w:val="674C3C1A"/>
    <w:rsid w:val="674C5A50"/>
    <w:rsid w:val="674D3584"/>
    <w:rsid w:val="675E65BD"/>
    <w:rsid w:val="676C5428"/>
    <w:rsid w:val="676F75C0"/>
    <w:rsid w:val="677362C6"/>
    <w:rsid w:val="67753A70"/>
    <w:rsid w:val="67832471"/>
    <w:rsid w:val="67894AFF"/>
    <w:rsid w:val="678C7D28"/>
    <w:rsid w:val="67AE7396"/>
    <w:rsid w:val="67B5349A"/>
    <w:rsid w:val="67B56533"/>
    <w:rsid w:val="67D06394"/>
    <w:rsid w:val="67D64E79"/>
    <w:rsid w:val="67E34584"/>
    <w:rsid w:val="67F103FA"/>
    <w:rsid w:val="68010317"/>
    <w:rsid w:val="680E56B8"/>
    <w:rsid w:val="68137BB6"/>
    <w:rsid w:val="68174D1F"/>
    <w:rsid w:val="681958EE"/>
    <w:rsid w:val="681A454C"/>
    <w:rsid w:val="683E4A8F"/>
    <w:rsid w:val="68582FEF"/>
    <w:rsid w:val="68675E90"/>
    <w:rsid w:val="686B0184"/>
    <w:rsid w:val="68711157"/>
    <w:rsid w:val="68730CC3"/>
    <w:rsid w:val="689A4AC6"/>
    <w:rsid w:val="68AA448A"/>
    <w:rsid w:val="68BA7E98"/>
    <w:rsid w:val="68C02EFC"/>
    <w:rsid w:val="68D47BE4"/>
    <w:rsid w:val="68E64A7C"/>
    <w:rsid w:val="68E82296"/>
    <w:rsid w:val="68F00815"/>
    <w:rsid w:val="690C4D9F"/>
    <w:rsid w:val="691F573E"/>
    <w:rsid w:val="6924700F"/>
    <w:rsid w:val="69284F14"/>
    <w:rsid w:val="69346405"/>
    <w:rsid w:val="6934655C"/>
    <w:rsid w:val="69392205"/>
    <w:rsid w:val="693E7DF2"/>
    <w:rsid w:val="694462F6"/>
    <w:rsid w:val="694C6DF2"/>
    <w:rsid w:val="694D75C4"/>
    <w:rsid w:val="69566D4D"/>
    <w:rsid w:val="696266CE"/>
    <w:rsid w:val="6966124E"/>
    <w:rsid w:val="69696FE1"/>
    <w:rsid w:val="697213F7"/>
    <w:rsid w:val="69776934"/>
    <w:rsid w:val="697A3CF7"/>
    <w:rsid w:val="697B3EE0"/>
    <w:rsid w:val="697E705B"/>
    <w:rsid w:val="69926AE2"/>
    <w:rsid w:val="69AD4D00"/>
    <w:rsid w:val="69D5745B"/>
    <w:rsid w:val="69E5157B"/>
    <w:rsid w:val="69E94C8C"/>
    <w:rsid w:val="69F24997"/>
    <w:rsid w:val="69F56FD9"/>
    <w:rsid w:val="6A05443D"/>
    <w:rsid w:val="6A0B3027"/>
    <w:rsid w:val="6A1502AF"/>
    <w:rsid w:val="6A2270F2"/>
    <w:rsid w:val="6A2C3B02"/>
    <w:rsid w:val="6A3C3FCA"/>
    <w:rsid w:val="6A5B1A51"/>
    <w:rsid w:val="6A5F5164"/>
    <w:rsid w:val="6A681B57"/>
    <w:rsid w:val="6A683F3F"/>
    <w:rsid w:val="6A68653B"/>
    <w:rsid w:val="6A6F3AE4"/>
    <w:rsid w:val="6A81147C"/>
    <w:rsid w:val="6A8B4268"/>
    <w:rsid w:val="6A8D2CFB"/>
    <w:rsid w:val="6A924BE4"/>
    <w:rsid w:val="6A96506D"/>
    <w:rsid w:val="6A972625"/>
    <w:rsid w:val="6ABF0349"/>
    <w:rsid w:val="6ACF5428"/>
    <w:rsid w:val="6ADE7B8F"/>
    <w:rsid w:val="6AE20A84"/>
    <w:rsid w:val="6AE710C3"/>
    <w:rsid w:val="6AF726CA"/>
    <w:rsid w:val="6B0160CD"/>
    <w:rsid w:val="6B075388"/>
    <w:rsid w:val="6B13410E"/>
    <w:rsid w:val="6B1647F7"/>
    <w:rsid w:val="6B217C74"/>
    <w:rsid w:val="6B241964"/>
    <w:rsid w:val="6B2D5DD7"/>
    <w:rsid w:val="6B32014A"/>
    <w:rsid w:val="6B3A1026"/>
    <w:rsid w:val="6B402AB5"/>
    <w:rsid w:val="6B4710CA"/>
    <w:rsid w:val="6B4A597E"/>
    <w:rsid w:val="6B5E0FE9"/>
    <w:rsid w:val="6B6207F9"/>
    <w:rsid w:val="6B697C93"/>
    <w:rsid w:val="6B6A5561"/>
    <w:rsid w:val="6B6D5305"/>
    <w:rsid w:val="6B74337E"/>
    <w:rsid w:val="6B7474A9"/>
    <w:rsid w:val="6B7C2C04"/>
    <w:rsid w:val="6B7E69DA"/>
    <w:rsid w:val="6B8246EC"/>
    <w:rsid w:val="6B93113C"/>
    <w:rsid w:val="6B961860"/>
    <w:rsid w:val="6B9D6D64"/>
    <w:rsid w:val="6BA447A6"/>
    <w:rsid w:val="6BAB3C03"/>
    <w:rsid w:val="6BB23388"/>
    <w:rsid w:val="6BB462EE"/>
    <w:rsid w:val="6BCE3728"/>
    <w:rsid w:val="6BD75BD6"/>
    <w:rsid w:val="6BE94F0A"/>
    <w:rsid w:val="6BF26EBC"/>
    <w:rsid w:val="6C0D05AD"/>
    <w:rsid w:val="6C1E6166"/>
    <w:rsid w:val="6C2219C0"/>
    <w:rsid w:val="6C225900"/>
    <w:rsid w:val="6C2A30F7"/>
    <w:rsid w:val="6C4922D8"/>
    <w:rsid w:val="6C4A2EE0"/>
    <w:rsid w:val="6C4E16CF"/>
    <w:rsid w:val="6C5C79FF"/>
    <w:rsid w:val="6C611C2F"/>
    <w:rsid w:val="6C6C106F"/>
    <w:rsid w:val="6C6E40C3"/>
    <w:rsid w:val="6C79251E"/>
    <w:rsid w:val="6C7936FB"/>
    <w:rsid w:val="6C7C50CE"/>
    <w:rsid w:val="6C7D6DF5"/>
    <w:rsid w:val="6C7F75A2"/>
    <w:rsid w:val="6C804E9E"/>
    <w:rsid w:val="6C88227C"/>
    <w:rsid w:val="6C883009"/>
    <w:rsid w:val="6C977912"/>
    <w:rsid w:val="6CA262F1"/>
    <w:rsid w:val="6CA348A0"/>
    <w:rsid w:val="6CC01827"/>
    <w:rsid w:val="6CC706CE"/>
    <w:rsid w:val="6CD45494"/>
    <w:rsid w:val="6CDD6E29"/>
    <w:rsid w:val="6CE2151A"/>
    <w:rsid w:val="6CED497D"/>
    <w:rsid w:val="6CF26697"/>
    <w:rsid w:val="6CF5106B"/>
    <w:rsid w:val="6D027543"/>
    <w:rsid w:val="6D041551"/>
    <w:rsid w:val="6D240AC0"/>
    <w:rsid w:val="6D290CBA"/>
    <w:rsid w:val="6D355597"/>
    <w:rsid w:val="6D5B728D"/>
    <w:rsid w:val="6D5C5C12"/>
    <w:rsid w:val="6D60180B"/>
    <w:rsid w:val="6D643419"/>
    <w:rsid w:val="6D7762A4"/>
    <w:rsid w:val="6D7917A7"/>
    <w:rsid w:val="6D7F4F52"/>
    <w:rsid w:val="6DA0548A"/>
    <w:rsid w:val="6DA06BC6"/>
    <w:rsid w:val="6DAC49F3"/>
    <w:rsid w:val="6DB162F1"/>
    <w:rsid w:val="6DBB2EF2"/>
    <w:rsid w:val="6DBF3904"/>
    <w:rsid w:val="6DC27E6D"/>
    <w:rsid w:val="6DCB1D4D"/>
    <w:rsid w:val="6E077C73"/>
    <w:rsid w:val="6E0B0CFC"/>
    <w:rsid w:val="6E0F0E53"/>
    <w:rsid w:val="6E1D3DD9"/>
    <w:rsid w:val="6E1D63C4"/>
    <w:rsid w:val="6E1F292C"/>
    <w:rsid w:val="6E295C54"/>
    <w:rsid w:val="6E326546"/>
    <w:rsid w:val="6E394DBB"/>
    <w:rsid w:val="6E3A2F0A"/>
    <w:rsid w:val="6E3D5F27"/>
    <w:rsid w:val="6E427812"/>
    <w:rsid w:val="6E497D10"/>
    <w:rsid w:val="6E620240"/>
    <w:rsid w:val="6E844B16"/>
    <w:rsid w:val="6E85604E"/>
    <w:rsid w:val="6E8E17D1"/>
    <w:rsid w:val="6E9117C7"/>
    <w:rsid w:val="6E997798"/>
    <w:rsid w:val="6E9F131B"/>
    <w:rsid w:val="6EB34E9A"/>
    <w:rsid w:val="6EBE0453"/>
    <w:rsid w:val="6EC03C0C"/>
    <w:rsid w:val="6EC130B5"/>
    <w:rsid w:val="6EC13202"/>
    <w:rsid w:val="6EC26D9E"/>
    <w:rsid w:val="6ECA5AAA"/>
    <w:rsid w:val="6ECB1003"/>
    <w:rsid w:val="6ED9643D"/>
    <w:rsid w:val="6EF62B4C"/>
    <w:rsid w:val="6F02289B"/>
    <w:rsid w:val="6F24193B"/>
    <w:rsid w:val="6F2D7371"/>
    <w:rsid w:val="6F393835"/>
    <w:rsid w:val="6F3B18E6"/>
    <w:rsid w:val="6F413F12"/>
    <w:rsid w:val="6F5376BA"/>
    <w:rsid w:val="6F594A45"/>
    <w:rsid w:val="6F5A66AE"/>
    <w:rsid w:val="6F6774F9"/>
    <w:rsid w:val="6F7718EC"/>
    <w:rsid w:val="6F822EB5"/>
    <w:rsid w:val="6F9B4166"/>
    <w:rsid w:val="6F9D3710"/>
    <w:rsid w:val="6F9F4539"/>
    <w:rsid w:val="6FA51DD5"/>
    <w:rsid w:val="6FA8576B"/>
    <w:rsid w:val="6FB92B26"/>
    <w:rsid w:val="6FC30AAA"/>
    <w:rsid w:val="6FC36FD7"/>
    <w:rsid w:val="6FC65441"/>
    <w:rsid w:val="6FCE694E"/>
    <w:rsid w:val="6FDD4494"/>
    <w:rsid w:val="6FEC454B"/>
    <w:rsid w:val="6FF41934"/>
    <w:rsid w:val="70113271"/>
    <w:rsid w:val="70130BB2"/>
    <w:rsid w:val="701E2221"/>
    <w:rsid w:val="7020747E"/>
    <w:rsid w:val="70307A7C"/>
    <w:rsid w:val="70366081"/>
    <w:rsid w:val="703E689B"/>
    <w:rsid w:val="705B637D"/>
    <w:rsid w:val="706913B1"/>
    <w:rsid w:val="706A5F90"/>
    <w:rsid w:val="70982A76"/>
    <w:rsid w:val="70A77D25"/>
    <w:rsid w:val="70B36D32"/>
    <w:rsid w:val="70C52535"/>
    <w:rsid w:val="70D51528"/>
    <w:rsid w:val="70D862B6"/>
    <w:rsid w:val="70DD24EE"/>
    <w:rsid w:val="70E13826"/>
    <w:rsid w:val="70E56130"/>
    <w:rsid w:val="70F738D8"/>
    <w:rsid w:val="70F82AA1"/>
    <w:rsid w:val="71001D82"/>
    <w:rsid w:val="7102456B"/>
    <w:rsid w:val="71055A2D"/>
    <w:rsid w:val="710D3187"/>
    <w:rsid w:val="7117025D"/>
    <w:rsid w:val="711E65D1"/>
    <w:rsid w:val="71210379"/>
    <w:rsid w:val="712D6657"/>
    <w:rsid w:val="715853F5"/>
    <w:rsid w:val="715F0A23"/>
    <w:rsid w:val="71651692"/>
    <w:rsid w:val="716E18B6"/>
    <w:rsid w:val="717165C4"/>
    <w:rsid w:val="717958E4"/>
    <w:rsid w:val="717E6179"/>
    <w:rsid w:val="7181624D"/>
    <w:rsid w:val="7182276A"/>
    <w:rsid w:val="71837854"/>
    <w:rsid w:val="7186779C"/>
    <w:rsid w:val="71885773"/>
    <w:rsid w:val="718B32BE"/>
    <w:rsid w:val="719359F3"/>
    <w:rsid w:val="719828F2"/>
    <w:rsid w:val="719F451F"/>
    <w:rsid w:val="71AB3214"/>
    <w:rsid w:val="71AD587D"/>
    <w:rsid w:val="71B10775"/>
    <w:rsid w:val="71B57054"/>
    <w:rsid w:val="71B6082C"/>
    <w:rsid w:val="71B908CE"/>
    <w:rsid w:val="71C3629D"/>
    <w:rsid w:val="71C62F84"/>
    <w:rsid w:val="71D13904"/>
    <w:rsid w:val="71E43980"/>
    <w:rsid w:val="71EE0019"/>
    <w:rsid w:val="71EF43EA"/>
    <w:rsid w:val="72075AEB"/>
    <w:rsid w:val="72131E8C"/>
    <w:rsid w:val="72194D5E"/>
    <w:rsid w:val="721C0070"/>
    <w:rsid w:val="72246255"/>
    <w:rsid w:val="722B017F"/>
    <w:rsid w:val="722C61C6"/>
    <w:rsid w:val="722C7C74"/>
    <w:rsid w:val="72363149"/>
    <w:rsid w:val="72435F25"/>
    <w:rsid w:val="725A204E"/>
    <w:rsid w:val="725A6F01"/>
    <w:rsid w:val="725D4E4F"/>
    <w:rsid w:val="725E148A"/>
    <w:rsid w:val="7260725C"/>
    <w:rsid w:val="727115E9"/>
    <w:rsid w:val="72772DD9"/>
    <w:rsid w:val="727E42F2"/>
    <w:rsid w:val="72814811"/>
    <w:rsid w:val="72853285"/>
    <w:rsid w:val="72914086"/>
    <w:rsid w:val="729C180A"/>
    <w:rsid w:val="729D3D2B"/>
    <w:rsid w:val="72A15B96"/>
    <w:rsid w:val="72B330B7"/>
    <w:rsid w:val="72B87FD5"/>
    <w:rsid w:val="72B945C4"/>
    <w:rsid w:val="72BC0A96"/>
    <w:rsid w:val="72C729F3"/>
    <w:rsid w:val="72C856C7"/>
    <w:rsid w:val="72CE1404"/>
    <w:rsid w:val="72CE6D66"/>
    <w:rsid w:val="72CF21BD"/>
    <w:rsid w:val="72D43F6D"/>
    <w:rsid w:val="72D71286"/>
    <w:rsid w:val="72D97F18"/>
    <w:rsid w:val="72DF4564"/>
    <w:rsid w:val="72E8254A"/>
    <w:rsid w:val="72FD697E"/>
    <w:rsid w:val="730961C9"/>
    <w:rsid w:val="7310366D"/>
    <w:rsid w:val="73242B8B"/>
    <w:rsid w:val="734C197B"/>
    <w:rsid w:val="734D0939"/>
    <w:rsid w:val="734D296A"/>
    <w:rsid w:val="734F3031"/>
    <w:rsid w:val="73596162"/>
    <w:rsid w:val="735E3AB0"/>
    <w:rsid w:val="736A66AC"/>
    <w:rsid w:val="736C504B"/>
    <w:rsid w:val="7376661B"/>
    <w:rsid w:val="737B4A9E"/>
    <w:rsid w:val="737D5B6B"/>
    <w:rsid w:val="738A3569"/>
    <w:rsid w:val="739C60FC"/>
    <w:rsid w:val="73CA1EA4"/>
    <w:rsid w:val="73DB267F"/>
    <w:rsid w:val="73EF13CD"/>
    <w:rsid w:val="73F15309"/>
    <w:rsid w:val="73FC67A4"/>
    <w:rsid w:val="73FC724C"/>
    <w:rsid w:val="73FD332D"/>
    <w:rsid w:val="7400755C"/>
    <w:rsid w:val="74107D41"/>
    <w:rsid w:val="741E7733"/>
    <w:rsid w:val="74346EC3"/>
    <w:rsid w:val="744B4257"/>
    <w:rsid w:val="7457393F"/>
    <w:rsid w:val="745D0DC6"/>
    <w:rsid w:val="74607DDF"/>
    <w:rsid w:val="747E5E28"/>
    <w:rsid w:val="74901DE5"/>
    <w:rsid w:val="749F2474"/>
    <w:rsid w:val="74A35884"/>
    <w:rsid w:val="74B00A52"/>
    <w:rsid w:val="74BD59FD"/>
    <w:rsid w:val="74BF38AA"/>
    <w:rsid w:val="74C625FE"/>
    <w:rsid w:val="74C91DEE"/>
    <w:rsid w:val="74E47FE4"/>
    <w:rsid w:val="74EB74C8"/>
    <w:rsid w:val="74F74076"/>
    <w:rsid w:val="750451E1"/>
    <w:rsid w:val="750A4FEE"/>
    <w:rsid w:val="750E23AD"/>
    <w:rsid w:val="751F2679"/>
    <w:rsid w:val="752B7ECA"/>
    <w:rsid w:val="753148ED"/>
    <w:rsid w:val="75316497"/>
    <w:rsid w:val="7533696C"/>
    <w:rsid w:val="754059C2"/>
    <w:rsid w:val="754F3652"/>
    <w:rsid w:val="755237BC"/>
    <w:rsid w:val="75534C25"/>
    <w:rsid w:val="755B589F"/>
    <w:rsid w:val="756B6745"/>
    <w:rsid w:val="75781E1B"/>
    <w:rsid w:val="758C36B8"/>
    <w:rsid w:val="75985C5B"/>
    <w:rsid w:val="75992830"/>
    <w:rsid w:val="75A604D8"/>
    <w:rsid w:val="75A87D72"/>
    <w:rsid w:val="75DD0E3C"/>
    <w:rsid w:val="75DF31CC"/>
    <w:rsid w:val="75E95CFE"/>
    <w:rsid w:val="75EE699C"/>
    <w:rsid w:val="75F603A3"/>
    <w:rsid w:val="75F75042"/>
    <w:rsid w:val="75FC4430"/>
    <w:rsid w:val="76000483"/>
    <w:rsid w:val="76025CF4"/>
    <w:rsid w:val="76243C3A"/>
    <w:rsid w:val="762A5264"/>
    <w:rsid w:val="762B06DE"/>
    <w:rsid w:val="76397C50"/>
    <w:rsid w:val="763C292A"/>
    <w:rsid w:val="76440BE6"/>
    <w:rsid w:val="76462B45"/>
    <w:rsid w:val="7648727B"/>
    <w:rsid w:val="76507C8F"/>
    <w:rsid w:val="76616D2F"/>
    <w:rsid w:val="766A44FB"/>
    <w:rsid w:val="76903D31"/>
    <w:rsid w:val="769812D9"/>
    <w:rsid w:val="76A76F9E"/>
    <w:rsid w:val="76AC4B43"/>
    <w:rsid w:val="76B97750"/>
    <w:rsid w:val="76BB2E0F"/>
    <w:rsid w:val="76BC0229"/>
    <w:rsid w:val="76BC0757"/>
    <w:rsid w:val="76C278C4"/>
    <w:rsid w:val="76CE02F2"/>
    <w:rsid w:val="76D44983"/>
    <w:rsid w:val="76D63396"/>
    <w:rsid w:val="76E107F4"/>
    <w:rsid w:val="76E5380F"/>
    <w:rsid w:val="76E84E90"/>
    <w:rsid w:val="76F05085"/>
    <w:rsid w:val="76F21AD9"/>
    <w:rsid w:val="76FB7D9F"/>
    <w:rsid w:val="77043935"/>
    <w:rsid w:val="770909FD"/>
    <w:rsid w:val="770E3EBB"/>
    <w:rsid w:val="77106411"/>
    <w:rsid w:val="772248CD"/>
    <w:rsid w:val="77335224"/>
    <w:rsid w:val="77431E17"/>
    <w:rsid w:val="77500515"/>
    <w:rsid w:val="77631A17"/>
    <w:rsid w:val="7767543C"/>
    <w:rsid w:val="776817AA"/>
    <w:rsid w:val="7769132A"/>
    <w:rsid w:val="776B08BE"/>
    <w:rsid w:val="777E6B47"/>
    <w:rsid w:val="778F41AB"/>
    <w:rsid w:val="779A2573"/>
    <w:rsid w:val="77A52915"/>
    <w:rsid w:val="77A547BF"/>
    <w:rsid w:val="77AE108B"/>
    <w:rsid w:val="77AF3E9D"/>
    <w:rsid w:val="77B17495"/>
    <w:rsid w:val="77BB1C94"/>
    <w:rsid w:val="77BD782C"/>
    <w:rsid w:val="77D94712"/>
    <w:rsid w:val="77DA079E"/>
    <w:rsid w:val="77EA01D6"/>
    <w:rsid w:val="77EB0296"/>
    <w:rsid w:val="77EB4A23"/>
    <w:rsid w:val="77FC473F"/>
    <w:rsid w:val="780C21FA"/>
    <w:rsid w:val="78191BBF"/>
    <w:rsid w:val="781A359B"/>
    <w:rsid w:val="781C6B16"/>
    <w:rsid w:val="782A4B02"/>
    <w:rsid w:val="78374AA7"/>
    <w:rsid w:val="784D15DF"/>
    <w:rsid w:val="78570197"/>
    <w:rsid w:val="78641EBD"/>
    <w:rsid w:val="786C4032"/>
    <w:rsid w:val="78700F29"/>
    <w:rsid w:val="788E20CE"/>
    <w:rsid w:val="788E401D"/>
    <w:rsid w:val="789D7395"/>
    <w:rsid w:val="78A33FA5"/>
    <w:rsid w:val="78A832D2"/>
    <w:rsid w:val="78C303AD"/>
    <w:rsid w:val="78C40664"/>
    <w:rsid w:val="78C95986"/>
    <w:rsid w:val="78CF70DB"/>
    <w:rsid w:val="78D65382"/>
    <w:rsid w:val="78DD198C"/>
    <w:rsid w:val="78E116C2"/>
    <w:rsid w:val="78EA4024"/>
    <w:rsid w:val="78EF118B"/>
    <w:rsid w:val="78F01C6B"/>
    <w:rsid w:val="78F03378"/>
    <w:rsid w:val="78F34E4C"/>
    <w:rsid w:val="78F9436B"/>
    <w:rsid w:val="78FD2A21"/>
    <w:rsid w:val="79056021"/>
    <w:rsid w:val="79065715"/>
    <w:rsid w:val="790C7492"/>
    <w:rsid w:val="792A4D46"/>
    <w:rsid w:val="792B1F82"/>
    <w:rsid w:val="793007FA"/>
    <w:rsid w:val="793F6004"/>
    <w:rsid w:val="794379B0"/>
    <w:rsid w:val="79462871"/>
    <w:rsid w:val="794D5894"/>
    <w:rsid w:val="7959599F"/>
    <w:rsid w:val="796369D7"/>
    <w:rsid w:val="796B335C"/>
    <w:rsid w:val="7971003C"/>
    <w:rsid w:val="79865E21"/>
    <w:rsid w:val="798D339B"/>
    <w:rsid w:val="799D4078"/>
    <w:rsid w:val="79A402A5"/>
    <w:rsid w:val="79A4632F"/>
    <w:rsid w:val="79A47E5D"/>
    <w:rsid w:val="79B64C7C"/>
    <w:rsid w:val="79BB28BE"/>
    <w:rsid w:val="79BF43B0"/>
    <w:rsid w:val="79C5558B"/>
    <w:rsid w:val="79CA4F75"/>
    <w:rsid w:val="79CF1869"/>
    <w:rsid w:val="79D24C93"/>
    <w:rsid w:val="79DE5026"/>
    <w:rsid w:val="79E87E40"/>
    <w:rsid w:val="79F51AA8"/>
    <w:rsid w:val="79F72FA5"/>
    <w:rsid w:val="7A1B485C"/>
    <w:rsid w:val="7A206EE5"/>
    <w:rsid w:val="7A373CBE"/>
    <w:rsid w:val="7A385FFE"/>
    <w:rsid w:val="7A4E0B8D"/>
    <w:rsid w:val="7A5E6636"/>
    <w:rsid w:val="7A6535D9"/>
    <w:rsid w:val="7A68627A"/>
    <w:rsid w:val="7A715D2A"/>
    <w:rsid w:val="7A7F25EC"/>
    <w:rsid w:val="7A811E46"/>
    <w:rsid w:val="7AA135BB"/>
    <w:rsid w:val="7AA4100B"/>
    <w:rsid w:val="7AB46AE1"/>
    <w:rsid w:val="7ABB10AC"/>
    <w:rsid w:val="7ABB23B7"/>
    <w:rsid w:val="7AC4363B"/>
    <w:rsid w:val="7AC60004"/>
    <w:rsid w:val="7ADC19B5"/>
    <w:rsid w:val="7AEB3DC6"/>
    <w:rsid w:val="7B0772E4"/>
    <w:rsid w:val="7B2457EF"/>
    <w:rsid w:val="7B2B2127"/>
    <w:rsid w:val="7B2E3011"/>
    <w:rsid w:val="7B496943"/>
    <w:rsid w:val="7B4B5C36"/>
    <w:rsid w:val="7B523DA7"/>
    <w:rsid w:val="7B733DFB"/>
    <w:rsid w:val="7B7D2BDB"/>
    <w:rsid w:val="7BA80997"/>
    <w:rsid w:val="7BA94CA2"/>
    <w:rsid w:val="7BB9083B"/>
    <w:rsid w:val="7BB91DC7"/>
    <w:rsid w:val="7BCB7282"/>
    <w:rsid w:val="7BD56C4C"/>
    <w:rsid w:val="7BDB4426"/>
    <w:rsid w:val="7BEF6CB5"/>
    <w:rsid w:val="7BF15528"/>
    <w:rsid w:val="7BF30B68"/>
    <w:rsid w:val="7BF72B89"/>
    <w:rsid w:val="7C0174F3"/>
    <w:rsid w:val="7C1624EC"/>
    <w:rsid w:val="7C236E27"/>
    <w:rsid w:val="7C2C2B2B"/>
    <w:rsid w:val="7C3C3C63"/>
    <w:rsid w:val="7C3D4127"/>
    <w:rsid w:val="7C4644D2"/>
    <w:rsid w:val="7C560157"/>
    <w:rsid w:val="7C6D41B0"/>
    <w:rsid w:val="7C75064F"/>
    <w:rsid w:val="7C7A02AE"/>
    <w:rsid w:val="7C7A6338"/>
    <w:rsid w:val="7C963A17"/>
    <w:rsid w:val="7CA34DDD"/>
    <w:rsid w:val="7CA9728B"/>
    <w:rsid w:val="7CAA27CE"/>
    <w:rsid w:val="7CB95B11"/>
    <w:rsid w:val="7CBE0356"/>
    <w:rsid w:val="7CC42C6F"/>
    <w:rsid w:val="7CD60F5D"/>
    <w:rsid w:val="7CE058DA"/>
    <w:rsid w:val="7CE20066"/>
    <w:rsid w:val="7CE51BD2"/>
    <w:rsid w:val="7CE55A53"/>
    <w:rsid w:val="7CF303A5"/>
    <w:rsid w:val="7CFB1C5D"/>
    <w:rsid w:val="7D0846FA"/>
    <w:rsid w:val="7D135210"/>
    <w:rsid w:val="7D180139"/>
    <w:rsid w:val="7D1A3672"/>
    <w:rsid w:val="7D24583E"/>
    <w:rsid w:val="7D254269"/>
    <w:rsid w:val="7D2A7D8A"/>
    <w:rsid w:val="7D4126CA"/>
    <w:rsid w:val="7D4A622F"/>
    <w:rsid w:val="7D4B0440"/>
    <w:rsid w:val="7D56265D"/>
    <w:rsid w:val="7D562E44"/>
    <w:rsid w:val="7D5E2F83"/>
    <w:rsid w:val="7D6F0985"/>
    <w:rsid w:val="7D70020E"/>
    <w:rsid w:val="7D733AB9"/>
    <w:rsid w:val="7D7D56B8"/>
    <w:rsid w:val="7D8B0B8F"/>
    <w:rsid w:val="7DA106F9"/>
    <w:rsid w:val="7DB549F1"/>
    <w:rsid w:val="7DB55186"/>
    <w:rsid w:val="7DB93DF0"/>
    <w:rsid w:val="7DC564CD"/>
    <w:rsid w:val="7DE15D29"/>
    <w:rsid w:val="7DEB4CE2"/>
    <w:rsid w:val="7DED287C"/>
    <w:rsid w:val="7E046B4E"/>
    <w:rsid w:val="7E1C3534"/>
    <w:rsid w:val="7E256BB5"/>
    <w:rsid w:val="7E266395"/>
    <w:rsid w:val="7E2F61C7"/>
    <w:rsid w:val="7E34291D"/>
    <w:rsid w:val="7E382FCA"/>
    <w:rsid w:val="7E3E7833"/>
    <w:rsid w:val="7E4638A5"/>
    <w:rsid w:val="7E481F51"/>
    <w:rsid w:val="7E486AC0"/>
    <w:rsid w:val="7E681914"/>
    <w:rsid w:val="7E683BF1"/>
    <w:rsid w:val="7E6D6F94"/>
    <w:rsid w:val="7E886F64"/>
    <w:rsid w:val="7E995FC7"/>
    <w:rsid w:val="7E9A3DB2"/>
    <w:rsid w:val="7EA15325"/>
    <w:rsid w:val="7EA24A13"/>
    <w:rsid w:val="7EA44380"/>
    <w:rsid w:val="7EAF7E9F"/>
    <w:rsid w:val="7EB77F0A"/>
    <w:rsid w:val="7EEE362A"/>
    <w:rsid w:val="7EF03A3A"/>
    <w:rsid w:val="7EF77EDE"/>
    <w:rsid w:val="7F132727"/>
    <w:rsid w:val="7F1617DE"/>
    <w:rsid w:val="7F1F335D"/>
    <w:rsid w:val="7F212D09"/>
    <w:rsid w:val="7F215A7A"/>
    <w:rsid w:val="7F3F4AD1"/>
    <w:rsid w:val="7F3F53AC"/>
    <w:rsid w:val="7F467AB1"/>
    <w:rsid w:val="7F473232"/>
    <w:rsid w:val="7F553034"/>
    <w:rsid w:val="7F590B80"/>
    <w:rsid w:val="7F776087"/>
    <w:rsid w:val="7F830E0F"/>
    <w:rsid w:val="7F8B43E0"/>
    <w:rsid w:val="7F915593"/>
    <w:rsid w:val="7FAA2589"/>
    <w:rsid w:val="7FB26672"/>
    <w:rsid w:val="7FC16068"/>
    <w:rsid w:val="7FC7132A"/>
    <w:rsid w:val="7FCD0D71"/>
    <w:rsid w:val="7FCD52DC"/>
    <w:rsid w:val="7FD073E8"/>
    <w:rsid w:val="7FDF4EC1"/>
    <w:rsid w:val="7FE30B81"/>
    <w:rsid w:val="7FF66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outlineLvl w:val="0"/>
    </w:pPr>
    <w:rPr>
      <w:sz w:val="28"/>
      <w:szCs w:val="28"/>
    </w:rPr>
  </w:style>
  <w:style w:type="character" w:default="1" w:styleId="18">
    <w:name w:val="Default Paragraph Font"/>
    <w:autoRedefine/>
    <w:semiHidden/>
    <w:unhideWhenUsed/>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spacing w:line="660" w:lineRule="exact"/>
      <w:ind w:firstLine="720" w:firstLineChars="200"/>
    </w:pPr>
    <w:rPr>
      <w:rFonts w:eastAsia="楷体_GB2312"/>
      <w:sz w:val="36"/>
      <w:szCs w:val="36"/>
    </w:rPr>
  </w:style>
  <w:style w:type="paragraph" w:styleId="4">
    <w:name w:val="annotation text"/>
    <w:basedOn w:val="1"/>
    <w:link w:val="44"/>
    <w:autoRedefine/>
    <w:qFormat/>
    <w:uiPriority w:val="0"/>
    <w:pPr>
      <w:jc w:val="left"/>
    </w:pPr>
  </w:style>
  <w:style w:type="paragraph" w:styleId="5">
    <w:name w:val="Body Text"/>
    <w:basedOn w:val="1"/>
    <w:next w:val="1"/>
    <w:unhideWhenUsed/>
    <w:qFormat/>
    <w:uiPriority w:val="99"/>
    <w:pPr>
      <w:spacing w:after="120"/>
    </w:pPr>
  </w:style>
  <w:style w:type="paragraph" w:styleId="6">
    <w:name w:val="Body Text Indent"/>
    <w:basedOn w:val="1"/>
    <w:next w:val="7"/>
    <w:link w:val="37"/>
    <w:autoRedefine/>
    <w:qFormat/>
    <w:uiPriority w:val="0"/>
    <w:pPr>
      <w:spacing w:after="120"/>
      <w:ind w:left="420" w:leftChars="200"/>
    </w:pPr>
  </w:style>
  <w:style w:type="paragraph" w:styleId="7">
    <w:name w:val="footer"/>
    <w:basedOn w:val="1"/>
    <w:link w:val="33"/>
    <w:qFormat/>
    <w:uiPriority w:val="99"/>
    <w:pPr>
      <w:tabs>
        <w:tab w:val="center" w:pos="4153"/>
        <w:tab w:val="right" w:pos="8306"/>
      </w:tabs>
      <w:snapToGrid w:val="0"/>
      <w:jc w:val="left"/>
    </w:pPr>
    <w:rPr>
      <w:sz w:val="18"/>
      <w:szCs w:val="18"/>
    </w:rPr>
  </w:style>
  <w:style w:type="paragraph" w:styleId="8">
    <w:name w:val="Plain Text"/>
    <w:basedOn w:val="1"/>
    <w:link w:val="36"/>
    <w:qFormat/>
    <w:uiPriority w:val="0"/>
    <w:rPr>
      <w:rFonts w:ascii="宋体" w:hAnsi="Courier New"/>
    </w:rPr>
  </w:style>
  <w:style w:type="paragraph" w:styleId="9">
    <w:name w:val="Body Text Indent 2"/>
    <w:basedOn w:val="1"/>
    <w:link w:val="34"/>
    <w:autoRedefine/>
    <w:qFormat/>
    <w:uiPriority w:val="0"/>
    <w:pPr>
      <w:ind w:firstLine="600" w:firstLineChars="200"/>
    </w:pPr>
    <w:rPr>
      <w:rFonts w:ascii="楷体_GB2312" w:hAnsi="宋体" w:eastAsia="楷体_GB2312"/>
      <w:sz w:val="30"/>
    </w:rPr>
  </w:style>
  <w:style w:type="paragraph" w:styleId="10">
    <w:name w:val="Balloon Text"/>
    <w:basedOn w:val="1"/>
    <w:link w:val="41"/>
    <w:semiHidden/>
    <w:qFormat/>
    <w:uiPriority w:val="0"/>
    <w:rPr>
      <w:sz w:val="18"/>
      <w:szCs w:val="18"/>
    </w:rPr>
  </w:style>
  <w:style w:type="paragraph" w:styleId="11">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rPr>
      <w:rFonts w:cs="仿宋"/>
      <w:sz w:val="32"/>
      <w:szCs w:val="32"/>
    </w:rPr>
  </w:style>
  <w:style w:type="paragraph" w:styleId="13">
    <w:name w:val="HTML Preformatted"/>
    <w:basedOn w:val="1"/>
    <w:link w:val="40"/>
    <w:qFormat/>
    <w:uiPriority w:val="0"/>
    <w:rPr>
      <w:rFonts w:ascii="Courier New" w:hAnsi="Courier New"/>
      <w:sz w:val="20"/>
    </w:rPr>
  </w:style>
  <w:style w:type="paragraph" w:styleId="1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45"/>
    <w:qFormat/>
    <w:uiPriority w:val="0"/>
    <w:rPr>
      <w:b/>
      <w:bCs/>
    </w:rPr>
  </w:style>
  <w:style w:type="paragraph" w:styleId="16">
    <w:name w:val="Body Text First Indent"/>
    <w:basedOn w:val="5"/>
    <w:next w:val="1"/>
    <w:autoRedefine/>
    <w:unhideWhenUsed/>
    <w:qFormat/>
    <w:uiPriority w:val="99"/>
    <w:pPr>
      <w:ind w:firstLine="420" w:firstLineChars="100"/>
    </w:pPr>
  </w:style>
  <w:style w:type="character" w:styleId="19">
    <w:name w:val="Strong"/>
    <w:basedOn w:val="18"/>
    <w:qFormat/>
    <w:uiPriority w:val="0"/>
    <w:rPr>
      <w:b/>
    </w:rPr>
  </w:style>
  <w:style w:type="character" w:styleId="20">
    <w:name w:val="page number"/>
    <w:basedOn w:val="18"/>
    <w:autoRedefine/>
    <w:qFormat/>
    <w:uiPriority w:val="0"/>
  </w:style>
  <w:style w:type="character" w:styleId="21">
    <w:name w:val="FollowedHyperlink"/>
    <w:qFormat/>
    <w:uiPriority w:val="0"/>
    <w:rPr>
      <w:color w:val="800080"/>
      <w:u w:val="none"/>
    </w:rPr>
  </w:style>
  <w:style w:type="character" w:styleId="22">
    <w:name w:val="Hyperlink"/>
    <w:qFormat/>
    <w:uiPriority w:val="0"/>
    <w:rPr>
      <w:color w:val="0000FF"/>
      <w:u w:val="none"/>
    </w:rPr>
  </w:style>
  <w:style w:type="character" w:styleId="23">
    <w:name w:val="annotation reference"/>
    <w:basedOn w:val="18"/>
    <w:autoRedefine/>
    <w:qFormat/>
    <w:uiPriority w:val="0"/>
    <w:rPr>
      <w:sz w:val="21"/>
      <w:szCs w:val="21"/>
    </w:rPr>
  </w:style>
  <w:style w:type="paragraph" w:customStyle="1" w:styleId="24">
    <w:name w:val="Char1"/>
    <w:basedOn w:val="1"/>
    <w:autoRedefine/>
    <w:semiHidden/>
    <w:qFormat/>
    <w:uiPriority w:val="0"/>
  </w:style>
  <w:style w:type="paragraph" w:customStyle="1" w:styleId="25">
    <w:name w:val="p15"/>
    <w:basedOn w:val="1"/>
    <w:qFormat/>
    <w:uiPriority w:val="0"/>
    <w:pPr>
      <w:widowControl/>
      <w:spacing w:before="100" w:after="100"/>
      <w:jc w:val="left"/>
    </w:pPr>
    <w:rPr>
      <w:rFonts w:ascii="Calibri" w:hAnsi="Calibri" w:cs="Calibri"/>
      <w:kern w:val="0"/>
      <w:sz w:val="24"/>
    </w:rPr>
  </w:style>
  <w:style w:type="paragraph" w:customStyle="1" w:styleId="26">
    <w:name w:val="Char"/>
    <w:basedOn w:val="1"/>
    <w:autoRedefine/>
    <w:semiHidden/>
    <w:qFormat/>
    <w:uiPriority w:val="0"/>
  </w:style>
  <w:style w:type="paragraph" w:customStyle="1" w:styleId="27">
    <w:name w:val="p0"/>
    <w:basedOn w:val="1"/>
    <w:autoRedefine/>
    <w:qFormat/>
    <w:uiPriority w:val="0"/>
    <w:pPr>
      <w:widowControl/>
      <w:jc w:val="left"/>
    </w:pPr>
    <w:rPr>
      <w:kern w:val="0"/>
      <w:szCs w:val="21"/>
    </w:rPr>
  </w:style>
  <w:style w:type="paragraph" w:customStyle="1" w:styleId="28">
    <w:name w:val="Char2"/>
    <w:basedOn w:val="1"/>
    <w:autoRedefine/>
    <w:semiHidden/>
    <w:qFormat/>
    <w:uiPriority w:val="0"/>
    <w:rPr>
      <w:sz w:val="30"/>
      <w:szCs w:val="30"/>
    </w:rPr>
  </w:style>
  <w:style w:type="paragraph" w:customStyle="1" w:styleId="29">
    <w:name w:val="Char Char Char Char"/>
    <w:basedOn w:val="1"/>
    <w:qFormat/>
    <w:uiPriority w:val="0"/>
    <w:pPr>
      <w:widowControl/>
      <w:spacing w:after="160" w:line="240" w:lineRule="exact"/>
      <w:jc w:val="left"/>
    </w:pPr>
    <w:rPr>
      <w:szCs w:val="20"/>
    </w:rPr>
  </w:style>
  <w:style w:type="paragraph" w:customStyle="1" w:styleId="30">
    <w:name w:val="Char Char Char Char1 Char Char Char Char Char Char Char Char Char Char Char Char Char Char Char Char Char"/>
    <w:basedOn w:val="1"/>
    <w:autoRedefine/>
    <w:qFormat/>
    <w:uiPriority w:val="0"/>
    <w:pPr>
      <w:widowControl/>
      <w:spacing w:after="160" w:line="240" w:lineRule="exact"/>
      <w:ind w:firstLine="980" w:firstLineChars="350"/>
      <w:jc w:val="left"/>
    </w:pPr>
    <w:rPr>
      <w:rFonts w:ascii="Verdana" w:hAnsi="Verdana" w:eastAsia="仿宋_GB2312"/>
      <w:kern w:val="0"/>
      <w:sz w:val="28"/>
      <w:szCs w:val="28"/>
      <w:lang w:eastAsia="en-US"/>
    </w:rPr>
  </w:style>
  <w:style w:type="paragraph" w:customStyle="1" w:styleId="31">
    <w:name w:val="默认段落字体 Para Char"/>
    <w:basedOn w:val="1"/>
    <w:autoRedefine/>
    <w:qFormat/>
    <w:uiPriority w:val="0"/>
    <w:pPr>
      <w:adjustRightInd w:val="0"/>
      <w:spacing w:line="360" w:lineRule="auto"/>
    </w:pPr>
    <w:rPr>
      <w:kern w:val="0"/>
      <w:sz w:val="24"/>
      <w:szCs w:val="20"/>
    </w:rPr>
  </w:style>
  <w:style w:type="character" w:customStyle="1" w:styleId="32">
    <w:name w:val="style31"/>
    <w:qFormat/>
    <w:uiPriority w:val="0"/>
    <w:rPr>
      <w:sz w:val="21"/>
      <w:szCs w:val="21"/>
    </w:rPr>
  </w:style>
  <w:style w:type="character" w:customStyle="1" w:styleId="33">
    <w:name w:val="页脚 字符"/>
    <w:link w:val="7"/>
    <w:autoRedefine/>
    <w:qFormat/>
    <w:uiPriority w:val="99"/>
    <w:rPr>
      <w:kern w:val="2"/>
      <w:sz w:val="18"/>
      <w:szCs w:val="18"/>
    </w:rPr>
  </w:style>
  <w:style w:type="character" w:customStyle="1" w:styleId="34">
    <w:name w:val="正文文本缩进 2 字符"/>
    <w:link w:val="9"/>
    <w:autoRedefine/>
    <w:qFormat/>
    <w:uiPriority w:val="0"/>
    <w:rPr>
      <w:rFonts w:ascii="楷体_GB2312" w:hAnsi="宋体" w:eastAsia="楷体_GB2312"/>
      <w:kern w:val="2"/>
      <w:sz w:val="30"/>
      <w:szCs w:val="24"/>
    </w:rPr>
  </w:style>
  <w:style w:type="character" w:customStyle="1" w:styleId="35">
    <w:name w:val="页眉 字符"/>
    <w:link w:val="11"/>
    <w:autoRedefine/>
    <w:qFormat/>
    <w:uiPriority w:val="99"/>
    <w:rPr>
      <w:kern w:val="2"/>
      <w:sz w:val="18"/>
      <w:szCs w:val="18"/>
    </w:rPr>
  </w:style>
  <w:style w:type="character" w:customStyle="1" w:styleId="36">
    <w:name w:val="纯文本 字符"/>
    <w:link w:val="8"/>
    <w:qFormat/>
    <w:uiPriority w:val="0"/>
    <w:rPr>
      <w:rFonts w:ascii="宋体" w:hAnsi="Courier New"/>
      <w:kern w:val="2"/>
      <w:sz w:val="21"/>
      <w:szCs w:val="24"/>
    </w:rPr>
  </w:style>
  <w:style w:type="character" w:customStyle="1" w:styleId="37">
    <w:name w:val="正文文本缩进 字符"/>
    <w:link w:val="6"/>
    <w:autoRedefine/>
    <w:qFormat/>
    <w:uiPriority w:val="0"/>
    <w:rPr>
      <w:kern w:val="2"/>
      <w:sz w:val="21"/>
      <w:szCs w:val="24"/>
    </w:rPr>
  </w:style>
  <w:style w:type="character" w:customStyle="1" w:styleId="38">
    <w:name w:val="heiti1"/>
    <w:autoRedefine/>
    <w:qFormat/>
    <w:uiPriority w:val="0"/>
    <w:rPr>
      <w:rFonts w:ascii="黑体" w:eastAsia="黑体" w:cs="黑体"/>
      <w:b/>
      <w:sz w:val="21"/>
      <w:szCs w:val="21"/>
    </w:rPr>
  </w:style>
  <w:style w:type="character" w:customStyle="1" w:styleId="39">
    <w:name w:val="HTML 预设格式 Char1"/>
    <w:basedOn w:val="18"/>
    <w:qFormat/>
    <w:uiPriority w:val="0"/>
    <w:rPr>
      <w:rFonts w:ascii="Courier New" w:hAnsi="Courier New" w:cs="Courier New"/>
      <w:kern w:val="2"/>
    </w:rPr>
  </w:style>
  <w:style w:type="character" w:customStyle="1" w:styleId="40">
    <w:name w:val="HTML 预设格式 字符"/>
    <w:basedOn w:val="18"/>
    <w:link w:val="13"/>
    <w:autoRedefine/>
    <w:qFormat/>
    <w:uiPriority w:val="0"/>
    <w:rPr>
      <w:rFonts w:hint="eastAsia" w:ascii="宋体" w:hAnsi="宋体" w:eastAsia="宋体" w:cs="宋体"/>
      <w:sz w:val="24"/>
      <w:szCs w:val="24"/>
    </w:rPr>
  </w:style>
  <w:style w:type="character" w:customStyle="1" w:styleId="41">
    <w:name w:val="批注框文本 字符"/>
    <w:basedOn w:val="18"/>
    <w:link w:val="10"/>
    <w:qFormat/>
    <w:uiPriority w:val="0"/>
    <w:rPr>
      <w:kern w:val="2"/>
      <w:sz w:val="18"/>
      <w:szCs w:val="18"/>
    </w:rPr>
  </w:style>
  <w:style w:type="paragraph" w:customStyle="1" w:styleId="42">
    <w:name w:val="样式 样式 左侧:  2 字符 + 左侧:  0.85 厘米 首行缩进:  2 字符1"/>
    <w:basedOn w:val="1"/>
    <w:autoRedefine/>
    <w:qFormat/>
    <w:uiPriority w:val="0"/>
    <w:pPr>
      <w:ind w:left="482" w:firstLine="200" w:firstLineChars="200"/>
    </w:pPr>
    <w:rPr>
      <w:rFonts w:ascii="Calibri" w:hAnsi="Calibri" w:cs="宋体"/>
      <w:kern w:val="0"/>
      <w:szCs w:val="20"/>
    </w:rPr>
  </w:style>
  <w:style w:type="character" w:customStyle="1" w:styleId="43">
    <w:name w:val="fontstyle01"/>
    <w:basedOn w:val="18"/>
    <w:autoRedefine/>
    <w:qFormat/>
    <w:uiPriority w:val="0"/>
    <w:rPr>
      <w:rFonts w:ascii="FZHTK--GBK1-0" w:hAnsi="FZHTK--GBK1-0" w:eastAsia="FZHTK--GBK1-0" w:cs="FZHTK--GBK1-0"/>
      <w:color w:val="242021"/>
      <w:sz w:val="20"/>
      <w:szCs w:val="20"/>
    </w:rPr>
  </w:style>
  <w:style w:type="character" w:customStyle="1" w:styleId="44">
    <w:name w:val="批注文字 字符"/>
    <w:basedOn w:val="18"/>
    <w:link w:val="4"/>
    <w:qFormat/>
    <w:uiPriority w:val="0"/>
    <w:rPr>
      <w:kern w:val="2"/>
      <w:sz w:val="21"/>
      <w:szCs w:val="24"/>
    </w:rPr>
  </w:style>
  <w:style w:type="character" w:customStyle="1" w:styleId="45">
    <w:name w:val="批注主题 字符"/>
    <w:basedOn w:val="44"/>
    <w:link w:val="15"/>
    <w:qFormat/>
    <w:uiPriority w:val="0"/>
    <w:rPr>
      <w:b/>
      <w:bCs/>
      <w:kern w:val="2"/>
      <w:sz w:val="21"/>
      <w:szCs w:val="24"/>
    </w:rPr>
  </w:style>
  <w:style w:type="paragraph" w:customStyle="1" w:styleId="46">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7">
    <w:name w:val="NormalCharacter"/>
    <w:autoRedefine/>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0B123-7F03-4905-82E8-2B5049E4A671}">
  <ds:schemaRefs/>
</ds:datastoreItem>
</file>

<file path=docProps/app.xml><?xml version="1.0" encoding="utf-8"?>
<Properties xmlns="http://schemas.openxmlformats.org/officeDocument/2006/extended-properties" xmlns:vt="http://schemas.openxmlformats.org/officeDocument/2006/docPropsVTypes">
  <Template>Normal.dotm</Template>
  <Company>微软</Company>
  <Pages>18</Pages>
  <Words>9178</Words>
  <Characters>1396</Characters>
  <Lines>11</Lines>
  <Paragraphs>21</Paragraphs>
  <TotalTime>11</TotalTime>
  <ScaleCrop>false</ScaleCrop>
  <LinksUpToDate>false</LinksUpToDate>
  <CharactersWithSpaces>10553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2023-12-28T06:44:00Z</dcterms:created>
  <dc:creator>猪猪猫.CN</dc:creator>
  <cp:lastModifiedBy>年少梦几许</cp:lastModifiedBy>
  <cp:lastPrinted>2024-01-06T09:22:00Z</cp:lastPrinted>
  <dcterms:modified xsi:type="dcterms:W3CDTF">2024-02-21T07:05:07Z</dcterms:modified>
  <dc:title>关于兖州市2010年财政预算执行情况和</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C043BE14D7764DD4A37A5959D9EE39AC_13</vt:lpwstr>
  </property>
</Properties>
</file>