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星简大标宋" w:eastAsia="文星简大标宋"/>
          <w:color w:val="auto"/>
          <w:sz w:val="84"/>
          <w:szCs w:val="84"/>
          <w:highlight w:val="none"/>
        </w:rPr>
      </w:pPr>
    </w:p>
    <w:p>
      <w:pPr>
        <w:jc w:val="center"/>
        <w:rPr>
          <w:rFonts w:ascii="方正小标宋简体" w:eastAsia="方正小标宋简体"/>
          <w:color w:val="auto"/>
          <w:sz w:val="84"/>
          <w:szCs w:val="84"/>
          <w:highlight w:val="none"/>
        </w:rPr>
      </w:pPr>
      <w:r>
        <w:rPr>
          <w:rFonts w:hint="eastAsia" w:ascii="方正小标宋简体" w:eastAsia="方正小标宋简体"/>
          <w:color w:val="auto"/>
          <w:sz w:val="84"/>
          <w:szCs w:val="84"/>
          <w:highlight w:val="none"/>
        </w:rPr>
        <w:t>2018年度</w:t>
      </w:r>
    </w:p>
    <w:p>
      <w:pPr>
        <w:jc w:val="center"/>
        <w:rPr>
          <w:rFonts w:ascii="方正小标宋简体" w:eastAsia="方正小标宋简体"/>
          <w:color w:val="auto"/>
          <w:sz w:val="84"/>
          <w:szCs w:val="84"/>
          <w:highlight w:val="none"/>
        </w:rPr>
      </w:pPr>
      <w:r>
        <w:rPr>
          <w:rFonts w:hint="eastAsia" w:ascii="方正小标宋简体" w:eastAsia="方正小标宋简体"/>
          <w:color w:val="auto"/>
          <w:sz w:val="84"/>
          <w:szCs w:val="84"/>
          <w:highlight w:val="none"/>
        </w:rPr>
        <w:t>济宁市兖州区老龄工作委员会办公室</w:t>
      </w:r>
      <w:r>
        <w:rPr>
          <w:rFonts w:hint="eastAsia" w:ascii="方正小标宋简体" w:eastAsia="方正小标宋简体"/>
          <w:color w:val="auto"/>
          <w:sz w:val="84"/>
          <w:szCs w:val="84"/>
          <w:highlight w:val="none"/>
          <w:lang w:eastAsia="zh-CN"/>
        </w:rPr>
        <w:t>部门</w:t>
      </w:r>
      <w:r>
        <w:rPr>
          <w:rFonts w:hint="eastAsia" w:ascii="方正小标宋简体" w:eastAsia="方正小标宋简体"/>
          <w:color w:val="auto"/>
          <w:sz w:val="84"/>
          <w:szCs w:val="84"/>
          <w:highlight w:val="none"/>
        </w:rPr>
        <w:t>决算</w:t>
      </w:r>
    </w:p>
    <w:p>
      <w:pPr>
        <w:rPr>
          <w:rFonts w:ascii="方正小标宋简体" w:eastAsia="方正小标宋简体"/>
          <w:color w:val="auto"/>
          <w:sz w:val="52"/>
          <w:szCs w:val="52"/>
          <w:highlight w:val="none"/>
        </w:rPr>
      </w:pPr>
    </w:p>
    <w:p>
      <w:pPr>
        <w:rPr>
          <w:rFonts w:ascii="方正小标宋简体" w:eastAsia="方正小标宋简体"/>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580" w:lineRule="exact"/>
        <w:rPr>
          <w:color w:val="auto"/>
          <w:highlight w:val="none"/>
        </w:rPr>
      </w:pPr>
      <w:r>
        <w:rPr>
          <w:color w:val="auto"/>
          <w:highlight w:val="none"/>
        </w:rPr>
        <w:br w:type="page"/>
      </w:r>
    </w:p>
    <w:p>
      <w:pPr>
        <w:spacing w:line="580" w:lineRule="exact"/>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目  录</w:t>
      </w:r>
    </w:p>
    <w:p>
      <w:pPr>
        <w:spacing w:line="580" w:lineRule="exact"/>
        <w:jc w:val="center"/>
        <w:rPr>
          <w:rFonts w:ascii="仿宋_GB2312" w:eastAsia="仿宋_GB2312"/>
          <w:color w:val="auto"/>
          <w:sz w:val="44"/>
          <w:szCs w:val="44"/>
          <w:highlight w:val="none"/>
        </w:rPr>
      </w:pPr>
    </w:p>
    <w:p>
      <w:pPr>
        <w:spacing w:line="580" w:lineRule="exact"/>
        <w:ind w:firstLine="320" w:firstLineChars="1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第一部分  部门概况</w:t>
      </w:r>
    </w:p>
    <w:p>
      <w:pPr>
        <w:spacing w:line="580" w:lineRule="exact"/>
        <w:ind w:firstLine="320" w:firstLineChars="100"/>
        <w:rPr>
          <w:rFonts w:ascii="仿宋_GB2312" w:hAnsi="宋体" w:eastAsia="仿宋_GB2312"/>
          <w:color w:val="auto"/>
          <w:sz w:val="36"/>
          <w:szCs w:val="36"/>
          <w:highlight w:val="none"/>
        </w:rPr>
      </w:pPr>
      <w:r>
        <w:rPr>
          <w:rFonts w:hint="eastAsia" w:ascii="仿宋_GB2312" w:hAnsi="宋体" w:eastAsia="仿宋_GB2312"/>
          <w:color w:val="auto"/>
          <w:sz w:val="32"/>
          <w:szCs w:val="32"/>
          <w:highlight w:val="none"/>
        </w:rPr>
        <w:t>一、部门职责</w:t>
      </w:r>
    </w:p>
    <w:p>
      <w:pPr>
        <w:spacing w:line="580" w:lineRule="exact"/>
        <w:ind w:firstLine="320" w:firstLineChars="1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二、机构设置</w:t>
      </w:r>
    </w:p>
    <w:p>
      <w:pPr>
        <w:spacing w:line="580" w:lineRule="exact"/>
        <w:ind w:firstLine="320" w:firstLineChars="100"/>
        <w:rPr>
          <w:rFonts w:ascii="仿宋_GB2312" w:hAnsi="宋体" w:eastAsia="仿宋_GB2312"/>
          <w:color w:val="auto"/>
          <w:sz w:val="32"/>
          <w:szCs w:val="32"/>
          <w:highlight w:val="none"/>
        </w:rPr>
      </w:pPr>
    </w:p>
    <w:p>
      <w:pPr>
        <w:spacing w:line="580" w:lineRule="exact"/>
        <w:ind w:firstLine="320" w:firstLineChars="1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第二部分 2018年度部门决算表</w:t>
      </w:r>
    </w:p>
    <w:p>
      <w:pPr>
        <w:spacing w:line="580" w:lineRule="exact"/>
        <w:ind w:firstLine="320" w:firstLineChars="1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一、收入支出决算总表</w:t>
      </w:r>
    </w:p>
    <w:p>
      <w:pPr>
        <w:spacing w:line="580" w:lineRule="exact"/>
        <w:ind w:firstLine="320" w:firstLineChars="1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二、收入决算表</w:t>
      </w:r>
    </w:p>
    <w:p>
      <w:pPr>
        <w:spacing w:line="580" w:lineRule="exact"/>
        <w:ind w:firstLine="320" w:firstLineChars="1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三、支出决算表</w:t>
      </w:r>
    </w:p>
    <w:p>
      <w:pPr>
        <w:spacing w:line="580" w:lineRule="exact"/>
        <w:ind w:firstLine="320" w:firstLineChars="1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四、财政拨款收入支出决算总表</w:t>
      </w:r>
    </w:p>
    <w:p>
      <w:pPr>
        <w:spacing w:line="580" w:lineRule="exact"/>
        <w:ind w:firstLine="320" w:firstLineChars="1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五、一般公共预算财政拨款支出决算表</w:t>
      </w:r>
    </w:p>
    <w:p>
      <w:pPr>
        <w:spacing w:line="580" w:lineRule="exact"/>
        <w:ind w:firstLine="320" w:firstLineChars="1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六、一般公共预算财政拨款基本支出决算表</w:t>
      </w:r>
    </w:p>
    <w:p>
      <w:pPr>
        <w:spacing w:line="580" w:lineRule="exact"/>
        <w:ind w:firstLine="320" w:firstLineChars="1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七、政府性基金预算财政拨款收入支出决算表</w:t>
      </w:r>
    </w:p>
    <w:p>
      <w:pPr>
        <w:spacing w:line="580" w:lineRule="exact"/>
        <w:ind w:firstLine="320" w:firstLineChars="1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八、一般公共预算财政拨款“三公”经费支出决算表</w:t>
      </w:r>
    </w:p>
    <w:p>
      <w:pPr>
        <w:spacing w:line="580" w:lineRule="exact"/>
        <w:ind w:firstLine="320" w:firstLineChars="100"/>
        <w:rPr>
          <w:rFonts w:ascii="仿宋_GB2312" w:hAnsi="宋体" w:eastAsia="仿宋_GB2312"/>
          <w:color w:val="auto"/>
          <w:sz w:val="32"/>
          <w:szCs w:val="32"/>
          <w:highlight w:val="none"/>
        </w:rPr>
      </w:pPr>
    </w:p>
    <w:p>
      <w:pPr>
        <w:spacing w:line="580" w:lineRule="exact"/>
        <w:ind w:firstLine="320" w:firstLineChars="1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第三部分 2018年度部门决算情况和重要事项说明</w:t>
      </w:r>
    </w:p>
    <w:p>
      <w:pPr>
        <w:spacing w:line="580" w:lineRule="exact"/>
        <w:ind w:firstLine="320" w:firstLineChars="1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一、2018年度部门决算情况说明</w:t>
      </w:r>
    </w:p>
    <w:p>
      <w:pPr>
        <w:spacing w:line="580" w:lineRule="exact"/>
        <w:ind w:firstLine="320" w:firstLineChars="1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二、重要事项说明</w:t>
      </w:r>
    </w:p>
    <w:p>
      <w:pPr>
        <w:spacing w:line="580" w:lineRule="exact"/>
        <w:ind w:firstLine="320" w:firstLineChars="100"/>
        <w:rPr>
          <w:rFonts w:ascii="仿宋_GB2312" w:hAnsi="宋体" w:eastAsia="仿宋_GB2312"/>
          <w:color w:val="auto"/>
          <w:sz w:val="32"/>
          <w:szCs w:val="32"/>
          <w:highlight w:val="none"/>
        </w:rPr>
      </w:pPr>
    </w:p>
    <w:p>
      <w:pPr>
        <w:spacing w:line="580" w:lineRule="exact"/>
        <w:ind w:firstLine="320" w:firstLineChars="100"/>
        <w:jc w:val="center"/>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第四部分 名词解释</w:t>
      </w:r>
    </w:p>
    <w:p>
      <w:pPr>
        <w:spacing w:line="580" w:lineRule="exact"/>
        <w:ind w:left="1424" w:hanging="1424" w:hangingChars="445"/>
        <w:rPr>
          <w:rFonts w:ascii="黑体" w:eastAsia="黑体"/>
          <w:color w:val="auto"/>
          <w:sz w:val="32"/>
          <w:szCs w:val="32"/>
          <w:highlight w:val="none"/>
        </w:rPr>
      </w:pPr>
    </w:p>
    <w:p>
      <w:pPr>
        <w:spacing w:line="580" w:lineRule="exact"/>
        <w:ind w:left="1602" w:hanging="1602" w:hangingChars="445"/>
        <w:rPr>
          <w:rFonts w:ascii="黑体" w:eastAsia="黑体"/>
          <w:color w:val="auto"/>
          <w:sz w:val="36"/>
          <w:szCs w:val="36"/>
          <w:highlight w:val="none"/>
        </w:rPr>
      </w:pPr>
    </w:p>
    <w:p>
      <w:pPr>
        <w:ind w:left="1609" w:leftChars="766"/>
        <w:rPr>
          <w:rFonts w:ascii="黑体" w:eastAsia="黑体"/>
          <w:color w:val="auto"/>
          <w:sz w:val="36"/>
          <w:szCs w:val="36"/>
          <w:highlight w:val="none"/>
        </w:rPr>
      </w:pPr>
    </w:p>
    <w:p>
      <w:pPr>
        <w:rPr>
          <w:rFonts w:ascii="黑体" w:eastAsia="黑体"/>
          <w:b/>
          <w:color w:val="auto"/>
          <w:sz w:val="36"/>
          <w:szCs w:val="36"/>
          <w:highlight w:val="none"/>
        </w:rPr>
      </w:pPr>
    </w:p>
    <w:p>
      <w:pPr>
        <w:rPr>
          <w:rFonts w:ascii="黑体" w:eastAsia="黑体"/>
          <w:b/>
          <w:color w:val="auto"/>
          <w:sz w:val="36"/>
          <w:szCs w:val="36"/>
          <w:highlight w:val="none"/>
        </w:rPr>
      </w:pPr>
    </w:p>
    <w:p>
      <w:pP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 xml:space="preserve">第一部分 </w:t>
      </w:r>
    </w:p>
    <w:p>
      <w:pPr>
        <w:ind w:firstLine="1040" w:firstLineChars="200"/>
        <w:rPr>
          <w:rFonts w:ascii="方正小标宋简体" w:eastAsia="方正小标宋简体"/>
          <w:color w:val="auto"/>
          <w:sz w:val="52"/>
          <w:szCs w:val="52"/>
          <w:highlight w:val="none"/>
        </w:rPr>
      </w:pPr>
    </w:p>
    <w:p>
      <w:pPr>
        <w:ind w:firstLine="1040" w:firstLineChars="200"/>
        <w:rPr>
          <w:rFonts w:ascii="方正小标宋简体" w:eastAsia="方正小标宋简体"/>
          <w:color w:val="auto"/>
          <w:sz w:val="52"/>
          <w:szCs w:val="52"/>
          <w:highlight w:val="none"/>
        </w:rPr>
      </w:pPr>
    </w:p>
    <w:p>
      <w:pPr>
        <w:ind w:firstLine="1040" w:firstLineChars="200"/>
        <w:rPr>
          <w:rFonts w:ascii="方正小标宋简体" w:eastAsia="方正小标宋简体"/>
          <w:color w:val="auto"/>
          <w:sz w:val="52"/>
          <w:szCs w:val="52"/>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部门概况</w:t>
      </w:r>
    </w:p>
    <w:p>
      <w:pPr>
        <w:rPr>
          <w:rFonts w:ascii="方正小标宋简体" w:eastAsia="方正小标宋简体"/>
          <w:b/>
          <w:color w:val="auto"/>
          <w:sz w:val="36"/>
          <w:szCs w:val="36"/>
          <w:highlight w:val="none"/>
        </w:rPr>
      </w:pPr>
    </w:p>
    <w:p>
      <w:pPr>
        <w:rPr>
          <w:rFonts w:ascii="方正小标宋简体" w:eastAsia="方正小标宋简体"/>
          <w:b/>
          <w:color w:val="auto"/>
          <w:sz w:val="36"/>
          <w:szCs w:val="36"/>
          <w:highlight w:val="none"/>
        </w:rPr>
      </w:pPr>
    </w:p>
    <w:p>
      <w:pPr>
        <w:rPr>
          <w:rFonts w:ascii="黑体" w:eastAsia="黑体"/>
          <w:b/>
          <w:color w:val="auto"/>
          <w:sz w:val="36"/>
          <w:szCs w:val="36"/>
          <w:highlight w:val="none"/>
        </w:rPr>
      </w:pPr>
    </w:p>
    <w:p>
      <w:pPr>
        <w:rPr>
          <w:rFonts w:ascii="黑体" w:eastAsia="黑体"/>
          <w:b/>
          <w:color w:val="auto"/>
          <w:sz w:val="36"/>
          <w:szCs w:val="36"/>
          <w:highlight w:val="none"/>
        </w:rPr>
      </w:pPr>
    </w:p>
    <w:p>
      <w:pPr>
        <w:rPr>
          <w:rFonts w:ascii="黑体" w:eastAsia="黑体"/>
          <w:b/>
          <w:color w:val="auto"/>
          <w:sz w:val="36"/>
          <w:szCs w:val="36"/>
          <w:highlight w:val="none"/>
        </w:rPr>
      </w:pPr>
    </w:p>
    <w:p>
      <w:pPr>
        <w:rPr>
          <w:rFonts w:ascii="黑体" w:eastAsia="黑体"/>
          <w:b/>
          <w:color w:val="auto"/>
          <w:sz w:val="36"/>
          <w:szCs w:val="36"/>
          <w:highlight w:val="none"/>
        </w:rPr>
      </w:pPr>
    </w:p>
    <w:p>
      <w:pPr>
        <w:rPr>
          <w:rFonts w:ascii="黑体" w:eastAsia="黑体"/>
          <w:b/>
          <w:color w:val="auto"/>
          <w:sz w:val="36"/>
          <w:szCs w:val="36"/>
          <w:highlight w:val="none"/>
        </w:rPr>
      </w:pPr>
    </w:p>
    <w:p>
      <w:pPr>
        <w:rPr>
          <w:rFonts w:ascii="黑体" w:eastAsia="黑体"/>
          <w:b/>
          <w:color w:val="auto"/>
          <w:sz w:val="36"/>
          <w:szCs w:val="36"/>
          <w:highlight w:val="none"/>
        </w:rPr>
      </w:pPr>
    </w:p>
    <w:p>
      <w:pPr>
        <w:rPr>
          <w:rFonts w:ascii="黑体" w:eastAsia="黑体"/>
          <w:b/>
          <w:color w:val="auto"/>
          <w:sz w:val="36"/>
          <w:szCs w:val="36"/>
          <w:highlight w:val="none"/>
        </w:rPr>
      </w:pPr>
    </w:p>
    <w:p>
      <w:pPr>
        <w:rPr>
          <w:rFonts w:ascii="黑体" w:eastAsia="黑体"/>
          <w:b/>
          <w:color w:val="auto"/>
          <w:sz w:val="36"/>
          <w:szCs w:val="36"/>
          <w:highlight w:val="none"/>
        </w:rPr>
      </w:pPr>
    </w:p>
    <w:p>
      <w:pPr>
        <w:rPr>
          <w:rFonts w:ascii="黑体" w:eastAsia="黑体"/>
          <w:b/>
          <w:color w:val="auto"/>
          <w:sz w:val="36"/>
          <w:szCs w:val="36"/>
          <w:highlight w:val="none"/>
        </w:rPr>
      </w:pPr>
    </w:p>
    <w:p>
      <w:pPr>
        <w:rPr>
          <w:rFonts w:ascii="黑体" w:eastAsia="黑体"/>
          <w:b/>
          <w:color w:val="auto"/>
          <w:sz w:val="36"/>
          <w:szCs w:val="36"/>
          <w:highlight w:val="none"/>
        </w:rPr>
      </w:pPr>
    </w:p>
    <w:p>
      <w:pPr>
        <w:numPr>
          <w:ilvl w:val="0"/>
          <w:numId w:val="1"/>
        </w:numPr>
        <w:spacing w:line="580" w:lineRule="exact"/>
        <w:rPr>
          <w:rFonts w:ascii="黑体" w:eastAsia="黑体"/>
          <w:color w:val="auto"/>
          <w:sz w:val="32"/>
          <w:szCs w:val="32"/>
          <w:highlight w:val="none"/>
        </w:rPr>
      </w:pPr>
      <w:r>
        <w:rPr>
          <w:rFonts w:hint="eastAsia" w:ascii="黑体" w:eastAsia="黑体"/>
          <w:color w:val="auto"/>
          <w:sz w:val="32"/>
          <w:szCs w:val="32"/>
          <w:highlight w:val="none"/>
        </w:rPr>
        <w:t>部门职责</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（一）宣传党和政府有关老龄问题的方针、政策以及做好老龄工作的重要意义。</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（二）对全区老龄事业发展规划和老龄工作中的问题进行调查研究，提出建议。</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（三）协助有关部门做好老年人权益保障工作，维护老年人合法权益。</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（四）开展与老龄问题有关的信息交流、咨询服务等社会活动，为两个文明建设服务。</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（五）承办区委、区政府交办的其他事项和老龄委员会的日常工作。</w:t>
      </w:r>
    </w:p>
    <w:p>
      <w:pPr>
        <w:numPr>
          <w:ilvl w:val="0"/>
          <w:numId w:val="1"/>
        </w:numPr>
        <w:spacing w:line="580" w:lineRule="exact"/>
        <w:rPr>
          <w:rFonts w:ascii="黑体" w:eastAsia="黑体"/>
          <w:color w:val="auto"/>
          <w:sz w:val="32"/>
          <w:szCs w:val="32"/>
          <w:highlight w:val="none"/>
        </w:rPr>
      </w:pPr>
      <w:r>
        <w:rPr>
          <w:rFonts w:hint="eastAsia" w:ascii="黑体" w:eastAsia="黑体"/>
          <w:color w:val="auto"/>
          <w:sz w:val="32"/>
          <w:szCs w:val="32"/>
          <w:highlight w:val="none"/>
        </w:rPr>
        <w:t>机构设置</w:t>
      </w:r>
    </w:p>
    <w:p>
      <w:pPr>
        <w:spacing w:line="580" w:lineRule="exact"/>
        <w:rPr>
          <w:rFonts w:ascii="仿宋_GB2312" w:hAnsi="宋体" w:eastAsia="仿宋_GB2312" w:cs="Courier New"/>
          <w:color w:val="auto"/>
          <w:sz w:val="32"/>
          <w:szCs w:val="32"/>
          <w:highlight w:val="none"/>
        </w:rPr>
      </w:pPr>
      <w:r>
        <w:rPr>
          <w:rFonts w:hint="eastAsia" w:ascii="仿宋_GB2312" w:hAnsi="宋体" w:eastAsia="仿宋_GB2312" w:cs="Courier New"/>
          <w:color w:val="auto"/>
          <w:sz w:val="32"/>
          <w:szCs w:val="32"/>
          <w:highlight w:val="none"/>
        </w:rPr>
        <w:t xml:space="preserve">   从决算单位构成看，济宁市兖州区老龄工作委员会办公室部门决算包括：本级决算。</w:t>
      </w:r>
    </w:p>
    <w:p>
      <w:pPr>
        <w:spacing w:line="580" w:lineRule="exact"/>
        <w:ind w:firstLine="480" w:firstLineChars="150"/>
        <w:rPr>
          <w:rFonts w:ascii="仿宋_GB2312" w:hAnsi="宋体" w:eastAsia="仿宋_GB2312" w:cs="Courier New"/>
          <w:color w:val="auto"/>
          <w:sz w:val="32"/>
          <w:szCs w:val="32"/>
          <w:highlight w:val="none"/>
        </w:rPr>
      </w:pPr>
      <w:r>
        <w:rPr>
          <w:rFonts w:hint="eastAsia" w:ascii="仿宋_GB2312" w:hAnsi="宋体" w:eastAsia="仿宋_GB2312" w:cs="Courier New"/>
          <w:color w:val="auto"/>
          <w:sz w:val="32"/>
          <w:szCs w:val="32"/>
          <w:highlight w:val="none"/>
        </w:rPr>
        <w:t>纳入济宁市兖州区老龄工作委员会办公室2018年度部门决算编制范围的预算单位</w:t>
      </w:r>
      <w:r>
        <w:rPr>
          <w:rFonts w:hint="eastAsia" w:ascii="仿宋_GB2312" w:hAnsi="宋体" w:eastAsia="仿宋_GB2312" w:cs="Courier New"/>
          <w:color w:val="auto"/>
          <w:sz w:val="32"/>
          <w:szCs w:val="32"/>
          <w:highlight w:val="none"/>
          <w:lang w:val="en-US" w:eastAsia="zh-CN"/>
        </w:rPr>
        <w:t>1</w:t>
      </w:r>
      <w:r>
        <w:rPr>
          <w:rFonts w:hint="eastAsia" w:ascii="仿宋_GB2312" w:hAnsi="宋体" w:eastAsia="仿宋_GB2312" w:cs="Courier New"/>
          <w:color w:val="auto"/>
          <w:sz w:val="32"/>
          <w:szCs w:val="32"/>
          <w:highlight w:val="none"/>
        </w:rPr>
        <w:t>个，包括：</w:t>
      </w:r>
    </w:p>
    <w:p>
      <w:pPr>
        <w:spacing w:line="580" w:lineRule="exact"/>
        <w:ind w:firstLine="640" w:firstLineChars="200"/>
        <w:rPr>
          <w:rFonts w:ascii="仿宋_GB2312" w:hAnsi="宋体" w:eastAsia="仿宋_GB2312" w:cs="Courier New"/>
          <w:color w:val="auto"/>
          <w:sz w:val="32"/>
          <w:szCs w:val="32"/>
          <w:highlight w:val="none"/>
        </w:rPr>
      </w:pPr>
      <w:r>
        <w:rPr>
          <w:rFonts w:hint="eastAsia" w:ascii="仿宋_GB2312" w:hAnsi="宋体" w:eastAsia="仿宋_GB2312" w:cs="Courier New"/>
          <w:color w:val="auto"/>
          <w:sz w:val="32"/>
          <w:szCs w:val="32"/>
          <w:highlight w:val="none"/>
        </w:rPr>
        <w:t>1、济宁市兖州区老龄工作委员会办公室本级</w:t>
      </w:r>
    </w:p>
    <w:p>
      <w:pPr>
        <w:rPr>
          <w:rFonts w:hint="eastAsia" w:ascii="方正小标宋简体" w:eastAsia="方正小标宋简体"/>
          <w:color w:val="auto"/>
          <w:sz w:val="52"/>
          <w:szCs w:val="52"/>
          <w:highlight w:val="none"/>
        </w:rPr>
      </w:pPr>
    </w:p>
    <w:p>
      <w:pPr>
        <w:rPr>
          <w:rFonts w:hint="eastAsia" w:ascii="方正小标宋简体" w:eastAsia="方正小标宋简体"/>
          <w:color w:val="auto"/>
          <w:sz w:val="52"/>
          <w:szCs w:val="52"/>
          <w:highlight w:val="none"/>
        </w:rPr>
      </w:pPr>
    </w:p>
    <w:p>
      <w:pPr>
        <w:rPr>
          <w:rFonts w:hint="eastAsia" w:ascii="方正小标宋简体" w:eastAsia="方正小标宋简体"/>
          <w:color w:val="auto"/>
          <w:sz w:val="52"/>
          <w:szCs w:val="52"/>
          <w:highlight w:val="none"/>
        </w:rPr>
      </w:pPr>
    </w:p>
    <w:p>
      <w:pPr>
        <w:rPr>
          <w:rFonts w:hint="eastAsia" w:ascii="方正小标宋简体" w:eastAsia="方正小标宋简体"/>
          <w:color w:val="auto"/>
          <w:sz w:val="52"/>
          <w:szCs w:val="52"/>
          <w:highlight w:val="none"/>
        </w:rPr>
      </w:pPr>
    </w:p>
    <w:p>
      <w:pPr>
        <w:rPr>
          <w:rFonts w:hint="eastAsia" w:ascii="方正小标宋简体" w:eastAsia="方正小标宋简体"/>
          <w:color w:val="auto"/>
          <w:sz w:val="52"/>
          <w:szCs w:val="52"/>
          <w:highlight w:val="none"/>
        </w:rPr>
      </w:pPr>
    </w:p>
    <w:p>
      <w:pPr>
        <w:rPr>
          <w:rFonts w:hint="eastAsia" w:ascii="方正小标宋简体" w:eastAsia="方正小标宋简体"/>
          <w:color w:val="auto"/>
          <w:sz w:val="52"/>
          <w:szCs w:val="52"/>
          <w:highlight w:val="none"/>
        </w:rPr>
      </w:pPr>
    </w:p>
    <w:p>
      <w:pP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第二部分</w:t>
      </w:r>
    </w:p>
    <w:p>
      <w:pPr>
        <w:rPr>
          <w:rFonts w:ascii="方正小标宋简体" w:eastAsia="方正小标宋简体"/>
          <w:color w:val="auto"/>
          <w:sz w:val="52"/>
          <w:szCs w:val="52"/>
          <w:highlight w:val="none"/>
        </w:rPr>
      </w:pPr>
    </w:p>
    <w:p>
      <w:pPr>
        <w:rPr>
          <w:rFonts w:ascii="方正小标宋简体" w:eastAsia="方正小标宋简体"/>
          <w:color w:val="auto"/>
          <w:sz w:val="52"/>
          <w:szCs w:val="52"/>
          <w:highlight w:val="none"/>
        </w:rPr>
      </w:pPr>
    </w:p>
    <w:p>
      <w:pPr>
        <w:rPr>
          <w:rFonts w:ascii="方正小标宋简体" w:eastAsia="方正小标宋简体"/>
          <w:color w:val="auto"/>
          <w:sz w:val="52"/>
          <w:szCs w:val="52"/>
          <w:highlight w:val="none"/>
        </w:rPr>
      </w:pPr>
    </w:p>
    <w:p>
      <w:pPr>
        <w:ind w:left="1041" w:leftChars="372" w:hanging="260" w:hangingChars="50"/>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2018年度部门决算表</w:t>
      </w:r>
    </w:p>
    <w:p>
      <w:pPr>
        <w:ind w:left="1041" w:leftChars="372" w:hanging="260" w:hangingChars="50"/>
        <w:jc w:val="center"/>
        <w:rPr>
          <w:rFonts w:hint="eastAsia" w:ascii="方正小标宋简体" w:eastAsia="方正小标宋简体"/>
          <w:color w:val="auto"/>
          <w:sz w:val="52"/>
          <w:szCs w:val="52"/>
          <w:highlight w:val="none"/>
        </w:rPr>
      </w:pPr>
    </w:p>
    <w:p>
      <w:pPr>
        <w:numPr>
          <w:ilvl w:val="0"/>
          <w:numId w:val="2"/>
        </w:numPr>
        <w:spacing w:line="580" w:lineRule="exact"/>
        <w:rPr>
          <w:rFonts w:hint="eastAsia" w:ascii="仿宋_GB2312" w:hAnsi="宋体" w:eastAsia="仿宋_GB2312" w:cs="Courier New"/>
          <w:color w:val="auto"/>
          <w:sz w:val="32"/>
          <w:szCs w:val="32"/>
          <w:highlight w:val="none"/>
        </w:rPr>
      </w:pPr>
      <w:r>
        <w:rPr>
          <w:rFonts w:hint="eastAsia" w:ascii="仿宋_GB2312" w:hAnsi="宋体" w:eastAsia="仿宋_GB2312" w:cs="Courier New"/>
          <w:color w:val="auto"/>
          <w:sz w:val="32"/>
          <w:szCs w:val="32"/>
          <w:highlight w:val="none"/>
        </w:rPr>
        <w:t>《收入支出决算总表》</w:t>
      </w:r>
    </w:p>
    <w:p>
      <w:pPr>
        <w:numPr>
          <w:ilvl w:val="0"/>
          <w:numId w:val="0"/>
        </w:numPr>
        <w:spacing w:line="580" w:lineRule="exact"/>
        <w:rPr>
          <w:rFonts w:hint="eastAsia" w:ascii="仿宋_GB2312" w:hAnsi="宋体" w:eastAsia="仿宋_GB2312" w:cs="Courier New"/>
          <w:color w:val="auto"/>
          <w:sz w:val="32"/>
          <w:szCs w:val="32"/>
          <w:highlight w:val="none"/>
        </w:rPr>
      </w:pPr>
      <w:r>
        <w:rPr>
          <w:rFonts w:hint="eastAsia" w:ascii="仿宋_GB2312" w:hAnsi="宋体" w:eastAsia="仿宋_GB2312" w:cs="Courier New"/>
          <w:color w:val="auto"/>
          <w:sz w:val="32"/>
          <w:szCs w:val="32"/>
          <w:highlight w:val="none"/>
        </w:rPr>
        <w:t>2.《收入决算表》</w:t>
      </w:r>
    </w:p>
    <w:p>
      <w:pPr>
        <w:spacing w:line="580" w:lineRule="exact"/>
        <w:rPr>
          <w:rFonts w:hint="eastAsia" w:ascii="仿宋_GB2312" w:hAnsi="宋体" w:eastAsia="仿宋_GB2312" w:cs="Courier New"/>
          <w:color w:val="auto"/>
          <w:sz w:val="32"/>
          <w:szCs w:val="32"/>
          <w:highlight w:val="none"/>
        </w:rPr>
      </w:pPr>
      <w:r>
        <w:rPr>
          <w:rFonts w:hint="eastAsia" w:ascii="仿宋_GB2312" w:hAnsi="宋体" w:eastAsia="仿宋_GB2312" w:cs="Courier New"/>
          <w:color w:val="auto"/>
          <w:sz w:val="32"/>
          <w:szCs w:val="32"/>
          <w:highlight w:val="none"/>
        </w:rPr>
        <w:t>3.《支出决算表》</w:t>
      </w:r>
    </w:p>
    <w:p>
      <w:pPr>
        <w:spacing w:line="580" w:lineRule="exact"/>
        <w:rPr>
          <w:rFonts w:hint="eastAsia" w:ascii="仿宋_GB2312" w:hAnsi="宋体" w:eastAsia="仿宋_GB2312" w:cs="Courier New"/>
          <w:color w:val="auto"/>
          <w:sz w:val="32"/>
          <w:szCs w:val="32"/>
          <w:highlight w:val="none"/>
        </w:rPr>
      </w:pPr>
      <w:r>
        <w:rPr>
          <w:rFonts w:hint="eastAsia" w:ascii="仿宋_GB2312" w:hAnsi="宋体" w:eastAsia="仿宋_GB2312" w:cs="Courier New"/>
          <w:color w:val="auto"/>
          <w:sz w:val="32"/>
          <w:szCs w:val="32"/>
          <w:highlight w:val="none"/>
        </w:rPr>
        <w:t>4.《财政拨款收入支出决算总表》</w:t>
      </w:r>
    </w:p>
    <w:p>
      <w:pPr>
        <w:spacing w:line="580" w:lineRule="exact"/>
        <w:rPr>
          <w:rFonts w:hint="eastAsia" w:ascii="仿宋_GB2312" w:hAnsi="宋体" w:eastAsia="仿宋_GB2312" w:cs="Courier New"/>
          <w:color w:val="auto"/>
          <w:sz w:val="32"/>
          <w:szCs w:val="32"/>
          <w:highlight w:val="none"/>
        </w:rPr>
      </w:pPr>
      <w:r>
        <w:rPr>
          <w:rFonts w:hint="eastAsia" w:ascii="仿宋_GB2312" w:hAnsi="宋体" w:eastAsia="仿宋_GB2312" w:cs="Courier New"/>
          <w:color w:val="auto"/>
          <w:sz w:val="32"/>
          <w:szCs w:val="32"/>
          <w:highlight w:val="none"/>
        </w:rPr>
        <w:t>5.《一般公共预算财政拨款支出决算表》</w:t>
      </w:r>
    </w:p>
    <w:p>
      <w:pPr>
        <w:spacing w:line="580" w:lineRule="exact"/>
        <w:rPr>
          <w:rFonts w:hint="eastAsia" w:ascii="仿宋_GB2312" w:hAnsi="宋体" w:eastAsia="仿宋_GB2312" w:cs="Courier New"/>
          <w:color w:val="auto"/>
          <w:sz w:val="32"/>
          <w:szCs w:val="32"/>
          <w:highlight w:val="none"/>
        </w:rPr>
      </w:pPr>
      <w:r>
        <w:rPr>
          <w:rFonts w:hint="eastAsia" w:ascii="仿宋_GB2312" w:hAnsi="宋体" w:eastAsia="仿宋_GB2312" w:cs="Courier New"/>
          <w:color w:val="auto"/>
          <w:sz w:val="32"/>
          <w:szCs w:val="32"/>
          <w:highlight w:val="none"/>
        </w:rPr>
        <w:t>6.《一般公共预算财政拨款基本支出决算表》</w:t>
      </w:r>
    </w:p>
    <w:p>
      <w:pPr>
        <w:spacing w:line="580" w:lineRule="exact"/>
        <w:rPr>
          <w:rFonts w:hint="eastAsia" w:ascii="仿宋_GB2312" w:hAnsi="宋体" w:eastAsia="仿宋_GB2312" w:cs="Courier New"/>
          <w:color w:val="auto"/>
          <w:sz w:val="32"/>
          <w:szCs w:val="32"/>
          <w:highlight w:val="none"/>
        </w:rPr>
      </w:pPr>
      <w:r>
        <w:rPr>
          <w:rFonts w:hint="eastAsia" w:ascii="仿宋_GB2312" w:hAnsi="宋体" w:eastAsia="仿宋_GB2312" w:cs="Courier New"/>
          <w:color w:val="auto"/>
          <w:sz w:val="32"/>
          <w:szCs w:val="32"/>
          <w:highlight w:val="none"/>
          <w:lang w:val="en-US" w:eastAsia="zh-CN"/>
        </w:rPr>
        <w:t>7</w:t>
      </w:r>
      <w:r>
        <w:rPr>
          <w:rFonts w:hint="eastAsia" w:ascii="仿宋_GB2312" w:hAnsi="宋体" w:eastAsia="仿宋_GB2312" w:cs="Courier New"/>
          <w:color w:val="auto"/>
          <w:sz w:val="32"/>
          <w:szCs w:val="32"/>
          <w:highlight w:val="none"/>
        </w:rPr>
        <w:t>.《政府性基金预算财政拨款收入支出决算表》</w:t>
      </w:r>
    </w:p>
    <w:p>
      <w:pPr>
        <w:spacing w:line="580" w:lineRule="exact"/>
        <w:rPr>
          <w:rFonts w:hint="eastAsia" w:ascii="仿宋_GB2312" w:hAnsi="宋体" w:eastAsia="仿宋_GB2312" w:cs="Courier New"/>
          <w:color w:val="auto"/>
          <w:sz w:val="32"/>
          <w:szCs w:val="32"/>
          <w:highlight w:val="none"/>
          <w:lang w:eastAsia="zh-CN"/>
        </w:rPr>
      </w:pPr>
      <w:r>
        <w:rPr>
          <w:rFonts w:hint="eastAsia" w:ascii="仿宋_GB2312" w:hAnsi="宋体" w:eastAsia="仿宋_GB2312" w:cs="Courier New"/>
          <w:color w:val="auto"/>
          <w:sz w:val="32"/>
          <w:szCs w:val="32"/>
          <w:highlight w:val="none"/>
          <w:lang w:val="en-US" w:eastAsia="zh-CN"/>
        </w:rPr>
        <w:t>8</w:t>
      </w:r>
      <w:r>
        <w:rPr>
          <w:rFonts w:hint="eastAsia" w:ascii="仿宋_GB2312" w:hAnsi="宋体" w:eastAsia="仿宋_GB2312" w:cs="Courier New"/>
          <w:color w:val="auto"/>
          <w:sz w:val="32"/>
          <w:szCs w:val="32"/>
          <w:highlight w:val="none"/>
        </w:rPr>
        <w:t>.《一般公共预算财政拨款“三公”经费支出决算表》</w:t>
      </w:r>
      <w:r>
        <w:rPr>
          <w:rFonts w:hint="eastAsia" w:ascii="仿宋_GB2312" w:hAnsi="宋体" w:eastAsia="仿宋_GB2312" w:cs="Courier New"/>
          <w:color w:val="auto"/>
          <w:sz w:val="32"/>
          <w:szCs w:val="32"/>
          <w:highlight w:val="none"/>
          <w:lang w:eastAsia="zh-CN"/>
        </w:rPr>
        <w:t>（见附表）</w:t>
      </w:r>
    </w:p>
    <w:p>
      <w:pPr>
        <w:spacing w:line="580" w:lineRule="exact"/>
        <w:rPr>
          <w:rFonts w:hint="eastAsia" w:ascii="仿宋_GB2312" w:hAnsi="宋体" w:eastAsia="仿宋_GB2312" w:cs="Courier New"/>
          <w:color w:val="auto"/>
          <w:sz w:val="32"/>
          <w:szCs w:val="32"/>
          <w:highlight w:val="none"/>
        </w:rPr>
      </w:pPr>
    </w:p>
    <w:p>
      <w:pPr>
        <w:rPr>
          <w:rFonts w:ascii="黑体" w:eastAsia="黑体"/>
          <w:b/>
          <w:color w:val="auto"/>
          <w:sz w:val="30"/>
          <w:szCs w:val="30"/>
          <w:highlight w:val="none"/>
        </w:rPr>
      </w:pPr>
    </w:p>
    <w:p>
      <w:pPr>
        <w:rPr>
          <w:rFonts w:ascii="黑体" w:eastAsia="黑体"/>
          <w:b/>
          <w:color w:val="auto"/>
          <w:sz w:val="30"/>
          <w:szCs w:val="30"/>
          <w:highlight w:val="none"/>
        </w:rPr>
      </w:pPr>
    </w:p>
    <w:p>
      <w:pPr>
        <w:rPr>
          <w:rFonts w:ascii="黑体" w:eastAsia="黑体"/>
          <w:b/>
          <w:color w:val="auto"/>
          <w:sz w:val="48"/>
          <w:szCs w:val="48"/>
          <w:highlight w:val="none"/>
        </w:rPr>
      </w:pPr>
    </w:p>
    <w:p>
      <w:pPr>
        <w:rPr>
          <w:rFonts w:ascii="黑体" w:eastAsia="黑体"/>
          <w:b/>
          <w:color w:val="auto"/>
          <w:sz w:val="52"/>
          <w:szCs w:val="52"/>
          <w:highlight w:val="none"/>
        </w:rPr>
      </w:pPr>
    </w:p>
    <w:p>
      <w:pPr>
        <w:rPr>
          <w:rFonts w:ascii="黑体" w:eastAsia="黑体"/>
          <w:b/>
          <w:color w:val="auto"/>
          <w:sz w:val="52"/>
          <w:szCs w:val="52"/>
          <w:highlight w:val="none"/>
        </w:rPr>
      </w:pPr>
    </w:p>
    <w:p>
      <w:pP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第三部分</w:t>
      </w:r>
    </w:p>
    <w:p>
      <w:pPr>
        <w:rPr>
          <w:rFonts w:ascii="方正小标宋简体" w:eastAsia="方正小标宋简体"/>
          <w:color w:val="auto"/>
          <w:sz w:val="52"/>
          <w:szCs w:val="52"/>
          <w:highlight w:val="none"/>
        </w:rPr>
      </w:pPr>
    </w:p>
    <w:p>
      <w:pPr>
        <w:rPr>
          <w:rFonts w:ascii="方正小标宋简体" w:eastAsia="方正小标宋简体"/>
          <w:color w:val="auto"/>
          <w:sz w:val="52"/>
          <w:szCs w:val="52"/>
          <w:highlight w:val="none"/>
        </w:rPr>
      </w:pPr>
    </w:p>
    <w:p>
      <w:pPr>
        <w:rPr>
          <w:rFonts w:ascii="方正小标宋简体" w:eastAsia="方正小标宋简体"/>
          <w:color w:val="auto"/>
          <w:sz w:val="52"/>
          <w:szCs w:val="52"/>
          <w:highlight w:val="none"/>
        </w:rPr>
      </w:pPr>
    </w:p>
    <w:p>
      <w:pPr>
        <w:ind w:left="277" w:leftChars="8" w:hanging="260" w:hangingChars="50"/>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2018年度部门决算情况          和重要事项说明</w:t>
      </w:r>
    </w:p>
    <w:p>
      <w:pPr>
        <w:rPr>
          <w:rFonts w:ascii="黑体" w:eastAsia="黑体"/>
          <w:b/>
          <w:color w:val="auto"/>
          <w:sz w:val="30"/>
          <w:szCs w:val="30"/>
          <w:highlight w:val="none"/>
        </w:rPr>
      </w:pPr>
    </w:p>
    <w:p>
      <w:pPr>
        <w:rPr>
          <w:rFonts w:ascii="黑体" w:eastAsia="黑体"/>
          <w:b/>
          <w:color w:val="auto"/>
          <w:sz w:val="30"/>
          <w:szCs w:val="30"/>
          <w:highlight w:val="none"/>
        </w:rPr>
      </w:pPr>
    </w:p>
    <w:p>
      <w:pPr>
        <w:rPr>
          <w:rFonts w:ascii="黑体" w:eastAsia="黑体"/>
          <w:b/>
          <w:color w:val="auto"/>
          <w:sz w:val="30"/>
          <w:szCs w:val="30"/>
          <w:highlight w:val="none"/>
        </w:rPr>
      </w:pPr>
    </w:p>
    <w:p>
      <w:pPr>
        <w:rPr>
          <w:rFonts w:ascii="黑体" w:eastAsia="黑体"/>
          <w:b/>
          <w:color w:val="auto"/>
          <w:sz w:val="30"/>
          <w:szCs w:val="30"/>
          <w:highlight w:val="none"/>
        </w:rPr>
      </w:pPr>
    </w:p>
    <w:p>
      <w:pPr>
        <w:rPr>
          <w:rFonts w:ascii="黑体" w:eastAsia="黑体"/>
          <w:b/>
          <w:color w:val="auto"/>
          <w:sz w:val="30"/>
          <w:szCs w:val="30"/>
          <w:highlight w:val="none"/>
        </w:rPr>
      </w:pPr>
    </w:p>
    <w:p>
      <w:pPr>
        <w:rPr>
          <w:rFonts w:ascii="黑体" w:eastAsia="黑体"/>
          <w:b/>
          <w:color w:val="auto"/>
          <w:sz w:val="30"/>
          <w:szCs w:val="30"/>
          <w:highlight w:val="none"/>
        </w:rPr>
      </w:pPr>
    </w:p>
    <w:p>
      <w:pPr>
        <w:rPr>
          <w:rFonts w:ascii="黑体" w:eastAsia="黑体"/>
          <w:b/>
          <w:color w:val="auto"/>
          <w:sz w:val="30"/>
          <w:szCs w:val="30"/>
          <w:highlight w:val="none"/>
        </w:rPr>
      </w:pPr>
    </w:p>
    <w:p>
      <w:pPr>
        <w:rPr>
          <w:rFonts w:ascii="黑体" w:eastAsia="黑体"/>
          <w:b/>
          <w:color w:val="auto"/>
          <w:sz w:val="30"/>
          <w:szCs w:val="30"/>
          <w:highlight w:val="none"/>
        </w:rPr>
      </w:pPr>
    </w:p>
    <w:p>
      <w:pPr>
        <w:spacing w:line="58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一、2018年度部门决算情况说明</w:t>
      </w:r>
    </w:p>
    <w:p>
      <w:pPr>
        <w:spacing w:line="580" w:lineRule="exact"/>
        <w:ind w:firstLine="640" w:firstLineChars="200"/>
        <w:rPr>
          <w:rFonts w:ascii="楷体_GB2312" w:eastAsia="楷体_GB2312"/>
          <w:color w:val="auto"/>
          <w:sz w:val="32"/>
          <w:szCs w:val="32"/>
          <w:highlight w:val="none"/>
        </w:rPr>
      </w:pPr>
      <w:r>
        <w:rPr>
          <w:rFonts w:hint="eastAsia" w:ascii="楷体_GB2312" w:eastAsia="楷体_GB2312"/>
          <w:color w:val="auto"/>
          <w:sz w:val="32"/>
          <w:szCs w:val="32"/>
          <w:highlight w:val="none"/>
        </w:rPr>
        <w:t>（一）收入支出决算总体情况</w:t>
      </w:r>
    </w:p>
    <w:p>
      <w:pPr>
        <w:spacing w:line="58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2018年度收、支总</w:t>
      </w:r>
      <w:r>
        <w:rPr>
          <w:rFonts w:hint="eastAsia" w:ascii="仿宋_GB2312" w:eastAsia="仿宋_GB2312"/>
          <w:color w:val="auto"/>
          <w:sz w:val="32"/>
          <w:szCs w:val="32"/>
          <w:highlight w:val="none"/>
        </w:rPr>
        <w:t>计</w:t>
      </w:r>
      <w:r>
        <w:rPr>
          <w:rFonts w:hint="eastAsia" w:ascii="仿宋_GB2312" w:eastAsia="仿宋_GB2312"/>
          <w:color w:val="auto"/>
          <w:sz w:val="32"/>
          <w:szCs w:val="32"/>
          <w:highlight w:val="none"/>
          <w:lang w:val="en-US" w:eastAsia="zh-CN"/>
        </w:rPr>
        <w:t>597.77</w:t>
      </w:r>
      <w:r>
        <w:rPr>
          <w:rFonts w:hint="eastAsia" w:ascii="仿宋_GB2312" w:eastAsia="仿宋_GB2312"/>
          <w:color w:val="auto"/>
          <w:sz w:val="32"/>
          <w:szCs w:val="32"/>
          <w:highlight w:val="none"/>
        </w:rPr>
        <w:t>万元。与2017年相比，收、支总计各</w:t>
      </w:r>
      <w:r>
        <w:rPr>
          <w:rFonts w:hint="eastAsia" w:ascii="仿宋_GB2312" w:eastAsia="仿宋_GB2312"/>
          <w:color w:val="auto"/>
          <w:sz w:val="32"/>
          <w:szCs w:val="32"/>
          <w:highlight w:val="none"/>
          <w:lang w:eastAsia="zh-CN"/>
        </w:rPr>
        <w:t>增加</w:t>
      </w:r>
      <w:r>
        <w:rPr>
          <w:rFonts w:hint="eastAsia" w:ascii="仿宋_GB2312" w:eastAsia="仿宋_GB2312"/>
          <w:color w:val="auto"/>
          <w:sz w:val="32"/>
          <w:szCs w:val="32"/>
          <w:highlight w:val="none"/>
          <w:lang w:val="en-US" w:eastAsia="zh-CN"/>
        </w:rPr>
        <w:t>1.28万元</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。主要是</w:t>
      </w:r>
      <w:r>
        <w:rPr>
          <w:rFonts w:hint="eastAsia" w:ascii="仿宋_GB2312" w:eastAsia="仿宋_GB2312"/>
          <w:color w:val="auto"/>
          <w:sz w:val="32"/>
          <w:szCs w:val="32"/>
          <w:highlight w:val="none"/>
          <w:lang w:eastAsia="zh-CN"/>
        </w:rPr>
        <w:t>业务量加大，经费支出增加</w:t>
      </w:r>
      <w:r>
        <w:rPr>
          <w:rFonts w:hint="eastAsia" w:ascii="仿宋_GB2312" w:eastAsia="仿宋_GB2312"/>
          <w:color w:val="auto"/>
          <w:sz w:val="32"/>
          <w:szCs w:val="32"/>
          <w:highlight w:val="none"/>
        </w:rPr>
        <w:t>。</w:t>
      </w:r>
    </w:p>
    <w:p>
      <w:pPr>
        <w:spacing w:line="580" w:lineRule="exact"/>
        <w:ind w:firstLine="640" w:firstLineChars="200"/>
        <w:rPr>
          <w:rFonts w:ascii="楷体_GB2312" w:eastAsia="楷体_GB2312"/>
          <w:color w:val="auto"/>
          <w:sz w:val="32"/>
          <w:szCs w:val="32"/>
          <w:highlight w:val="none"/>
        </w:rPr>
      </w:pPr>
      <w:r>
        <w:rPr>
          <w:rFonts w:hint="eastAsia" w:ascii="楷体_GB2312" w:eastAsia="楷体_GB2312"/>
          <w:color w:val="auto"/>
          <w:sz w:val="32"/>
          <w:szCs w:val="32"/>
          <w:highlight w:val="none"/>
        </w:rPr>
        <w:t>（二）收入决算情况</w:t>
      </w:r>
    </w:p>
    <w:p>
      <w:pPr>
        <w:spacing w:line="58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本年收入合计596.29万元，其中：财政拨款收入596.29万元，占</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rPr>
        <w:t>%。</w:t>
      </w:r>
    </w:p>
    <w:p>
      <w:pPr>
        <w:spacing w:line="580" w:lineRule="exact"/>
        <w:ind w:firstLine="640" w:firstLineChars="200"/>
        <w:rPr>
          <w:rFonts w:ascii="楷体_GB2312" w:eastAsia="楷体_GB2312"/>
          <w:color w:val="auto"/>
          <w:sz w:val="32"/>
          <w:szCs w:val="32"/>
          <w:highlight w:val="none"/>
        </w:rPr>
      </w:pPr>
      <w:r>
        <w:rPr>
          <w:rFonts w:hint="eastAsia" w:ascii="楷体_GB2312" w:eastAsia="楷体_GB2312"/>
          <w:color w:val="auto"/>
          <w:sz w:val="32"/>
          <w:szCs w:val="32"/>
          <w:highlight w:val="none"/>
        </w:rPr>
        <w:t>（三）支出决算情况</w:t>
      </w:r>
    </w:p>
    <w:p>
      <w:pPr>
        <w:spacing w:line="58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本年支出合计596.22万元，其中：基本支出104.13万元，占</w:t>
      </w:r>
      <w:r>
        <w:rPr>
          <w:rFonts w:hint="eastAsia" w:ascii="仿宋_GB2312" w:eastAsia="仿宋_GB2312"/>
          <w:color w:val="auto"/>
          <w:sz w:val="32"/>
          <w:szCs w:val="32"/>
          <w:highlight w:val="none"/>
          <w:lang w:val="en-US" w:eastAsia="zh-CN"/>
        </w:rPr>
        <w:t>17.5</w:t>
      </w:r>
      <w:r>
        <w:rPr>
          <w:rFonts w:hint="eastAsia" w:ascii="仿宋_GB2312" w:eastAsia="仿宋_GB2312"/>
          <w:color w:val="auto"/>
          <w:sz w:val="32"/>
          <w:szCs w:val="32"/>
          <w:highlight w:val="none"/>
        </w:rPr>
        <w:t>%；项目支出</w:t>
      </w:r>
      <w:r>
        <w:rPr>
          <w:rFonts w:hint="eastAsia" w:ascii="仿宋_GB2312" w:eastAsia="仿宋_GB2312"/>
          <w:color w:val="auto"/>
          <w:sz w:val="32"/>
          <w:szCs w:val="32"/>
          <w:highlight w:val="none"/>
          <w:lang w:val="en-US" w:eastAsia="zh-CN"/>
        </w:rPr>
        <w:t>492.09</w:t>
      </w:r>
      <w:r>
        <w:rPr>
          <w:rFonts w:hint="eastAsia" w:ascii="仿宋_GB2312" w:eastAsia="仿宋_GB2312"/>
          <w:color w:val="auto"/>
          <w:sz w:val="32"/>
          <w:szCs w:val="32"/>
          <w:highlight w:val="none"/>
        </w:rPr>
        <w:t>万元，占</w:t>
      </w:r>
      <w:r>
        <w:rPr>
          <w:rFonts w:hint="eastAsia" w:ascii="仿宋_GB2312" w:eastAsia="仿宋_GB2312"/>
          <w:color w:val="auto"/>
          <w:sz w:val="32"/>
          <w:szCs w:val="32"/>
          <w:highlight w:val="none"/>
          <w:lang w:val="en-US" w:eastAsia="zh-CN"/>
        </w:rPr>
        <w:t>82.5</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p>
    <w:p>
      <w:pPr>
        <w:spacing w:line="580" w:lineRule="exact"/>
        <w:ind w:firstLine="600"/>
        <w:rPr>
          <w:rFonts w:ascii="楷体_GB2312" w:eastAsia="楷体_GB2312"/>
          <w:color w:val="auto"/>
          <w:sz w:val="32"/>
          <w:szCs w:val="32"/>
          <w:highlight w:val="none"/>
        </w:rPr>
      </w:pPr>
      <w:r>
        <w:rPr>
          <w:rFonts w:hint="eastAsia" w:ascii="楷体_GB2312" w:eastAsia="楷体_GB2312"/>
          <w:color w:val="auto"/>
          <w:sz w:val="32"/>
          <w:szCs w:val="32"/>
          <w:highlight w:val="none"/>
        </w:rPr>
        <w:t>（四）财政拨款收入支出决算总体情况</w:t>
      </w:r>
    </w:p>
    <w:p>
      <w:pPr>
        <w:spacing w:line="58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2018年度财政拨款收、支总</w:t>
      </w:r>
      <w:r>
        <w:rPr>
          <w:rFonts w:hint="eastAsia" w:ascii="仿宋_GB2312" w:eastAsia="仿宋_GB2312"/>
          <w:color w:val="auto"/>
          <w:sz w:val="32"/>
          <w:szCs w:val="32"/>
          <w:highlight w:val="none"/>
        </w:rPr>
        <w:t>计</w:t>
      </w:r>
      <w:r>
        <w:rPr>
          <w:rFonts w:hint="eastAsia" w:ascii="仿宋_GB2312" w:eastAsia="仿宋_GB2312"/>
          <w:color w:val="auto"/>
          <w:sz w:val="32"/>
          <w:szCs w:val="32"/>
          <w:highlight w:val="none"/>
          <w:lang w:val="en-US" w:eastAsia="zh-CN"/>
        </w:rPr>
        <w:t>597.77</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rPr>
        <w:t>。与2017年相比，收、支总计各增加1.28万元，增长0.2%。主要是业务量加大，经费支出增加。</w:t>
      </w:r>
    </w:p>
    <w:p>
      <w:pPr>
        <w:spacing w:line="580" w:lineRule="exact"/>
        <w:ind w:firstLine="600"/>
        <w:rPr>
          <w:rFonts w:ascii="楷体_GB2312" w:eastAsia="楷体_GB2312"/>
          <w:color w:val="auto"/>
          <w:sz w:val="32"/>
          <w:szCs w:val="32"/>
          <w:highlight w:val="none"/>
        </w:rPr>
      </w:pPr>
      <w:r>
        <w:rPr>
          <w:rFonts w:hint="eastAsia" w:ascii="楷体_GB2312" w:eastAsia="楷体_GB2312"/>
          <w:color w:val="auto"/>
          <w:sz w:val="32"/>
          <w:szCs w:val="32"/>
          <w:highlight w:val="none"/>
        </w:rPr>
        <w:t>（五）一般公共预算财政拨款支出决算情况</w:t>
      </w:r>
    </w:p>
    <w:p>
      <w:pPr>
        <w:spacing w:line="58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1、一般公共预算财政拨款支出决算总体情况</w:t>
      </w:r>
    </w:p>
    <w:p>
      <w:pPr>
        <w:spacing w:line="58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2018年度一般公共预算财政拨款支出</w:t>
      </w:r>
      <w:r>
        <w:rPr>
          <w:rFonts w:hint="eastAsia" w:ascii="仿宋_GB2312" w:eastAsia="仿宋_GB2312"/>
          <w:color w:val="auto"/>
          <w:sz w:val="32"/>
          <w:szCs w:val="32"/>
          <w:highlight w:val="none"/>
          <w:lang w:val="en-US" w:eastAsia="zh-CN"/>
        </w:rPr>
        <w:t>596.22</w:t>
      </w:r>
      <w:r>
        <w:rPr>
          <w:rFonts w:hint="eastAsia" w:ascii="仿宋_GB2312" w:eastAsia="仿宋_GB2312"/>
          <w:color w:val="auto"/>
          <w:sz w:val="32"/>
          <w:szCs w:val="32"/>
          <w:highlight w:val="none"/>
        </w:rPr>
        <w:t>万元，占本年支出合计的</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rPr>
        <w:t>%。与2017年相比，一般公共预算财政拨款支出增长0.57万元，增长0.1%。主要是业务量加大，经费支出增加。</w:t>
      </w:r>
    </w:p>
    <w:p>
      <w:pPr>
        <w:spacing w:line="58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2、一般公共预算财政拨款支出决算结构情况</w:t>
      </w:r>
    </w:p>
    <w:p>
      <w:pPr>
        <w:spacing w:line="58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2018年度一般公共预算财政拨款支出</w:t>
      </w:r>
      <w:r>
        <w:rPr>
          <w:rFonts w:hint="eastAsia" w:ascii="仿宋_GB2312" w:eastAsia="仿宋_GB2312"/>
          <w:color w:val="auto"/>
          <w:sz w:val="32"/>
          <w:szCs w:val="32"/>
          <w:highlight w:val="none"/>
          <w:lang w:val="en-US" w:eastAsia="zh-CN"/>
        </w:rPr>
        <w:t>596.22</w:t>
      </w:r>
      <w:r>
        <w:rPr>
          <w:rFonts w:hint="eastAsia" w:ascii="仿宋_GB2312" w:eastAsia="仿宋_GB2312"/>
          <w:color w:val="auto"/>
          <w:sz w:val="32"/>
          <w:szCs w:val="32"/>
          <w:highlight w:val="none"/>
        </w:rPr>
        <w:t>万元，主要用于以下方面：一般公共服务（类）支出104.13万元，占17.5%；</w:t>
      </w:r>
      <w:r>
        <w:rPr>
          <w:rFonts w:hint="eastAsia" w:ascii="仿宋_GB2312" w:eastAsia="仿宋_GB2312"/>
          <w:color w:val="auto"/>
          <w:sz w:val="32"/>
          <w:szCs w:val="32"/>
          <w:highlight w:val="none"/>
          <w:lang w:eastAsia="zh-CN"/>
        </w:rPr>
        <w:t>社会保障和就业</w:t>
      </w:r>
      <w:r>
        <w:rPr>
          <w:rFonts w:hint="eastAsia" w:ascii="仿宋_GB2312" w:eastAsia="仿宋_GB2312"/>
          <w:color w:val="auto"/>
          <w:sz w:val="32"/>
          <w:szCs w:val="32"/>
          <w:highlight w:val="none"/>
        </w:rPr>
        <w:t>（类）支出492.09万元，占82.5%</w:t>
      </w:r>
      <w:r>
        <w:rPr>
          <w:rFonts w:hint="eastAsia" w:ascii="仿宋_GB2312" w:eastAsia="仿宋_GB2312"/>
          <w:color w:val="auto"/>
          <w:sz w:val="32"/>
          <w:szCs w:val="32"/>
          <w:highlight w:val="none"/>
          <w:lang w:eastAsia="zh-CN"/>
        </w:rPr>
        <w:t>。</w:t>
      </w:r>
    </w:p>
    <w:p>
      <w:pPr>
        <w:spacing w:line="58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3、一般公共预算财政拨款支出决算具体情况</w:t>
      </w:r>
    </w:p>
    <w:p>
      <w:pPr>
        <w:spacing w:line="58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2018年度一般公共预算财政拨款支出年初预算为</w:t>
      </w:r>
      <w:r>
        <w:rPr>
          <w:rFonts w:hint="eastAsia" w:ascii="仿宋_GB2312" w:eastAsia="仿宋_GB2312"/>
          <w:color w:val="auto"/>
          <w:sz w:val="32"/>
          <w:szCs w:val="32"/>
          <w:highlight w:val="none"/>
          <w:lang w:val="en-US" w:eastAsia="zh-CN"/>
        </w:rPr>
        <w:t>596.29</w:t>
      </w:r>
      <w:r>
        <w:rPr>
          <w:rFonts w:hint="eastAsia" w:ascii="仿宋_GB2312" w:eastAsia="仿宋_GB2312"/>
          <w:color w:val="auto"/>
          <w:sz w:val="32"/>
          <w:szCs w:val="32"/>
          <w:highlight w:val="none"/>
        </w:rPr>
        <w:t>万元，支出决算为</w:t>
      </w:r>
      <w:r>
        <w:rPr>
          <w:rFonts w:hint="eastAsia" w:ascii="仿宋_GB2312" w:eastAsia="仿宋_GB2312"/>
          <w:color w:val="auto"/>
          <w:sz w:val="32"/>
          <w:szCs w:val="32"/>
          <w:highlight w:val="none"/>
          <w:lang w:val="en-US" w:eastAsia="zh-CN"/>
        </w:rPr>
        <w:t>596.22</w:t>
      </w:r>
      <w:r>
        <w:rPr>
          <w:rFonts w:hint="eastAsia" w:ascii="仿宋_GB2312" w:eastAsia="仿宋_GB2312"/>
          <w:color w:val="auto"/>
          <w:sz w:val="32"/>
          <w:szCs w:val="32"/>
          <w:highlight w:val="none"/>
        </w:rPr>
        <w:t>万元，完成年初预算的</w:t>
      </w:r>
      <w:r>
        <w:rPr>
          <w:rFonts w:hint="eastAsia" w:ascii="仿宋_GB2312" w:eastAsia="仿宋_GB2312"/>
          <w:color w:val="auto"/>
          <w:sz w:val="32"/>
          <w:szCs w:val="32"/>
          <w:highlight w:val="none"/>
          <w:lang w:val="en-US" w:eastAsia="zh-CN"/>
        </w:rPr>
        <w:t>99.9</w:t>
      </w:r>
      <w:r>
        <w:rPr>
          <w:rFonts w:hint="eastAsia" w:ascii="仿宋_GB2312" w:eastAsia="仿宋_GB2312"/>
          <w:color w:val="auto"/>
          <w:sz w:val="32"/>
          <w:szCs w:val="32"/>
          <w:highlight w:val="none"/>
        </w:rPr>
        <w:t>%。决算数</w:t>
      </w:r>
      <w:r>
        <w:rPr>
          <w:rFonts w:hint="eastAsia" w:ascii="仿宋_GB2312" w:eastAsia="仿宋_GB2312"/>
          <w:color w:val="auto"/>
          <w:sz w:val="32"/>
          <w:szCs w:val="32"/>
          <w:highlight w:val="none"/>
          <w:lang w:eastAsia="zh-CN"/>
        </w:rPr>
        <w:t>小于</w:t>
      </w:r>
      <w:r>
        <w:rPr>
          <w:rFonts w:hint="eastAsia" w:ascii="仿宋_GB2312" w:eastAsia="仿宋_GB2312"/>
          <w:color w:val="auto"/>
          <w:sz w:val="32"/>
          <w:szCs w:val="32"/>
          <w:highlight w:val="none"/>
        </w:rPr>
        <w:t>预算数的主要原因</w:t>
      </w:r>
      <w:r>
        <w:rPr>
          <w:rFonts w:hint="eastAsia" w:ascii="仿宋_GB2312" w:eastAsia="仿宋_GB2312"/>
          <w:color w:val="auto"/>
          <w:sz w:val="32"/>
          <w:szCs w:val="32"/>
          <w:highlight w:val="none"/>
          <w:lang w:eastAsia="zh-CN"/>
        </w:rPr>
        <w:t>是科学合理支出，避免不必要的支出。</w:t>
      </w:r>
    </w:p>
    <w:p>
      <w:pPr>
        <w:spacing w:line="58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（1）社会保障和就业（类）民政管理事务（款）  老龄事务（项）。主要反映用于</w:t>
      </w:r>
      <w:r>
        <w:rPr>
          <w:rFonts w:hint="eastAsia" w:ascii="仿宋_GB2312" w:eastAsia="仿宋_GB2312"/>
          <w:color w:val="auto"/>
          <w:sz w:val="32"/>
          <w:szCs w:val="32"/>
          <w:highlight w:val="none"/>
          <w:lang w:eastAsia="zh-CN"/>
        </w:rPr>
        <w:t>老龄事务</w:t>
      </w:r>
      <w:r>
        <w:rPr>
          <w:rFonts w:hint="eastAsia" w:ascii="仿宋_GB2312" w:eastAsia="仿宋_GB2312"/>
          <w:color w:val="auto"/>
          <w:sz w:val="32"/>
          <w:szCs w:val="32"/>
          <w:highlight w:val="none"/>
        </w:rPr>
        <w:t xml:space="preserve">支出。年初预算为     </w:t>
      </w:r>
      <w:r>
        <w:rPr>
          <w:rFonts w:hint="eastAsia" w:ascii="仿宋_GB2312" w:eastAsia="仿宋_GB2312"/>
          <w:color w:val="auto"/>
          <w:sz w:val="32"/>
          <w:szCs w:val="32"/>
          <w:highlight w:val="none"/>
          <w:lang w:val="en-US" w:eastAsia="zh-CN"/>
        </w:rPr>
        <w:t>104.2</w:t>
      </w:r>
      <w:r>
        <w:rPr>
          <w:rFonts w:hint="eastAsia" w:ascii="仿宋_GB2312" w:eastAsia="仿宋_GB2312"/>
          <w:color w:val="auto"/>
          <w:sz w:val="32"/>
          <w:szCs w:val="32"/>
          <w:highlight w:val="none"/>
        </w:rPr>
        <w:t>万元，支出决</w:t>
      </w:r>
      <w:bookmarkStart w:id="0" w:name="_GoBack"/>
      <w:bookmarkEnd w:id="0"/>
      <w:r>
        <w:rPr>
          <w:rFonts w:hint="eastAsia" w:ascii="仿宋_GB2312" w:eastAsia="仿宋_GB2312"/>
          <w:color w:val="auto"/>
          <w:sz w:val="32"/>
          <w:szCs w:val="32"/>
          <w:highlight w:val="none"/>
        </w:rPr>
        <w:t>算为</w:t>
      </w:r>
      <w:r>
        <w:rPr>
          <w:rFonts w:hint="eastAsia" w:ascii="仿宋_GB2312" w:eastAsia="仿宋_GB2312"/>
          <w:color w:val="auto"/>
          <w:sz w:val="32"/>
          <w:szCs w:val="32"/>
          <w:highlight w:val="none"/>
          <w:lang w:val="en-US" w:eastAsia="zh-CN"/>
        </w:rPr>
        <w:t>104.13</w:t>
      </w:r>
      <w:r>
        <w:rPr>
          <w:rFonts w:hint="eastAsia" w:ascii="仿宋_GB2312" w:eastAsia="仿宋_GB2312"/>
          <w:color w:val="auto"/>
          <w:sz w:val="32"/>
          <w:szCs w:val="32"/>
          <w:highlight w:val="none"/>
        </w:rPr>
        <w:t>万元，完成年初预算的</w:t>
      </w:r>
      <w:r>
        <w:rPr>
          <w:rFonts w:hint="eastAsia" w:ascii="仿宋_GB2312" w:eastAsia="仿宋_GB2312"/>
          <w:color w:val="auto"/>
          <w:sz w:val="32"/>
          <w:szCs w:val="32"/>
          <w:highlight w:val="none"/>
          <w:lang w:val="en-US" w:eastAsia="zh-CN"/>
        </w:rPr>
        <w:t>99.9</w:t>
      </w:r>
      <w:r>
        <w:rPr>
          <w:rFonts w:hint="eastAsia" w:ascii="仿宋_GB2312" w:eastAsia="仿宋_GB2312"/>
          <w:color w:val="auto"/>
          <w:sz w:val="32"/>
          <w:szCs w:val="32"/>
          <w:highlight w:val="none"/>
        </w:rPr>
        <w:t>%。决算数</w:t>
      </w:r>
      <w:r>
        <w:rPr>
          <w:rFonts w:hint="eastAsia" w:ascii="仿宋_GB2312" w:eastAsia="仿宋_GB2312"/>
          <w:color w:val="auto"/>
          <w:sz w:val="32"/>
          <w:szCs w:val="32"/>
          <w:highlight w:val="none"/>
          <w:lang w:eastAsia="zh-CN"/>
        </w:rPr>
        <w:t>小于</w:t>
      </w:r>
      <w:r>
        <w:rPr>
          <w:rFonts w:hint="eastAsia" w:ascii="仿宋_GB2312" w:eastAsia="仿宋_GB2312"/>
          <w:color w:val="auto"/>
          <w:sz w:val="32"/>
          <w:szCs w:val="32"/>
          <w:highlight w:val="none"/>
        </w:rPr>
        <w:t>预算数主要原因是科学合理支出，避免不必要的支出。</w:t>
      </w:r>
    </w:p>
    <w:p>
      <w:pPr>
        <w:spacing w:line="58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（2）社会保障和就业（类）社会福利（款）</w:t>
      </w:r>
      <w:r>
        <w:rPr>
          <w:rFonts w:hint="eastAsia" w:ascii="仿宋_GB2312" w:eastAsia="仿宋_GB2312"/>
          <w:color w:val="auto"/>
          <w:sz w:val="32"/>
          <w:szCs w:val="32"/>
          <w:highlight w:val="none"/>
          <w:lang w:eastAsia="zh-CN"/>
        </w:rPr>
        <w:t>老年福利</w:t>
      </w:r>
      <w:r>
        <w:rPr>
          <w:rFonts w:hint="eastAsia" w:ascii="仿宋_GB2312" w:eastAsia="仿宋_GB2312"/>
          <w:color w:val="auto"/>
          <w:sz w:val="32"/>
          <w:szCs w:val="32"/>
          <w:highlight w:val="none"/>
        </w:rPr>
        <w:t>（项）。主要反映用于</w:t>
      </w:r>
      <w:r>
        <w:rPr>
          <w:rFonts w:hint="eastAsia" w:ascii="仿宋_GB2312" w:eastAsia="仿宋_GB2312"/>
          <w:color w:val="auto"/>
          <w:sz w:val="32"/>
          <w:szCs w:val="32"/>
          <w:highlight w:val="none"/>
          <w:lang w:eastAsia="zh-CN"/>
        </w:rPr>
        <w:t>老年人福利</w:t>
      </w:r>
      <w:r>
        <w:rPr>
          <w:rFonts w:hint="eastAsia" w:ascii="仿宋_GB2312" w:eastAsia="仿宋_GB2312"/>
          <w:color w:val="auto"/>
          <w:sz w:val="32"/>
          <w:szCs w:val="32"/>
          <w:highlight w:val="none"/>
        </w:rPr>
        <w:t>支出。年初预算为</w:t>
      </w:r>
      <w:r>
        <w:rPr>
          <w:rFonts w:hint="eastAsia" w:ascii="仿宋_GB2312" w:eastAsia="仿宋_GB2312"/>
          <w:color w:val="auto"/>
          <w:sz w:val="32"/>
          <w:szCs w:val="32"/>
          <w:highlight w:val="none"/>
          <w:lang w:val="en-US" w:eastAsia="zh-CN"/>
        </w:rPr>
        <w:t>486.39</w:t>
      </w:r>
      <w:r>
        <w:rPr>
          <w:rFonts w:hint="eastAsia" w:ascii="仿宋_GB2312" w:eastAsia="仿宋_GB2312"/>
          <w:color w:val="auto"/>
          <w:sz w:val="32"/>
          <w:szCs w:val="32"/>
          <w:highlight w:val="none"/>
        </w:rPr>
        <w:t>万元，支出决算为</w:t>
      </w:r>
      <w:r>
        <w:rPr>
          <w:rFonts w:hint="eastAsia" w:ascii="仿宋_GB2312" w:eastAsia="仿宋_GB2312"/>
          <w:color w:val="auto"/>
          <w:sz w:val="32"/>
          <w:szCs w:val="32"/>
          <w:highlight w:val="none"/>
          <w:lang w:val="en-US" w:eastAsia="zh-CN"/>
        </w:rPr>
        <w:t>486.39</w:t>
      </w:r>
      <w:r>
        <w:rPr>
          <w:rFonts w:hint="eastAsia" w:ascii="仿宋_GB2312" w:eastAsia="仿宋_GB2312"/>
          <w:color w:val="auto"/>
          <w:sz w:val="32"/>
          <w:szCs w:val="32"/>
          <w:highlight w:val="none"/>
        </w:rPr>
        <w:t>万元，完成年初预算的</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rPr>
        <w:t>%。决算数与年初预算基本持平</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收支合理</w:t>
      </w:r>
      <w:r>
        <w:rPr>
          <w:rFonts w:hint="eastAsia" w:ascii="仿宋_GB2312" w:eastAsia="仿宋_GB2312"/>
          <w:color w:val="auto"/>
          <w:sz w:val="32"/>
          <w:szCs w:val="32"/>
          <w:highlight w:val="none"/>
        </w:rPr>
        <w:t>。</w:t>
      </w:r>
    </w:p>
    <w:p>
      <w:pPr>
        <w:spacing w:line="58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）社会保障和就业（类）其他生活救助（款）其他</w:t>
      </w:r>
      <w:r>
        <w:rPr>
          <w:rFonts w:hint="eastAsia" w:ascii="仿宋_GB2312" w:eastAsia="仿宋_GB2312"/>
          <w:color w:val="auto"/>
          <w:sz w:val="32"/>
          <w:szCs w:val="32"/>
          <w:highlight w:val="none"/>
          <w:lang w:eastAsia="zh-CN"/>
        </w:rPr>
        <w:t>农村</w:t>
      </w:r>
      <w:r>
        <w:rPr>
          <w:rFonts w:hint="eastAsia" w:ascii="仿宋_GB2312" w:eastAsia="仿宋_GB2312"/>
          <w:color w:val="auto"/>
          <w:sz w:val="32"/>
          <w:szCs w:val="32"/>
          <w:highlight w:val="none"/>
        </w:rPr>
        <w:t>生活救助（项）。主要反映用于</w:t>
      </w:r>
      <w:r>
        <w:rPr>
          <w:rFonts w:hint="eastAsia" w:ascii="仿宋_GB2312" w:eastAsia="仿宋_GB2312"/>
          <w:color w:val="auto"/>
          <w:sz w:val="32"/>
          <w:szCs w:val="32"/>
          <w:highlight w:val="none"/>
          <w:lang w:eastAsia="zh-CN"/>
        </w:rPr>
        <w:t>农村老年人生活补助</w:t>
      </w:r>
      <w:r>
        <w:rPr>
          <w:rFonts w:hint="eastAsia" w:ascii="仿宋_GB2312" w:eastAsia="仿宋_GB2312"/>
          <w:color w:val="auto"/>
          <w:sz w:val="32"/>
          <w:szCs w:val="32"/>
          <w:highlight w:val="none"/>
        </w:rPr>
        <w:t>支出。年初预算为</w:t>
      </w:r>
      <w:r>
        <w:rPr>
          <w:rFonts w:hint="eastAsia" w:ascii="仿宋_GB2312" w:eastAsia="仿宋_GB2312"/>
          <w:color w:val="auto"/>
          <w:sz w:val="32"/>
          <w:szCs w:val="32"/>
          <w:highlight w:val="none"/>
          <w:lang w:val="en-US" w:eastAsia="zh-CN"/>
        </w:rPr>
        <w:t>5.7</w:t>
      </w:r>
      <w:r>
        <w:rPr>
          <w:rFonts w:hint="eastAsia" w:ascii="仿宋_GB2312" w:eastAsia="仿宋_GB2312"/>
          <w:color w:val="auto"/>
          <w:sz w:val="32"/>
          <w:szCs w:val="32"/>
          <w:highlight w:val="none"/>
        </w:rPr>
        <w:t>万元，支出决算为</w:t>
      </w:r>
      <w:r>
        <w:rPr>
          <w:rFonts w:hint="eastAsia" w:ascii="仿宋_GB2312" w:eastAsia="仿宋_GB2312"/>
          <w:color w:val="auto"/>
          <w:sz w:val="32"/>
          <w:szCs w:val="32"/>
          <w:highlight w:val="none"/>
          <w:lang w:val="en-US" w:eastAsia="zh-CN"/>
        </w:rPr>
        <w:t>5.7</w:t>
      </w:r>
      <w:r>
        <w:rPr>
          <w:rFonts w:hint="eastAsia" w:ascii="仿宋_GB2312" w:eastAsia="仿宋_GB2312"/>
          <w:color w:val="auto"/>
          <w:sz w:val="32"/>
          <w:szCs w:val="32"/>
          <w:highlight w:val="none"/>
        </w:rPr>
        <w:t>万元，完成年初预算的</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rPr>
        <w:t>%。决算数与年初预算基本持平的主要原因是收支合理。</w:t>
      </w:r>
    </w:p>
    <w:p>
      <w:pPr>
        <w:spacing w:line="580" w:lineRule="exact"/>
        <w:ind w:firstLine="600"/>
        <w:rPr>
          <w:rFonts w:ascii="楷体_GB2312" w:eastAsia="楷体_GB2312"/>
          <w:color w:val="auto"/>
          <w:sz w:val="32"/>
          <w:szCs w:val="32"/>
          <w:highlight w:val="none"/>
        </w:rPr>
      </w:pPr>
      <w:r>
        <w:rPr>
          <w:rFonts w:hint="eastAsia" w:ascii="楷体_GB2312" w:eastAsia="楷体_GB2312"/>
          <w:color w:val="auto"/>
          <w:sz w:val="32"/>
          <w:szCs w:val="32"/>
          <w:highlight w:val="none"/>
        </w:rPr>
        <w:t>（六）一般公共预算财政拨款基本支出决算情况</w:t>
      </w:r>
    </w:p>
    <w:p>
      <w:pPr>
        <w:spacing w:line="580" w:lineRule="exact"/>
        <w:ind w:firstLine="600"/>
        <w:rPr>
          <w:rFonts w:ascii="仿宋_GB2312" w:eastAsia="仿宋_GB2312"/>
          <w:color w:val="auto"/>
          <w:sz w:val="32"/>
          <w:szCs w:val="32"/>
          <w:highlight w:val="none"/>
        </w:rPr>
      </w:pPr>
      <w:r>
        <w:rPr>
          <w:rFonts w:hint="eastAsia" w:ascii="仿宋_GB2312" w:eastAsia="仿宋_GB2312"/>
          <w:color w:val="auto"/>
          <w:sz w:val="32"/>
          <w:szCs w:val="32"/>
          <w:highlight w:val="none"/>
        </w:rPr>
        <w:t>2018年度一般公共预算财政拨款基本支出决算</w:t>
      </w:r>
      <w:r>
        <w:rPr>
          <w:rFonts w:hint="eastAsia" w:ascii="仿宋_GB2312" w:eastAsia="仿宋_GB2312"/>
          <w:color w:val="auto"/>
          <w:sz w:val="32"/>
          <w:szCs w:val="32"/>
          <w:highlight w:val="none"/>
          <w:lang w:val="en-US" w:eastAsia="zh-CN"/>
        </w:rPr>
        <w:t>104.13</w:t>
      </w:r>
      <w:r>
        <w:rPr>
          <w:rFonts w:hint="eastAsia" w:ascii="仿宋_GB2312" w:eastAsia="仿宋_GB2312"/>
          <w:color w:val="auto"/>
          <w:sz w:val="32"/>
          <w:szCs w:val="32"/>
          <w:highlight w:val="none"/>
        </w:rPr>
        <w:t>万元，包括人员经费和公用经费，支出具体情况如下：</w:t>
      </w:r>
    </w:p>
    <w:p>
      <w:pPr>
        <w:spacing w:line="58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人员经费</w:t>
      </w:r>
      <w:r>
        <w:rPr>
          <w:rFonts w:hint="eastAsia" w:ascii="仿宋_GB2312" w:eastAsia="仿宋_GB2312"/>
          <w:color w:val="auto"/>
          <w:sz w:val="32"/>
          <w:szCs w:val="32"/>
          <w:highlight w:val="none"/>
          <w:lang w:val="en-US" w:eastAsia="zh-CN"/>
        </w:rPr>
        <w:t>96.04</w:t>
      </w:r>
      <w:r>
        <w:rPr>
          <w:rFonts w:hint="eastAsia" w:ascii="仿宋_GB2312" w:eastAsia="仿宋_GB2312"/>
          <w:color w:val="auto"/>
          <w:sz w:val="32"/>
          <w:szCs w:val="32"/>
          <w:highlight w:val="none"/>
        </w:rPr>
        <w:t>万元，主要包括：基本工资、津贴补贴等。</w:t>
      </w:r>
    </w:p>
    <w:p>
      <w:pPr>
        <w:spacing w:line="580" w:lineRule="exact"/>
        <w:ind w:firstLine="640" w:firstLineChars="200"/>
        <w:rPr>
          <w:rFonts w:hint="eastAsia" w:ascii="仿宋_GB2312" w:eastAsia="仿宋_GB2312"/>
          <w:b/>
          <w:color w:val="auto"/>
          <w:sz w:val="32"/>
          <w:szCs w:val="32"/>
          <w:highlight w:val="none"/>
        </w:rPr>
      </w:pPr>
      <w:r>
        <w:rPr>
          <w:rFonts w:hint="eastAsia" w:ascii="仿宋_GB2312" w:eastAsia="仿宋_GB2312"/>
          <w:color w:val="auto"/>
          <w:sz w:val="32"/>
          <w:szCs w:val="32"/>
          <w:highlight w:val="none"/>
        </w:rPr>
        <w:t>公用经费</w:t>
      </w:r>
      <w:r>
        <w:rPr>
          <w:rFonts w:hint="eastAsia" w:ascii="仿宋_GB2312" w:eastAsia="仿宋_GB2312"/>
          <w:color w:val="auto"/>
          <w:sz w:val="32"/>
          <w:szCs w:val="32"/>
          <w:highlight w:val="none"/>
          <w:lang w:val="en-US" w:eastAsia="zh-CN"/>
        </w:rPr>
        <w:t>8.09</w:t>
      </w:r>
      <w:r>
        <w:rPr>
          <w:rFonts w:hint="eastAsia" w:ascii="仿宋_GB2312" w:eastAsia="仿宋_GB2312"/>
          <w:color w:val="auto"/>
          <w:sz w:val="32"/>
          <w:szCs w:val="32"/>
          <w:highlight w:val="none"/>
        </w:rPr>
        <w:t>万元，主要包括：办公费、印刷费、</w:t>
      </w:r>
      <w:r>
        <w:rPr>
          <w:rFonts w:hint="eastAsia" w:ascii="仿宋_GB2312" w:eastAsia="仿宋_GB2312"/>
          <w:color w:val="auto"/>
          <w:sz w:val="32"/>
          <w:szCs w:val="32"/>
          <w:highlight w:val="none"/>
          <w:lang w:eastAsia="zh-CN"/>
        </w:rPr>
        <w:t>邮电费</w:t>
      </w:r>
      <w:r>
        <w:rPr>
          <w:rFonts w:hint="eastAsia" w:ascii="仿宋_GB2312" w:eastAsia="仿宋_GB2312"/>
          <w:color w:val="auto"/>
          <w:sz w:val="32"/>
          <w:szCs w:val="32"/>
          <w:highlight w:val="none"/>
        </w:rPr>
        <w:t>等。</w:t>
      </w:r>
    </w:p>
    <w:p>
      <w:pPr>
        <w:spacing w:line="580" w:lineRule="exact"/>
        <w:ind w:firstLine="600"/>
        <w:rPr>
          <w:rFonts w:ascii="楷体_GB2312" w:eastAsia="楷体_GB2312"/>
          <w:color w:val="auto"/>
          <w:sz w:val="32"/>
          <w:szCs w:val="32"/>
          <w:highlight w:val="none"/>
        </w:rPr>
      </w:pPr>
      <w:r>
        <w:rPr>
          <w:rFonts w:hint="eastAsia" w:ascii="楷体_GB2312" w:eastAsia="楷体_GB2312"/>
          <w:color w:val="auto"/>
          <w:sz w:val="32"/>
          <w:szCs w:val="32"/>
          <w:highlight w:val="none"/>
        </w:rPr>
        <w:t>（七）政府性基金预算财政拨款收入支出决算情况</w:t>
      </w:r>
    </w:p>
    <w:p>
      <w:pPr>
        <w:spacing w:line="580" w:lineRule="exact"/>
        <w:ind w:firstLine="640" w:firstLineChars="200"/>
        <w:rPr>
          <w:rFonts w:hint="eastAsia" w:ascii="仿宋_GB2312" w:eastAsia="仿宋_GB2312"/>
          <w:b w:val="0"/>
          <w:bCs/>
          <w:color w:val="auto"/>
          <w:sz w:val="32"/>
          <w:szCs w:val="32"/>
          <w:highlight w:val="none"/>
        </w:rPr>
      </w:pPr>
      <w:r>
        <w:rPr>
          <w:rFonts w:hint="eastAsia" w:ascii="仿宋_GB2312" w:eastAsia="仿宋_GB2312"/>
          <w:b w:val="0"/>
          <w:bCs/>
          <w:color w:val="auto"/>
          <w:sz w:val="32"/>
          <w:szCs w:val="32"/>
          <w:highlight w:val="none"/>
        </w:rPr>
        <w:t>本部门没有政府性基金财政拨款收支。</w:t>
      </w:r>
    </w:p>
    <w:p>
      <w:pPr>
        <w:spacing w:line="580" w:lineRule="exact"/>
        <w:ind w:firstLine="600"/>
        <w:rPr>
          <w:rFonts w:ascii="楷体_GB2312" w:eastAsia="楷体_GB2312"/>
          <w:color w:val="auto"/>
          <w:sz w:val="32"/>
          <w:szCs w:val="32"/>
          <w:highlight w:val="none"/>
        </w:rPr>
      </w:pPr>
      <w:r>
        <w:rPr>
          <w:rFonts w:hint="eastAsia" w:ascii="楷体_GB2312" w:eastAsia="楷体_GB2312"/>
          <w:color w:val="auto"/>
          <w:sz w:val="32"/>
          <w:szCs w:val="32"/>
          <w:highlight w:val="none"/>
        </w:rPr>
        <w:t>（八）一般公共预算财政拨款“三公”经费支出决算情况</w:t>
      </w:r>
    </w:p>
    <w:p>
      <w:pPr>
        <w:spacing w:line="580" w:lineRule="exact"/>
        <w:ind w:firstLine="600"/>
        <w:rPr>
          <w:rFonts w:ascii="仿宋_GB2312" w:eastAsia="仿宋_GB2312"/>
          <w:color w:val="auto"/>
          <w:sz w:val="32"/>
          <w:szCs w:val="32"/>
          <w:highlight w:val="none"/>
        </w:rPr>
      </w:pPr>
      <w:r>
        <w:rPr>
          <w:rFonts w:hint="eastAsia" w:ascii="仿宋_GB2312" w:eastAsia="仿宋_GB2312"/>
          <w:color w:val="auto"/>
          <w:sz w:val="32"/>
          <w:szCs w:val="32"/>
          <w:highlight w:val="none"/>
        </w:rPr>
        <w:t>1、“三公”经费支出情况及增减变动原因</w:t>
      </w:r>
    </w:p>
    <w:p>
      <w:pPr>
        <w:spacing w:line="580" w:lineRule="exact"/>
        <w:ind w:firstLine="600"/>
        <w:rPr>
          <w:rFonts w:ascii="仿宋_GB2312" w:eastAsia="仿宋_GB2312"/>
          <w:color w:val="auto"/>
          <w:sz w:val="32"/>
          <w:szCs w:val="32"/>
          <w:highlight w:val="none"/>
        </w:rPr>
      </w:pPr>
      <w:r>
        <w:rPr>
          <w:rFonts w:hint="eastAsia" w:ascii="仿宋_GB2312" w:hAnsi="宋体" w:eastAsia="仿宋_GB2312" w:cs="Courier New"/>
          <w:color w:val="auto"/>
          <w:sz w:val="32"/>
          <w:szCs w:val="32"/>
          <w:highlight w:val="none"/>
          <w:lang w:eastAsia="zh-CN"/>
        </w:rPr>
        <w:t>济宁市兖州区老龄工作委员会办公室</w:t>
      </w:r>
      <w:r>
        <w:rPr>
          <w:rFonts w:hint="eastAsia" w:ascii="仿宋_GB2312" w:eastAsia="仿宋_GB2312"/>
          <w:color w:val="auto"/>
          <w:sz w:val="32"/>
          <w:szCs w:val="32"/>
          <w:highlight w:val="none"/>
        </w:rPr>
        <w:t>2018年度一般公共预算财政拨款“三公”经费决算数为</w:t>
      </w:r>
      <w:r>
        <w:rPr>
          <w:rFonts w:hint="eastAsia" w:ascii="仿宋_GB2312" w:eastAsia="仿宋_GB2312"/>
          <w:color w:val="auto"/>
          <w:sz w:val="32"/>
          <w:szCs w:val="32"/>
          <w:highlight w:val="none"/>
          <w:lang w:val="en-US" w:eastAsia="zh-CN"/>
        </w:rPr>
        <w:t>0.05</w:t>
      </w:r>
      <w:r>
        <w:rPr>
          <w:rFonts w:hint="eastAsia" w:ascii="仿宋_GB2312" w:eastAsia="仿宋_GB2312"/>
          <w:color w:val="auto"/>
          <w:sz w:val="32"/>
          <w:szCs w:val="32"/>
          <w:highlight w:val="none"/>
        </w:rPr>
        <w:t>万元，其中：因公出国（境）费</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万元，公务用车购置及运行维护费</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万元，公务接待费</w:t>
      </w:r>
      <w:r>
        <w:rPr>
          <w:rFonts w:hint="eastAsia" w:ascii="仿宋_GB2312" w:eastAsia="仿宋_GB2312"/>
          <w:color w:val="auto"/>
          <w:sz w:val="32"/>
          <w:szCs w:val="32"/>
          <w:highlight w:val="none"/>
          <w:lang w:val="en-US" w:eastAsia="zh-CN"/>
        </w:rPr>
        <w:t>0.05</w:t>
      </w:r>
      <w:r>
        <w:rPr>
          <w:rFonts w:hint="eastAsia" w:ascii="仿宋_GB2312" w:eastAsia="仿宋_GB2312"/>
          <w:color w:val="auto"/>
          <w:sz w:val="32"/>
          <w:szCs w:val="32"/>
          <w:highlight w:val="none"/>
        </w:rPr>
        <w:t>万元。</w:t>
      </w:r>
    </w:p>
    <w:p>
      <w:pPr>
        <w:spacing w:line="580" w:lineRule="exact"/>
        <w:ind w:firstLine="592" w:firstLineChars="185"/>
        <w:rPr>
          <w:rFonts w:hint="eastAsia" w:ascii="仿宋_GB2312" w:eastAsia="仿宋_GB2312"/>
          <w:b/>
          <w:color w:val="auto"/>
          <w:sz w:val="32"/>
          <w:szCs w:val="32"/>
          <w:highlight w:val="none"/>
          <w:lang w:eastAsia="zh-CN"/>
        </w:rPr>
      </w:pPr>
      <w:r>
        <w:rPr>
          <w:rFonts w:hint="eastAsia" w:ascii="仿宋_GB2312" w:eastAsia="仿宋_GB2312"/>
          <w:color w:val="auto"/>
          <w:sz w:val="32"/>
          <w:szCs w:val="32"/>
          <w:highlight w:val="none"/>
        </w:rPr>
        <w:t>2018年“三公”经费决算比年初预算数减少</w:t>
      </w:r>
      <w:r>
        <w:rPr>
          <w:rFonts w:hint="eastAsia" w:ascii="仿宋_GB2312" w:eastAsia="仿宋_GB2312"/>
          <w:color w:val="auto"/>
          <w:sz w:val="32"/>
          <w:szCs w:val="32"/>
          <w:highlight w:val="none"/>
          <w:lang w:val="en-US" w:eastAsia="zh-CN"/>
        </w:rPr>
        <w:t>0.45</w:t>
      </w:r>
      <w:r>
        <w:rPr>
          <w:rFonts w:hint="eastAsia" w:ascii="仿宋_GB2312" w:eastAsia="仿宋_GB2312"/>
          <w:color w:val="auto"/>
          <w:sz w:val="32"/>
          <w:szCs w:val="32"/>
          <w:highlight w:val="none"/>
        </w:rPr>
        <w:t>万元，主要原因是</w:t>
      </w:r>
      <w:r>
        <w:rPr>
          <w:rFonts w:hint="eastAsia" w:ascii="仿宋_GB2312" w:eastAsia="仿宋_GB2312"/>
          <w:color w:val="auto"/>
          <w:sz w:val="32"/>
          <w:szCs w:val="32"/>
          <w:highlight w:val="none"/>
          <w:lang w:eastAsia="zh-CN"/>
        </w:rPr>
        <w:t>公务接待减少</w:t>
      </w:r>
      <w:r>
        <w:rPr>
          <w:rFonts w:hint="eastAsia" w:ascii="仿宋_GB2312" w:eastAsia="仿宋_GB2312"/>
          <w:color w:val="auto"/>
          <w:sz w:val="32"/>
          <w:szCs w:val="32"/>
          <w:highlight w:val="none"/>
        </w:rPr>
        <w:t>。其中：因公出国（境）费与2018年预算基本持平</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万元、公务用车购置及运行费与2018年预算基本持平0万元、公务接待费减少</w:t>
      </w:r>
      <w:r>
        <w:rPr>
          <w:rFonts w:hint="eastAsia" w:ascii="仿宋_GB2312" w:eastAsia="仿宋_GB2312"/>
          <w:color w:val="auto"/>
          <w:sz w:val="32"/>
          <w:szCs w:val="32"/>
          <w:highlight w:val="none"/>
          <w:lang w:val="en-US" w:eastAsia="zh-CN"/>
        </w:rPr>
        <w:t>0.45</w:t>
      </w:r>
      <w:r>
        <w:rPr>
          <w:rFonts w:hint="eastAsia" w:ascii="仿宋_GB2312" w:eastAsia="仿宋_GB2312"/>
          <w:color w:val="auto"/>
          <w:sz w:val="32"/>
          <w:szCs w:val="32"/>
          <w:highlight w:val="none"/>
        </w:rPr>
        <w:t>万元。公务接待费增加（减少）的主要原因是公务接待减少</w:t>
      </w:r>
      <w:r>
        <w:rPr>
          <w:rFonts w:hint="eastAsia" w:ascii="仿宋_GB2312" w:eastAsia="仿宋_GB2312"/>
          <w:color w:val="auto"/>
          <w:sz w:val="32"/>
          <w:szCs w:val="32"/>
          <w:highlight w:val="none"/>
          <w:lang w:eastAsia="zh-CN"/>
        </w:rPr>
        <w:t>。</w:t>
      </w:r>
    </w:p>
    <w:p>
      <w:pPr>
        <w:spacing w:line="580" w:lineRule="exact"/>
        <w:ind w:firstLine="600"/>
        <w:rPr>
          <w:rFonts w:ascii="仿宋_GB2312" w:eastAsia="仿宋_GB2312"/>
          <w:color w:val="auto"/>
          <w:sz w:val="32"/>
          <w:szCs w:val="32"/>
          <w:highlight w:val="none"/>
        </w:rPr>
      </w:pPr>
      <w:r>
        <w:rPr>
          <w:rFonts w:hint="eastAsia" w:ascii="仿宋_GB2312" w:eastAsia="仿宋_GB2312"/>
          <w:color w:val="auto"/>
          <w:sz w:val="32"/>
          <w:szCs w:val="32"/>
          <w:highlight w:val="none"/>
        </w:rPr>
        <w:t>2、“三公”经费支出相关情况说明</w:t>
      </w:r>
    </w:p>
    <w:p>
      <w:pPr>
        <w:spacing w:line="580" w:lineRule="exact"/>
        <w:ind w:firstLine="600"/>
        <w:rPr>
          <w:rFonts w:ascii="仿宋_GB2312" w:eastAsia="仿宋_GB2312"/>
          <w:b/>
          <w:color w:val="auto"/>
          <w:sz w:val="32"/>
          <w:szCs w:val="32"/>
          <w:highlight w:val="none"/>
        </w:rPr>
      </w:pPr>
      <w:r>
        <w:rPr>
          <w:rFonts w:hint="eastAsia" w:ascii="仿宋_GB2312" w:eastAsia="仿宋_GB2312"/>
          <w:color w:val="auto"/>
          <w:sz w:val="32"/>
          <w:szCs w:val="32"/>
          <w:highlight w:val="none"/>
        </w:rPr>
        <w:t>（1）因公出国（境）费指单位工作人员公务出国（境）的国际旅费、国外城市间交通费、住宿费、伙食费、培训费、公杂费等支出。2018年使用财政拨款安排</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单位，因公出国(境)团组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个，累计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w:t>
      </w:r>
      <w:r>
        <w:rPr>
          <w:rFonts w:hint="eastAsia" w:ascii="仿宋_GB2312" w:eastAsia="仿宋_GB2312"/>
          <w:color w:val="auto"/>
          <w:sz w:val="32"/>
          <w:szCs w:val="32"/>
          <w:highlight w:val="none"/>
          <w:lang w:eastAsia="zh-CN"/>
        </w:rPr>
        <w:t>无</w:t>
      </w:r>
      <w:r>
        <w:rPr>
          <w:rFonts w:hint="eastAsia" w:ascii="仿宋_GB2312" w:eastAsia="仿宋_GB2312"/>
          <w:color w:val="auto"/>
          <w:sz w:val="32"/>
          <w:szCs w:val="32"/>
          <w:highlight w:val="none"/>
        </w:rPr>
        <w:t>开支内容。</w:t>
      </w:r>
    </w:p>
    <w:p>
      <w:pPr>
        <w:spacing w:line="580" w:lineRule="exact"/>
        <w:ind w:firstLine="588" w:firstLineChars="184"/>
        <w:rPr>
          <w:rFonts w:ascii="仿宋_GB2312" w:eastAsia="仿宋_GB2312"/>
          <w:color w:val="auto"/>
          <w:sz w:val="32"/>
          <w:szCs w:val="32"/>
          <w:highlight w:val="none"/>
        </w:rPr>
      </w:pPr>
      <w:r>
        <w:rPr>
          <w:rFonts w:hint="eastAsia" w:ascii="仿宋_GB2312" w:eastAsia="仿宋_GB2312"/>
          <w:color w:val="auto"/>
          <w:sz w:val="32"/>
          <w:szCs w:val="32"/>
          <w:highlight w:val="none"/>
        </w:rPr>
        <w:t>（2）公务用车购置及运行维护费指单位公务用车购置费（含车辆购置税）及按规定保留的公务用车燃料费、维修费、过路过桥费、保险费等支出。其中：公务用车购置费</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万元。2018年</w:t>
      </w:r>
      <w:r>
        <w:rPr>
          <w:rFonts w:hint="eastAsia" w:ascii="仿宋_GB2312" w:eastAsia="仿宋_GB2312"/>
          <w:color w:val="auto"/>
          <w:sz w:val="32"/>
          <w:szCs w:val="32"/>
          <w:highlight w:val="none"/>
          <w:lang w:eastAsia="zh-CN"/>
        </w:rPr>
        <w:t>未</w:t>
      </w:r>
      <w:r>
        <w:rPr>
          <w:rFonts w:hint="eastAsia" w:ascii="仿宋_GB2312" w:eastAsia="仿宋_GB2312"/>
          <w:color w:val="auto"/>
          <w:sz w:val="32"/>
          <w:szCs w:val="32"/>
          <w:highlight w:val="none"/>
        </w:rPr>
        <w:t xml:space="preserve">使用财政拨款购置公务用车；公务用车运行维护费  </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万元。2018年单位财政拨款开支运行维护费的公务用车保有量为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580" w:lineRule="exact"/>
        <w:ind w:firstLine="601"/>
        <w:rPr>
          <w:rFonts w:ascii="仿宋_GB2312" w:eastAsia="仿宋_GB2312"/>
          <w:color w:val="auto"/>
          <w:sz w:val="32"/>
          <w:szCs w:val="32"/>
          <w:highlight w:val="none"/>
        </w:rPr>
      </w:pPr>
      <w:r>
        <w:rPr>
          <w:rFonts w:hint="eastAsia" w:ascii="仿宋_GB2312" w:eastAsia="仿宋_GB2312"/>
          <w:color w:val="auto"/>
          <w:sz w:val="32"/>
          <w:szCs w:val="32"/>
          <w:highlight w:val="none"/>
        </w:rPr>
        <w:t>（3）公务接待费指单位按规定开支的各类公务接待（含外宾接待）支出。其中：2018年公务接待全部为国内公务接待，主要用于</w:t>
      </w:r>
      <w:r>
        <w:rPr>
          <w:rFonts w:hint="eastAsia" w:ascii="仿宋_GB2312" w:eastAsia="仿宋_GB2312"/>
          <w:color w:val="auto"/>
          <w:sz w:val="32"/>
          <w:szCs w:val="32"/>
          <w:highlight w:val="none"/>
          <w:lang w:eastAsia="zh-CN"/>
        </w:rPr>
        <w:t>接待上级单位和其他县市区单位</w:t>
      </w:r>
      <w:r>
        <w:rPr>
          <w:rFonts w:hint="eastAsia" w:ascii="仿宋_GB2312" w:eastAsia="仿宋_GB2312"/>
          <w:color w:val="auto"/>
          <w:sz w:val="32"/>
          <w:szCs w:val="32"/>
          <w:highlight w:val="none"/>
        </w:rPr>
        <w:t>，共计接待</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19</w:t>
      </w:r>
      <w:r>
        <w:rPr>
          <w:rFonts w:hint="eastAsia" w:ascii="仿宋_GB2312" w:eastAsia="仿宋_GB2312"/>
          <w:color w:val="auto"/>
          <w:sz w:val="32"/>
          <w:szCs w:val="32"/>
          <w:highlight w:val="none"/>
        </w:rPr>
        <w:t>人次，其中外事接待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w:t>
      </w:r>
    </w:p>
    <w:p>
      <w:pPr>
        <w:spacing w:line="580" w:lineRule="exact"/>
        <w:ind w:firstLine="600"/>
        <w:rPr>
          <w:rFonts w:ascii="黑体" w:hAnsi="黑体" w:eastAsia="黑体"/>
          <w:color w:val="auto"/>
          <w:sz w:val="32"/>
          <w:szCs w:val="32"/>
          <w:highlight w:val="none"/>
        </w:rPr>
      </w:pPr>
      <w:r>
        <w:rPr>
          <w:rFonts w:hint="eastAsia" w:ascii="黑体" w:hAnsi="黑体" w:eastAsia="黑体"/>
          <w:color w:val="auto"/>
          <w:sz w:val="32"/>
          <w:szCs w:val="32"/>
          <w:highlight w:val="none"/>
        </w:rPr>
        <w:t>二、重要事项说明</w:t>
      </w:r>
    </w:p>
    <w:p>
      <w:pPr>
        <w:spacing w:line="580" w:lineRule="exact"/>
        <w:ind w:firstLine="601"/>
        <w:rPr>
          <w:rFonts w:ascii="楷体_GB2312" w:eastAsia="楷体_GB2312"/>
          <w:color w:val="auto"/>
          <w:sz w:val="32"/>
          <w:szCs w:val="32"/>
          <w:highlight w:val="none"/>
        </w:rPr>
      </w:pPr>
      <w:r>
        <w:rPr>
          <w:rFonts w:hint="eastAsia" w:ascii="楷体_GB2312" w:eastAsia="楷体_GB2312"/>
          <w:color w:val="auto"/>
          <w:sz w:val="32"/>
          <w:szCs w:val="32"/>
          <w:highlight w:val="none"/>
        </w:rPr>
        <w:t>（一）机关运行经费支出情况说明</w:t>
      </w:r>
    </w:p>
    <w:p>
      <w:pPr>
        <w:spacing w:line="580" w:lineRule="exact"/>
        <w:ind w:firstLine="601"/>
        <w:rPr>
          <w:rFonts w:ascii="仿宋_GB2312" w:eastAsia="仿宋_GB2312"/>
          <w:color w:val="auto"/>
          <w:sz w:val="32"/>
          <w:szCs w:val="32"/>
          <w:highlight w:val="none"/>
        </w:rPr>
      </w:pPr>
      <w:r>
        <w:rPr>
          <w:rFonts w:hint="eastAsia" w:ascii="仿宋_GB2312" w:eastAsia="仿宋_GB2312"/>
          <w:color w:val="auto"/>
          <w:sz w:val="32"/>
          <w:szCs w:val="32"/>
          <w:highlight w:val="none"/>
        </w:rPr>
        <w:t>2018年度，</w:t>
      </w:r>
      <w:r>
        <w:rPr>
          <w:rFonts w:hint="eastAsia" w:ascii="仿宋_GB2312" w:eastAsia="仿宋_GB2312"/>
          <w:color w:val="auto"/>
          <w:sz w:val="32"/>
          <w:szCs w:val="32"/>
          <w:highlight w:val="none"/>
          <w:lang w:eastAsia="zh-CN"/>
        </w:rPr>
        <w:t>济宁市兖州区老龄工作委员会办公室</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8.09</w:t>
      </w:r>
      <w:r>
        <w:rPr>
          <w:rFonts w:hint="eastAsia" w:ascii="仿宋_GB2312" w:eastAsia="仿宋_GB2312"/>
          <w:color w:val="auto"/>
          <w:sz w:val="32"/>
          <w:szCs w:val="32"/>
          <w:highlight w:val="none"/>
        </w:rPr>
        <w:t>万元，比2017年减少</w:t>
      </w:r>
      <w:r>
        <w:rPr>
          <w:rFonts w:hint="eastAsia" w:ascii="仿宋_GB2312" w:eastAsia="仿宋_GB2312"/>
          <w:color w:val="auto"/>
          <w:sz w:val="32"/>
          <w:szCs w:val="32"/>
          <w:highlight w:val="none"/>
          <w:lang w:val="en-US" w:eastAsia="zh-CN"/>
        </w:rPr>
        <w:t>0.51</w:t>
      </w:r>
      <w:r>
        <w:rPr>
          <w:rFonts w:hint="eastAsia" w:ascii="仿宋_GB2312" w:eastAsia="仿宋_GB2312"/>
          <w:color w:val="auto"/>
          <w:sz w:val="32"/>
          <w:szCs w:val="32"/>
          <w:highlight w:val="none"/>
        </w:rPr>
        <w:t>万元，减少</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%，与上年基本持平。</w:t>
      </w:r>
    </w:p>
    <w:p>
      <w:pPr>
        <w:spacing w:line="580" w:lineRule="exact"/>
        <w:ind w:firstLine="601"/>
        <w:rPr>
          <w:rFonts w:ascii="楷体_GB2312" w:eastAsia="楷体_GB2312"/>
          <w:color w:val="auto"/>
          <w:sz w:val="32"/>
          <w:szCs w:val="32"/>
          <w:highlight w:val="none"/>
        </w:rPr>
      </w:pPr>
      <w:r>
        <w:rPr>
          <w:rFonts w:hint="eastAsia" w:ascii="楷体_GB2312" w:eastAsia="楷体_GB2312"/>
          <w:color w:val="auto"/>
          <w:sz w:val="32"/>
          <w:szCs w:val="32"/>
          <w:highlight w:val="none"/>
        </w:rPr>
        <w:t>（二）政府采购支出情况说明</w:t>
      </w:r>
    </w:p>
    <w:p>
      <w:pPr>
        <w:autoSpaceDE w:val="0"/>
        <w:autoSpaceDN w:val="0"/>
        <w:adjustRightInd w:val="0"/>
        <w:ind w:firstLine="640" w:firstLineChars="200"/>
        <w:jc w:val="left"/>
        <w:rPr>
          <w:rFonts w:hint="eastAsia" w:ascii="仿宋_GB2312" w:eastAsia="仿宋_GB2312"/>
          <w:b w:val="0"/>
          <w:bCs/>
          <w:color w:val="auto"/>
          <w:sz w:val="32"/>
          <w:szCs w:val="32"/>
          <w:highlight w:val="none"/>
          <w:lang w:eastAsia="zh-CN"/>
        </w:rPr>
      </w:pPr>
      <w:r>
        <w:rPr>
          <w:rFonts w:hint="eastAsia" w:ascii="仿宋_GB2312" w:eastAsia="仿宋_GB2312"/>
          <w:b w:val="0"/>
          <w:bCs/>
          <w:color w:val="auto"/>
          <w:sz w:val="32"/>
          <w:szCs w:val="32"/>
          <w:highlight w:val="none"/>
        </w:rPr>
        <w:t>本年度内本部门无政府采购支出</w:t>
      </w:r>
      <w:r>
        <w:rPr>
          <w:rFonts w:hint="eastAsia" w:ascii="仿宋_GB2312" w:eastAsia="仿宋_GB2312"/>
          <w:b w:val="0"/>
          <w:bCs/>
          <w:color w:val="auto"/>
          <w:sz w:val="32"/>
          <w:szCs w:val="32"/>
          <w:highlight w:val="none"/>
          <w:lang w:eastAsia="zh-CN"/>
        </w:rPr>
        <w:t>。</w:t>
      </w:r>
    </w:p>
    <w:p>
      <w:pPr>
        <w:spacing w:line="580" w:lineRule="exact"/>
        <w:ind w:firstLine="600"/>
        <w:rPr>
          <w:rFonts w:ascii="楷体_GB2312" w:eastAsia="楷体_GB2312"/>
          <w:color w:val="auto"/>
          <w:sz w:val="32"/>
          <w:szCs w:val="32"/>
          <w:highlight w:val="none"/>
        </w:rPr>
      </w:pPr>
      <w:r>
        <w:rPr>
          <w:rFonts w:hint="eastAsia" w:ascii="楷体_GB2312" w:eastAsia="楷体_GB2312"/>
          <w:color w:val="auto"/>
          <w:sz w:val="32"/>
          <w:szCs w:val="32"/>
          <w:highlight w:val="none"/>
        </w:rPr>
        <w:t>（三）国有资产占用情况说明</w:t>
      </w:r>
    </w:p>
    <w:p>
      <w:pPr>
        <w:spacing w:line="580" w:lineRule="exact"/>
        <w:ind w:firstLine="600"/>
        <w:rPr>
          <w:rFonts w:ascii="仿宋_GB2312" w:hAnsi="宋体" w:eastAsia="仿宋_GB2312" w:cs="Courier New"/>
          <w:color w:val="auto"/>
          <w:sz w:val="32"/>
          <w:szCs w:val="32"/>
          <w:highlight w:val="none"/>
        </w:rPr>
      </w:pPr>
      <w:r>
        <w:rPr>
          <w:rFonts w:hint="eastAsia" w:ascii="仿宋_GB2312" w:hAnsi="宋体" w:eastAsia="仿宋_GB2312" w:cs="Courier New"/>
          <w:color w:val="auto"/>
          <w:sz w:val="32"/>
          <w:szCs w:val="32"/>
          <w:highlight w:val="none"/>
        </w:rPr>
        <w:t>截至2018年底，本部门共有车辆</w:t>
      </w:r>
      <w:r>
        <w:rPr>
          <w:rFonts w:hint="eastAsia" w:ascii="仿宋_GB2312" w:hAnsi="宋体" w:eastAsia="仿宋_GB2312" w:cs="Courier New"/>
          <w:color w:val="auto"/>
          <w:sz w:val="32"/>
          <w:szCs w:val="32"/>
          <w:highlight w:val="none"/>
          <w:lang w:val="en-US" w:eastAsia="zh-CN"/>
        </w:rPr>
        <w:t>0</w:t>
      </w:r>
      <w:r>
        <w:rPr>
          <w:rFonts w:hint="eastAsia" w:ascii="仿宋_GB2312" w:hAnsi="宋体" w:eastAsia="仿宋_GB2312" w:cs="Courier New"/>
          <w:color w:val="auto"/>
          <w:sz w:val="32"/>
          <w:szCs w:val="32"/>
          <w:highlight w:val="none"/>
        </w:rPr>
        <w:t>辆，其中，公务用车</w:t>
      </w:r>
      <w:r>
        <w:rPr>
          <w:rFonts w:hint="eastAsia" w:ascii="仿宋_GB2312" w:hAnsi="宋体" w:eastAsia="仿宋_GB2312" w:cs="Courier New"/>
          <w:color w:val="auto"/>
          <w:sz w:val="32"/>
          <w:szCs w:val="32"/>
          <w:highlight w:val="none"/>
          <w:lang w:val="en-US" w:eastAsia="zh-CN"/>
        </w:rPr>
        <w:t>0</w:t>
      </w:r>
      <w:r>
        <w:rPr>
          <w:rFonts w:hint="eastAsia" w:ascii="仿宋_GB2312" w:hAnsi="宋体" w:eastAsia="仿宋_GB2312" w:cs="Courier New"/>
          <w:color w:val="auto"/>
          <w:sz w:val="32"/>
          <w:szCs w:val="32"/>
          <w:highlight w:val="none"/>
        </w:rPr>
        <w:t>辆、一般执法执勤用车</w:t>
      </w:r>
      <w:r>
        <w:rPr>
          <w:rFonts w:hint="eastAsia" w:ascii="仿宋_GB2312" w:hAnsi="宋体" w:eastAsia="仿宋_GB2312" w:cs="Courier New"/>
          <w:color w:val="auto"/>
          <w:sz w:val="32"/>
          <w:szCs w:val="32"/>
          <w:highlight w:val="none"/>
          <w:lang w:val="en-US" w:eastAsia="zh-CN"/>
        </w:rPr>
        <w:t>0</w:t>
      </w:r>
      <w:r>
        <w:rPr>
          <w:rFonts w:hint="eastAsia" w:ascii="仿宋_GB2312" w:hAnsi="宋体" w:eastAsia="仿宋_GB2312" w:cs="Courier New"/>
          <w:color w:val="auto"/>
          <w:sz w:val="32"/>
          <w:szCs w:val="32"/>
          <w:highlight w:val="none"/>
        </w:rPr>
        <w:t>辆、特种专业技术用车</w:t>
      </w:r>
      <w:r>
        <w:rPr>
          <w:rFonts w:hint="eastAsia" w:ascii="仿宋_GB2312" w:hAnsi="宋体" w:eastAsia="仿宋_GB2312" w:cs="Courier New"/>
          <w:color w:val="auto"/>
          <w:sz w:val="32"/>
          <w:szCs w:val="32"/>
          <w:highlight w:val="none"/>
          <w:lang w:val="en-US" w:eastAsia="zh-CN"/>
        </w:rPr>
        <w:t>0</w:t>
      </w:r>
      <w:r>
        <w:rPr>
          <w:rFonts w:hint="eastAsia" w:ascii="仿宋_GB2312" w:hAnsi="宋体" w:eastAsia="仿宋_GB2312" w:cs="Courier New"/>
          <w:color w:val="auto"/>
          <w:sz w:val="32"/>
          <w:szCs w:val="32"/>
          <w:highlight w:val="none"/>
        </w:rPr>
        <w:t>辆、其他用车</w:t>
      </w:r>
      <w:r>
        <w:rPr>
          <w:rFonts w:hint="eastAsia" w:ascii="仿宋_GB2312" w:hAnsi="宋体" w:eastAsia="仿宋_GB2312" w:cs="Courier New"/>
          <w:color w:val="auto"/>
          <w:sz w:val="32"/>
          <w:szCs w:val="32"/>
          <w:highlight w:val="none"/>
          <w:lang w:val="en-US" w:eastAsia="zh-CN"/>
        </w:rPr>
        <w:t>0</w:t>
      </w:r>
      <w:r>
        <w:rPr>
          <w:rFonts w:hint="eastAsia" w:ascii="仿宋_GB2312" w:hAnsi="宋体" w:eastAsia="仿宋_GB2312" w:cs="Courier New"/>
          <w:color w:val="auto"/>
          <w:sz w:val="32"/>
          <w:szCs w:val="32"/>
          <w:highlight w:val="none"/>
        </w:rPr>
        <w:t>辆；单位价值50万元以上通用设备</w:t>
      </w:r>
      <w:r>
        <w:rPr>
          <w:rFonts w:hint="eastAsia" w:ascii="仿宋_GB2312" w:hAnsi="宋体" w:eastAsia="仿宋_GB2312" w:cs="Courier New"/>
          <w:color w:val="auto"/>
          <w:sz w:val="32"/>
          <w:szCs w:val="32"/>
          <w:highlight w:val="none"/>
          <w:lang w:val="en-US" w:eastAsia="zh-CN"/>
        </w:rPr>
        <w:t>0</w:t>
      </w:r>
      <w:r>
        <w:rPr>
          <w:rFonts w:hint="eastAsia" w:ascii="仿宋_GB2312" w:hAnsi="宋体" w:eastAsia="仿宋_GB2312" w:cs="Courier New"/>
          <w:color w:val="auto"/>
          <w:sz w:val="32"/>
          <w:szCs w:val="32"/>
          <w:highlight w:val="none"/>
        </w:rPr>
        <w:t>台（套），单位价值100万元以上专用设备</w:t>
      </w:r>
      <w:r>
        <w:rPr>
          <w:rFonts w:hint="eastAsia" w:ascii="仿宋_GB2312" w:hAnsi="宋体" w:eastAsia="仿宋_GB2312" w:cs="Courier New"/>
          <w:color w:val="auto"/>
          <w:sz w:val="32"/>
          <w:szCs w:val="32"/>
          <w:highlight w:val="none"/>
          <w:lang w:val="en-US" w:eastAsia="zh-CN"/>
        </w:rPr>
        <w:t>0</w:t>
      </w:r>
      <w:r>
        <w:rPr>
          <w:rFonts w:hint="eastAsia" w:ascii="仿宋_GB2312" w:hAnsi="宋体" w:eastAsia="仿宋_GB2312" w:cs="Courier New"/>
          <w:color w:val="auto"/>
          <w:sz w:val="32"/>
          <w:szCs w:val="32"/>
          <w:highlight w:val="none"/>
        </w:rPr>
        <w:t>台（套）。</w:t>
      </w:r>
    </w:p>
    <w:p>
      <w:pPr>
        <w:spacing w:line="580" w:lineRule="exact"/>
        <w:rPr>
          <w:rFonts w:ascii="楷体_GB2312" w:eastAsia="楷体_GB2312"/>
          <w:color w:val="auto"/>
          <w:sz w:val="32"/>
          <w:szCs w:val="32"/>
          <w:highlight w:val="none"/>
        </w:rPr>
      </w:pPr>
      <w:r>
        <w:rPr>
          <w:rFonts w:hint="eastAsia" w:ascii="仿宋_GB2312" w:eastAsia="仿宋_GB2312"/>
          <w:color w:val="auto"/>
          <w:sz w:val="32"/>
          <w:szCs w:val="32"/>
          <w:highlight w:val="none"/>
        </w:rPr>
        <w:t xml:space="preserve">    </w:t>
      </w:r>
      <w:r>
        <w:rPr>
          <w:rFonts w:hint="eastAsia" w:ascii="楷体_GB2312" w:eastAsia="楷体_GB2312"/>
          <w:color w:val="auto"/>
          <w:sz w:val="32"/>
          <w:szCs w:val="32"/>
          <w:highlight w:val="none"/>
        </w:rPr>
        <w:t>（四）预算绩效管理工作开展情况说明</w:t>
      </w:r>
    </w:p>
    <w:p>
      <w:pPr>
        <w:ind w:firstLine="640" w:firstLineChars="200"/>
        <w:rPr>
          <w:rFonts w:hint="eastAsia" w:ascii="仿宋_GB2312" w:eastAsia="仿宋_GB2312"/>
          <w:b w:val="0"/>
          <w:bCs/>
          <w:color w:val="auto"/>
          <w:sz w:val="32"/>
          <w:szCs w:val="32"/>
          <w:highlight w:val="none"/>
          <w:lang w:eastAsia="zh-CN"/>
        </w:rPr>
      </w:pPr>
      <w:r>
        <w:rPr>
          <w:rFonts w:hint="eastAsia" w:ascii="仿宋_GB2312" w:eastAsia="仿宋_GB2312"/>
          <w:b w:val="0"/>
          <w:bCs/>
          <w:color w:val="auto"/>
          <w:sz w:val="32"/>
          <w:szCs w:val="32"/>
          <w:highlight w:val="none"/>
          <w:lang w:eastAsia="zh-CN"/>
        </w:rPr>
        <w:t>无</w:t>
      </w:r>
      <w:r>
        <w:rPr>
          <w:rFonts w:hint="eastAsia" w:ascii="仿宋_GB2312" w:eastAsia="仿宋_GB2312"/>
          <w:b w:val="0"/>
          <w:bCs/>
          <w:color w:val="auto"/>
          <w:sz w:val="32"/>
          <w:szCs w:val="32"/>
          <w:highlight w:val="none"/>
        </w:rPr>
        <w:t>预算绩效管理工作</w:t>
      </w:r>
      <w:r>
        <w:rPr>
          <w:rFonts w:hint="eastAsia" w:ascii="仿宋_GB2312" w:eastAsia="仿宋_GB2312"/>
          <w:b w:val="0"/>
          <w:bCs/>
          <w:color w:val="auto"/>
          <w:sz w:val="32"/>
          <w:szCs w:val="32"/>
          <w:highlight w:val="none"/>
          <w:lang w:eastAsia="zh-CN"/>
        </w:rPr>
        <w:t>。</w:t>
      </w:r>
    </w:p>
    <w:p>
      <w:pPr>
        <w:rPr>
          <w:rFonts w:ascii="仿宋_GB2312" w:eastAsia="仿宋_GB2312"/>
          <w:b w:val="0"/>
          <w:bCs/>
          <w:color w:val="auto"/>
          <w:sz w:val="32"/>
          <w:szCs w:val="32"/>
          <w:highlight w:val="none"/>
        </w:rPr>
      </w:pPr>
    </w:p>
    <w:p>
      <w:pPr>
        <w:rPr>
          <w:rFonts w:ascii="仿宋_GB2312" w:eastAsia="仿宋_GB2312"/>
          <w:b/>
          <w:color w:val="auto"/>
          <w:sz w:val="32"/>
          <w:szCs w:val="32"/>
          <w:highlight w:val="none"/>
        </w:rPr>
      </w:pPr>
    </w:p>
    <w:p>
      <w:pPr>
        <w:rPr>
          <w:rFonts w:ascii="黑体" w:eastAsia="黑体"/>
          <w:b/>
          <w:color w:val="auto"/>
          <w:sz w:val="52"/>
          <w:szCs w:val="52"/>
          <w:highlight w:val="none"/>
        </w:rPr>
      </w:pPr>
    </w:p>
    <w:p>
      <w:pPr>
        <w:rPr>
          <w:rFonts w:ascii="黑体" w:eastAsia="黑体"/>
          <w:b/>
          <w:color w:val="auto"/>
          <w:sz w:val="52"/>
          <w:szCs w:val="52"/>
          <w:highlight w:val="none"/>
        </w:rPr>
      </w:pPr>
    </w:p>
    <w:p>
      <w:pPr>
        <w:rPr>
          <w:rFonts w:ascii="黑体" w:eastAsia="黑体"/>
          <w:b/>
          <w:color w:val="auto"/>
          <w:sz w:val="52"/>
          <w:szCs w:val="52"/>
          <w:highlight w:val="none"/>
        </w:rPr>
      </w:pPr>
    </w:p>
    <w:p>
      <w:pPr>
        <w:rPr>
          <w:rFonts w:ascii="黑体" w:eastAsia="黑体"/>
          <w:b/>
          <w:color w:val="auto"/>
          <w:sz w:val="52"/>
          <w:szCs w:val="52"/>
          <w:highlight w:val="none"/>
        </w:rPr>
      </w:pPr>
    </w:p>
    <w:p>
      <w:pPr>
        <w:rPr>
          <w:rFonts w:ascii="黑体" w:eastAsia="黑体"/>
          <w:color w:val="auto"/>
          <w:sz w:val="52"/>
          <w:szCs w:val="52"/>
          <w:highlight w:val="none"/>
        </w:rPr>
      </w:pPr>
      <w:r>
        <w:rPr>
          <w:rFonts w:hint="eastAsia" w:ascii="黑体" w:eastAsia="黑体"/>
          <w:color w:val="auto"/>
          <w:sz w:val="52"/>
          <w:szCs w:val="52"/>
          <w:highlight w:val="none"/>
        </w:rPr>
        <w:t>第四部分</w:t>
      </w:r>
    </w:p>
    <w:p>
      <w:pPr>
        <w:rPr>
          <w:rFonts w:ascii="黑体" w:eastAsia="黑体"/>
          <w:color w:val="auto"/>
          <w:sz w:val="52"/>
          <w:szCs w:val="52"/>
          <w:highlight w:val="none"/>
        </w:rPr>
      </w:pPr>
    </w:p>
    <w:p>
      <w:pPr>
        <w:rPr>
          <w:rFonts w:ascii="黑体" w:eastAsia="黑体"/>
          <w:color w:val="auto"/>
          <w:sz w:val="52"/>
          <w:szCs w:val="52"/>
          <w:highlight w:val="none"/>
        </w:rPr>
      </w:pPr>
    </w:p>
    <w:p>
      <w:pPr>
        <w:rPr>
          <w:rFonts w:ascii="黑体" w:eastAsia="黑体"/>
          <w:color w:val="auto"/>
          <w:sz w:val="52"/>
          <w:szCs w:val="52"/>
          <w:highlight w:val="none"/>
        </w:rPr>
      </w:pPr>
    </w:p>
    <w:p>
      <w:pPr>
        <w:jc w:val="center"/>
        <w:rPr>
          <w:rFonts w:ascii="黑体" w:eastAsia="黑体"/>
          <w:color w:val="auto"/>
          <w:sz w:val="52"/>
          <w:szCs w:val="52"/>
          <w:highlight w:val="none"/>
        </w:rPr>
      </w:pPr>
      <w:r>
        <w:rPr>
          <w:rFonts w:hint="eastAsia" w:ascii="黑体" w:eastAsia="黑体"/>
          <w:color w:val="auto"/>
          <w:sz w:val="52"/>
          <w:szCs w:val="52"/>
          <w:highlight w:val="none"/>
        </w:rPr>
        <w:t>名词解释</w:t>
      </w:r>
    </w:p>
    <w:p>
      <w:pPr>
        <w:rPr>
          <w:rFonts w:ascii="黑体" w:eastAsia="黑体"/>
          <w:b/>
          <w:color w:val="auto"/>
          <w:sz w:val="30"/>
          <w:szCs w:val="30"/>
          <w:highlight w:val="none"/>
        </w:rPr>
      </w:pPr>
    </w:p>
    <w:p>
      <w:pPr>
        <w:rPr>
          <w:rFonts w:ascii="黑体" w:eastAsia="黑体"/>
          <w:b/>
          <w:color w:val="auto"/>
          <w:sz w:val="30"/>
          <w:szCs w:val="30"/>
          <w:highlight w:val="none"/>
        </w:rPr>
      </w:pPr>
    </w:p>
    <w:p>
      <w:pPr>
        <w:rPr>
          <w:rFonts w:ascii="黑体" w:eastAsia="黑体"/>
          <w:b/>
          <w:color w:val="auto"/>
          <w:sz w:val="30"/>
          <w:szCs w:val="30"/>
          <w:highlight w:val="none"/>
        </w:rPr>
      </w:pPr>
    </w:p>
    <w:p>
      <w:pPr>
        <w:rPr>
          <w:rFonts w:ascii="黑体" w:eastAsia="黑体"/>
          <w:b/>
          <w:color w:val="auto"/>
          <w:sz w:val="30"/>
          <w:szCs w:val="30"/>
          <w:highlight w:val="none"/>
        </w:rPr>
      </w:pPr>
    </w:p>
    <w:p>
      <w:pPr>
        <w:rPr>
          <w:rFonts w:ascii="黑体" w:eastAsia="黑体"/>
          <w:b/>
          <w:color w:val="auto"/>
          <w:sz w:val="30"/>
          <w:szCs w:val="30"/>
          <w:highlight w:val="none"/>
        </w:rPr>
      </w:pPr>
    </w:p>
    <w:p>
      <w:pPr>
        <w:rPr>
          <w:rFonts w:ascii="黑体" w:eastAsia="黑体"/>
          <w:b/>
          <w:color w:val="auto"/>
          <w:sz w:val="30"/>
          <w:szCs w:val="30"/>
          <w:highlight w:val="none"/>
        </w:rPr>
      </w:pPr>
    </w:p>
    <w:p>
      <w:pPr>
        <w:rPr>
          <w:rFonts w:ascii="黑体" w:eastAsia="黑体"/>
          <w:b/>
          <w:color w:val="auto"/>
          <w:sz w:val="30"/>
          <w:szCs w:val="30"/>
          <w:highlight w:val="none"/>
        </w:rPr>
      </w:pPr>
    </w:p>
    <w:p>
      <w:pPr>
        <w:rPr>
          <w:rFonts w:ascii="黑体" w:eastAsia="黑体"/>
          <w:b/>
          <w:color w:val="auto"/>
          <w:sz w:val="30"/>
          <w:szCs w:val="30"/>
          <w:highlight w:val="none"/>
        </w:rPr>
      </w:pPr>
    </w:p>
    <w:p>
      <w:pPr>
        <w:rPr>
          <w:rFonts w:ascii="黑体" w:eastAsia="黑体"/>
          <w:b/>
          <w:color w:val="auto"/>
          <w:sz w:val="30"/>
          <w:szCs w:val="30"/>
          <w:highlight w:val="none"/>
        </w:rPr>
      </w:pPr>
    </w:p>
    <w:p>
      <w:pPr>
        <w:rPr>
          <w:rFonts w:ascii="黑体" w:eastAsia="黑体"/>
          <w:b/>
          <w:color w:val="auto"/>
          <w:sz w:val="30"/>
          <w:szCs w:val="30"/>
          <w:highlight w:val="none"/>
        </w:rPr>
      </w:pPr>
    </w:p>
    <w:p>
      <w:pPr>
        <w:spacing w:line="580" w:lineRule="exact"/>
        <w:ind w:firstLine="600"/>
        <w:rPr>
          <w:rFonts w:eastAsia="仿宋_GB2312"/>
          <w:color w:val="auto"/>
          <w:sz w:val="32"/>
          <w:szCs w:val="32"/>
          <w:highlight w:val="none"/>
        </w:rPr>
      </w:pPr>
      <w:r>
        <w:rPr>
          <w:rFonts w:hint="eastAsia" w:ascii="黑体" w:hAnsi="黑体" w:eastAsia="黑体"/>
          <w:color w:val="auto"/>
          <w:sz w:val="32"/>
          <w:szCs w:val="32"/>
          <w:highlight w:val="none"/>
        </w:rPr>
        <w:t>一、财政拨款收入：</w:t>
      </w:r>
      <w:r>
        <w:rPr>
          <w:rFonts w:hint="eastAsia" w:ascii="仿宋_GB2312" w:eastAsia="仿宋_GB2312"/>
          <w:color w:val="auto"/>
          <w:sz w:val="32"/>
          <w:szCs w:val="32"/>
          <w:highlight w:val="none"/>
        </w:rPr>
        <w:t>指单位本年度从同级财政部门取得的财政拨款。按现行管理制度，部门决算中反映的财政拨款包括一般公共预算财政拨款和政府性基金财政拨款。</w:t>
      </w:r>
    </w:p>
    <w:p>
      <w:pPr>
        <w:spacing w:line="580" w:lineRule="exact"/>
        <w:ind w:firstLine="640" w:firstLineChars="200"/>
        <w:rPr>
          <w:rFonts w:ascii="仿宋_GB2312" w:hAnsi="仿宋" w:eastAsia="仿宋_GB2312"/>
          <w:color w:val="auto"/>
          <w:sz w:val="32"/>
          <w:szCs w:val="32"/>
          <w:highlight w:val="none"/>
        </w:rPr>
      </w:pPr>
      <w:r>
        <w:rPr>
          <w:rFonts w:hint="eastAsia" w:ascii="黑体" w:hAnsi="黑体" w:eastAsia="黑体"/>
          <w:color w:val="auto"/>
          <w:sz w:val="32"/>
          <w:szCs w:val="32"/>
          <w:highlight w:val="none"/>
        </w:rPr>
        <w:t>二、上级补助收入：</w:t>
      </w:r>
      <w:r>
        <w:rPr>
          <w:rFonts w:hint="eastAsia" w:ascii="仿宋_GB2312" w:hAnsi="仿宋" w:eastAsia="仿宋_GB2312"/>
          <w:color w:val="auto"/>
          <w:sz w:val="32"/>
          <w:szCs w:val="32"/>
          <w:highlight w:val="none"/>
        </w:rPr>
        <w:t>指事业单位从主管部门和上级单位取得的非财政补助收入。</w:t>
      </w:r>
    </w:p>
    <w:p>
      <w:pPr>
        <w:spacing w:line="580" w:lineRule="exact"/>
        <w:ind w:firstLine="600"/>
        <w:rPr>
          <w:rFonts w:ascii="仿宋_GB2312" w:hAnsi="仿宋" w:eastAsia="仿宋_GB2312"/>
          <w:color w:val="auto"/>
          <w:sz w:val="32"/>
          <w:szCs w:val="32"/>
          <w:highlight w:val="none"/>
        </w:rPr>
      </w:pPr>
      <w:r>
        <w:rPr>
          <w:rFonts w:hint="eastAsia" w:ascii="黑体" w:hAnsi="黑体" w:eastAsia="黑体"/>
          <w:color w:val="auto"/>
          <w:sz w:val="32"/>
          <w:szCs w:val="32"/>
          <w:highlight w:val="none"/>
        </w:rPr>
        <w:t>三、事业收入：</w:t>
      </w:r>
      <w:r>
        <w:rPr>
          <w:rFonts w:hint="eastAsia" w:ascii="仿宋_GB2312" w:hAnsi="仿宋" w:eastAsia="仿宋_GB2312"/>
          <w:color w:val="auto"/>
          <w:sz w:val="32"/>
          <w:szCs w:val="32"/>
          <w:highlight w:val="none"/>
        </w:rPr>
        <w:t>指事业单位开展专业业务活动及其辅助活动取得的收入。包括事业单位收到的财政专户实际核拨的教育收费等。如：xx单位开展xx活动取得的xx收入……等。</w:t>
      </w:r>
    </w:p>
    <w:p>
      <w:pPr>
        <w:spacing w:line="580" w:lineRule="exact"/>
        <w:ind w:firstLine="600"/>
        <w:rPr>
          <w:rFonts w:ascii="仿宋_GB2312" w:hAnsi="仿宋" w:eastAsia="仿宋_GB2312"/>
          <w:color w:val="auto"/>
          <w:sz w:val="32"/>
          <w:szCs w:val="32"/>
          <w:highlight w:val="none"/>
        </w:rPr>
      </w:pPr>
      <w:r>
        <w:rPr>
          <w:rFonts w:hint="eastAsia" w:ascii="黑体" w:hAnsi="黑体" w:eastAsia="黑体"/>
          <w:color w:val="auto"/>
          <w:sz w:val="32"/>
          <w:szCs w:val="32"/>
          <w:highlight w:val="none"/>
        </w:rPr>
        <w:t>四、经营收入：</w:t>
      </w:r>
      <w:r>
        <w:rPr>
          <w:rFonts w:hint="eastAsia" w:ascii="仿宋_GB2312" w:hAnsi="仿宋" w:eastAsia="仿宋_GB2312"/>
          <w:color w:val="auto"/>
          <w:sz w:val="32"/>
          <w:szCs w:val="32"/>
          <w:highlight w:val="none"/>
        </w:rPr>
        <w:t>指事业单位在专业业务活动及其辅助活动之外开展非独立核算经营活动取得的收入。如xx单位开展xx活动取得的xx收入……等。</w:t>
      </w:r>
    </w:p>
    <w:p>
      <w:pPr>
        <w:spacing w:line="580" w:lineRule="exact"/>
        <w:ind w:firstLine="640" w:firstLineChars="200"/>
        <w:rPr>
          <w:rFonts w:ascii="仿宋_GB2312" w:hAnsi="仿宋" w:eastAsia="仿宋_GB2312"/>
          <w:color w:val="auto"/>
          <w:sz w:val="32"/>
          <w:szCs w:val="32"/>
          <w:highlight w:val="none"/>
        </w:rPr>
      </w:pPr>
      <w:r>
        <w:rPr>
          <w:rFonts w:hint="eastAsia" w:ascii="黑体" w:hAnsi="黑体" w:eastAsia="黑体"/>
          <w:color w:val="auto"/>
          <w:sz w:val="32"/>
          <w:szCs w:val="32"/>
          <w:highlight w:val="none"/>
        </w:rPr>
        <w:t>五、附属单位上缴收入：</w:t>
      </w:r>
      <w:r>
        <w:rPr>
          <w:rFonts w:hint="eastAsia" w:ascii="仿宋_GB2312" w:hAnsi="仿宋" w:eastAsia="仿宋_GB2312"/>
          <w:color w:val="auto"/>
          <w:sz w:val="32"/>
          <w:szCs w:val="32"/>
          <w:highlight w:val="none"/>
        </w:rPr>
        <w:t>指事业单位附属独立核算单位按照有关规定上缴的收入。</w:t>
      </w:r>
    </w:p>
    <w:p>
      <w:pPr>
        <w:spacing w:line="580" w:lineRule="exact"/>
        <w:ind w:firstLine="640" w:firstLineChars="200"/>
        <w:rPr>
          <w:rFonts w:ascii="仿宋_GB2312" w:hAnsi="仿宋" w:eastAsia="仿宋_GB2312"/>
          <w:color w:val="auto"/>
          <w:sz w:val="32"/>
          <w:szCs w:val="32"/>
          <w:highlight w:val="none"/>
        </w:rPr>
      </w:pPr>
      <w:r>
        <w:rPr>
          <w:rFonts w:hint="eastAsia" w:ascii="黑体" w:hAnsi="黑体" w:eastAsia="黑体"/>
          <w:color w:val="auto"/>
          <w:sz w:val="32"/>
          <w:szCs w:val="32"/>
          <w:highlight w:val="none"/>
        </w:rPr>
        <w:t>六、其他收入：</w:t>
      </w:r>
      <w:r>
        <w:rPr>
          <w:rFonts w:hint="eastAsia" w:ascii="仿宋_GB2312" w:hAnsi="仿宋" w:eastAsia="仿宋_GB2312"/>
          <w:color w:val="auto"/>
          <w:sz w:val="32"/>
          <w:szCs w:val="32"/>
          <w:highlight w:val="none"/>
        </w:rPr>
        <w:t>指单位取得的除上述“</w:t>
      </w:r>
      <w:r>
        <w:rPr>
          <w:rFonts w:hint="eastAsia" w:eastAsia="仿宋_GB2312"/>
          <w:color w:val="auto"/>
          <w:sz w:val="32"/>
          <w:szCs w:val="32"/>
          <w:highlight w:val="none"/>
        </w:rPr>
        <w:t>财政拨款收入</w:t>
      </w:r>
      <w:r>
        <w:rPr>
          <w:rFonts w:hint="eastAsia" w:ascii="仿宋_GB2312" w:hAnsi="仿宋" w:eastAsia="仿宋_GB2312"/>
          <w:color w:val="auto"/>
          <w:sz w:val="32"/>
          <w:szCs w:val="32"/>
          <w:highlight w:val="none"/>
        </w:rPr>
        <w:t>”、“上级补助收入”、“事业收入”、“经营收入”、“附属单位上缴收入”等以外的各项收入。</w:t>
      </w:r>
    </w:p>
    <w:p>
      <w:pPr>
        <w:spacing w:line="580" w:lineRule="exact"/>
        <w:ind w:firstLine="600"/>
        <w:rPr>
          <w:rFonts w:ascii="仿宋_GB2312" w:eastAsia="仿宋_GB2312"/>
          <w:color w:val="auto"/>
          <w:sz w:val="32"/>
          <w:szCs w:val="32"/>
          <w:highlight w:val="none"/>
        </w:rPr>
      </w:pPr>
      <w:r>
        <w:rPr>
          <w:rFonts w:hint="eastAsia" w:ascii="黑体" w:hAnsi="黑体" w:eastAsia="黑体"/>
          <w:color w:val="auto"/>
          <w:sz w:val="32"/>
          <w:szCs w:val="32"/>
          <w:highlight w:val="none"/>
        </w:rPr>
        <w:t>七、用事业基金弥补收支差额：</w:t>
      </w:r>
      <w:r>
        <w:rPr>
          <w:rFonts w:hint="eastAsia" w:ascii="仿宋_GB2312" w:eastAsia="仿宋_GB2312"/>
          <w:color w:val="auto"/>
          <w:sz w:val="32"/>
          <w:szCs w:val="32"/>
          <w:highlight w:val="none"/>
        </w:rPr>
        <w:t>指事业单位在用本年的“财政拨款收入”“事业收入”“经营收入”“其他收入”等不足以安排本年支出的情况下，使用以前年度积累的事业基金（事业单位当年收支相抵后按国家规定提取、用于弥补以后年度收支差额的基金）弥补本年度收支缺口的资金。</w:t>
      </w:r>
    </w:p>
    <w:p>
      <w:pPr>
        <w:spacing w:line="580" w:lineRule="exact"/>
        <w:ind w:firstLine="600"/>
        <w:rPr>
          <w:rFonts w:ascii="仿宋_GB2312" w:eastAsia="仿宋_GB2312"/>
          <w:color w:val="auto"/>
          <w:sz w:val="32"/>
          <w:szCs w:val="32"/>
          <w:highlight w:val="none"/>
        </w:rPr>
      </w:pPr>
      <w:r>
        <w:rPr>
          <w:rFonts w:hint="eastAsia" w:ascii="黑体" w:hAnsi="黑体" w:eastAsia="黑体"/>
          <w:color w:val="auto"/>
          <w:sz w:val="32"/>
          <w:szCs w:val="32"/>
          <w:highlight w:val="none"/>
        </w:rPr>
        <w:t>八、年初结转和结余：</w:t>
      </w:r>
      <w:r>
        <w:rPr>
          <w:rFonts w:hint="eastAsia" w:ascii="仿宋_GB2312" w:eastAsia="仿宋_GB2312"/>
          <w:color w:val="auto"/>
          <w:sz w:val="32"/>
          <w:szCs w:val="32"/>
          <w:highlight w:val="none"/>
        </w:rPr>
        <w:t>指以前年度尚未完成、结转到本年仍按原规定用途继续使用的资金，或项目已完成等产生的结余资金。</w:t>
      </w:r>
    </w:p>
    <w:p>
      <w:pPr>
        <w:spacing w:line="580" w:lineRule="exact"/>
        <w:ind w:firstLine="640" w:firstLineChars="200"/>
        <w:rPr>
          <w:rFonts w:ascii="仿宋_GB2312" w:hAnsi="仿宋" w:eastAsia="仿宋_GB2312"/>
          <w:color w:val="auto"/>
          <w:sz w:val="32"/>
          <w:szCs w:val="32"/>
          <w:highlight w:val="none"/>
        </w:rPr>
      </w:pPr>
      <w:r>
        <w:rPr>
          <w:rFonts w:hint="eastAsia" w:ascii="黑体" w:hAnsi="黑体" w:eastAsia="黑体"/>
          <w:color w:val="auto"/>
          <w:sz w:val="32"/>
          <w:szCs w:val="32"/>
          <w:highlight w:val="none"/>
        </w:rPr>
        <w:t>九、结余分配：</w:t>
      </w:r>
      <w:r>
        <w:rPr>
          <w:rFonts w:hint="eastAsia" w:ascii="仿宋_GB2312" w:hAnsi="仿宋" w:eastAsia="仿宋_GB2312"/>
          <w:color w:val="auto"/>
          <w:sz w:val="32"/>
          <w:szCs w:val="32"/>
          <w:highlight w:val="none"/>
        </w:rPr>
        <w:t>指事业单位按照《事业单位会计制度》的规定从非财政补助结余中分配的事业基金和职工福利基金等。</w:t>
      </w:r>
    </w:p>
    <w:p>
      <w:pPr>
        <w:spacing w:line="580" w:lineRule="exact"/>
        <w:ind w:firstLine="640" w:firstLineChars="200"/>
        <w:rPr>
          <w:rFonts w:ascii="仿宋_GB2312" w:hAnsi="仿宋" w:eastAsia="仿宋_GB2312"/>
          <w:color w:val="auto"/>
          <w:sz w:val="32"/>
          <w:szCs w:val="32"/>
          <w:highlight w:val="none"/>
        </w:rPr>
      </w:pPr>
      <w:r>
        <w:rPr>
          <w:rFonts w:hint="eastAsia" w:ascii="黑体" w:hAnsi="黑体" w:eastAsia="黑体"/>
          <w:color w:val="auto"/>
          <w:sz w:val="32"/>
          <w:szCs w:val="32"/>
          <w:highlight w:val="none"/>
        </w:rPr>
        <w:t>十、年末结转和结余：</w:t>
      </w:r>
      <w:r>
        <w:rPr>
          <w:rFonts w:hint="eastAsia" w:ascii="仿宋_GB2312" w:hAnsi="仿宋" w:eastAsia="仿宋_GB2312"/>
          <w:color w:val="auto"/>
          <w:sz w:val="32"/>
          <w:szCs w:val="32"/>
          <w:highlight w:val="none"/>
        </w:rPr>
        <w:t>指单位按照有关规定结转到下年继续使用的资金，或项目已完成等产生的结余资金。</w:t>
      </w:r>
    </w:p>
    <w:p>
      <w:pPr>
        <w:spacing w:line="580" w:lineRule="exact"/>
        <w:ind w:firstLine="600"/>
        <w:rPr>
          <w:rFonts w:ascii="仿宋_GB2312" w:eastAsia="仿宋_GB2312"/>
          <w:color w:val="auto"/>
          <w:sz w:val="32"/>
          <w:szCs w:val="32"/>
          <w:highlight w:val="none"/>
        </w:rPr>
      </w:pPr>
      <w:r>
        <w:rPr>
          <w:rFonts w:hint="eastAsia" w:ascii="黑体" w:hAnsi="黑体" w:eastAsia="黑体"/>
          <w:color w:val="auto"/>
          <w:sz w:val="32"/>
          <w:szCs w:val="32"/>
          <w:highlight w:val="none"/>
        </w:rPr>
        <w:t>十一、基本支出：</w:t>
      </w:r>
      <w:r>
        <w:rPr>
          <w:rFonts w:hint="eastAsia" w:ascii="仿宋_GB2312" w:eastAsia="仿宋_GB2312"/>
          <w:color w:val="auto"/>
          <w:sz w:val="32"/>
          <w:szCs w:val="32"/>
          <w:highlight w:val="none"/>
        </w:rPr>
        <w:t>指单位为保障其机构正常运转、完成日常工作任务而发生的各项支出。</w:t>
      </w:r>
    </w:p>
    <w:p>
      <w:pPr>
        <w:spacing w:line="580" w:lineRule="exact"/>
        <w:ind w:firstLine="600"/>
        <w:rPr>
          <w:rFonts w:ascii="仿宋_GB2312" w:eastAsia="仿宋_GB2312"/>
          <w:color w:val="auto"/>
          <w:sz w:val="32"/>
          <w:szCs w:val="32"/>
          <w:highlight w:val="none"/>
        </w:rPr>
      </w:pPr>
      <w:r>
        <w:rPr>
          <w:rFonts w:hint="eastAsia" w:ascii="黑体" w:hAnsi="黑体" w:eastAsia="黑体"/>
          <w:color w:val="auto"/>
          <w:sz w:val="32"/>
          <w:szCs w:val="32"/>
          <w:highlight w:val="none"/>
        </w:rPr>
        <w:t>十二、项目支出：</w:t>
      </w:r>
      <w:r>
        <w:rPr>
          <w:rFonts w:hint="eastAsia" w:ascii="仿宋_GB2312" w:eastAsia="仿宋_GB2312"/>
          <w:color w:val="auto"/>
          <w:sz w:val="32"/>
          <w:szCs w:val="32"/>
          <w:highlight w:val="none"/>
        </w:rPr>
        <w:t>指单位在基本支出之外为完成特定的工作任务或事业发展目标所发生的支出。</w:t>
      </w:r>
    </w:p>
    <w:p>
      <w:pPr>
        <w:spacing w:line="58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w:t>
      </w:r>
      <w:r>
        <w:rPr>
          <w:rFonts w:hint="eastAsia" w:ascii="黑体" w:hAnsi="黑体" w:eastAsia="黑体"/>
          <w:color w:val="auto"/>
          <w:sz w:val="32"/>
          <w:szCs w:val="32"/>
          <w:highlight w:val="none"/>
        </w:rPr>
        <w:t>十三、经营支出：</w:t>
      </w:r>
      <w:r>
        <w:rPr>
          <w:rFonts w:hint="eastAsia" w:ascii="仿宋_GB2312" w:eastAsia="仿宋_GB2312"/>
          <w:color w:val="auto"/>
          <w:sz w:val="32"/>
          <w:szCs w:val="32"/>
          <w:highlight w:val="none"/>
        </w:rPr>
        <w:t>指事业单位在专业业务活动及其辅助活动之外开展非独立核算经营活动发生的支出。</w:t>
      </w:r>
    </w:p>
    <w:p>
      <w:pPr>
        <w:spacing w:line="580" w:lineRule="exact"/>
        <w:ind w:firstLine="600"/>
        <w:rPr>
          <w:rFonts w:ascii="仿宋_GB2312" w:eastAsia="仿宋_GB2312"/>
          <w:color w:val="auto"/>
          <w:sz w:val="32"/>
          <w:szCs w:val="32"/>
          <w:highlight w:val="none"/>
        </w:rPr>
      </w:pPr>
      <w:r>
        <w:rPr>
          <w:rFonts w:hint="eastAsia" w:ascii="黑体" w:hAnsi="黑体" w:eastAsia="黑体"/>
          <w:color w:val="auto"/>
          <w:sz w:val="32"/>
          <w:szCs w:val="32"/>
          <w:highlight w:val="none"/>
        </w:rPr>
        <w:t>十四、“三公”经费：</w:t>
      </w:r>
      <w:r>
        <w:rPr>
          <w:rFonts w:hint="eastAsia" w:ascii="仿宋_GB2312" w:eastAsia="仿宋_GB2312"/>
          <w:color w:val="auto"/>
          <w:sz w:val="32"/>
          <w:szCs w:val="32"/>
          <w:highlight w:val="none"/>
        </w:rPr>
        <w:t>纳入市级财政预决算管理的“三公”经费，是指市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费（含车辆购置税）及按规定保留的公务用车燃料费、维修费、过路过桥费、保险费等支出；公务接待费反映单位按规定开支的各类公务接待（含外宾接待）支出。</w:t>
      </w:r>
    </w:p>
    <w:p>
      <w:pPr>
        <w:spacing w:line="580" w:lineRule="exact"/>
        <w:ind w:firstLine="640" w:firstLineChars="200"/>
        <w:rPr>
          <w:rFonts w:ascii="仿宋_GB2312" w:eastAsia="仿宋_GB2312"/>
          <w:color w:val="auto"/>
          <w:sz w:val="32"/>
          <w:szCs w:val="32"/>
          <w:highlight w:val="none"/>
        </w:rPr>
      </w:pPr>
      <w:r>
        <w:rPr>
          <w:rFonts w:hint="eastAsia" w:ascii="黑体" w:hAnsi="黑体" w:eastAsia="黑体"/>
          <w:color w:val="auto"/>
          <w:sz w:val="32"/>
          <w:szCs w:val="32"/>
          <w:highlight w:val="none"/>
        </w:rPr>
        <w:t>十五、机关运行经费：</w:t>
      </w:r>
      <w:r>
        <w:rPr>
          <w:rFonts w:hint="eastAsia" w:ascii="仿宋_GB2312" w:eastAsia="仿宋_GB2312"/>
          <w:color w:val="auto"/>
          <w:sz w:val="32"/>
          <w:szCs w:val="32"/>
          <w:highlight w:val="none"/>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pPr>
        <w:spacing w:line="580" w:lineRule="exact"/>
        <w:ind w:firstLine="600"/>
        <w:rPr>
          <w:rFonts w:ascii="仿宋_GB2312" w:eastAsia="仿宋_GB2312"/>
          <w:color w:val="auto"/>
          <w:sz w:val="32"/>
          <w:szCs w:val="32"/>
          <w:highlight w:val="none"/>
        </w:rPr>
      </w:pPr>
      <w:r>
        <w:rPr>
          <w:rFonts w:hint="eastAsia" w:ascii="黑体" w:hAnsi="黑体" w:eastAsia="黑体"/>
          <w:color w:val="auto"/>
          <w:sz w:val="32"/>
          <w:szCs w:val="32"/>
          <w:highlight w:val="none"/>
        </w:rPr>
        <w:t>十六、一般公共服务（类）财政事务（款）行政运行（项）：</w:t>
      </w:r>
      <w:r>
        <w:rPr>
          <w:rFonts w:hint="eastAsia" w:ascii="仿宋_GB2312" w:eastAsia="仿宋_GB2312"/>
          <w:color w:val="auto"/>
          <w:sz w:val="32"/>
          <w:szCs w:val="32"/>
          <w:highlight w:val="none"/>
        </w:rPr>
        <w:t>反映xx部门行政单位（包括实行公务员管理的事业单位）的基本支出。</w:t>
      </w:r>
    </w:p>
    <w:p>
      <w:pPr>
        <w:spacing w:line="580" w:lineRule="exact"/>
        <w:ind w:firstLine="600"/>
        <w:rPr>
          <w:rFonts w:ascii="黑体" w:hAnsi="黑体" w:eastAsia="黑体"/>
          <w:color w:val="auto"/>
          <w:sz w:val="32"/>
          <w:szCs w:val="32"/>
          <w:highlight w:val="none"/>
        </w:rPr>
      </w:pPr>
      <w:r>
        <w:rPr>
          <w:rFonts w:hint="eastAsia" w:ascii="黑体" w:hAnsi="黑体" w:eastAsia="黑体"/>
          <w:color w:val="auto"/>
          <w:sz w:val="32"/>
          <w:szCs w:val="32"/>
          <w:highlight w:val="none"/>
        </w:rPr>
        <w:t>十七、一般公共服务（类）财政事务（款）一般行政管理事务（项）：</w:t>
      </w:r>
      <w:r>
        <w:rPr>
          <w:rFonts w:hint="eastAsia" w:ascii="仿宋_GB2312" w:eastAsia="仿宋_GB2312"/>
          <w:color w:val="auto"/>
          <w:sz w:val="32"/>
          <w:szCs w:val="32"/>
          <w:highlight w:val="none"/>
        </w:rPr>
        <w:t>反映xx部门行政单位（包括实行公务员管理的事业单位）未单独设置项级科目的其他项目支出。</w:t>
      </w:r>
    </w:p>
    <w:p>
      <w:pPr>
        <w:spacing w:line="58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w:t>
      </w:r>
    </w:p>
    <w:p>
      <w:pPr>
        <w:spacing w:line="580" w:lineRule="exact"/>
        <w:ind w:firstLine="640" w:firstLineChars="200"/>
        <w:rPr>
          <w:rFonts w:ascii="仿宋_GB2312" w:eastAsia="仿宋_GB2312"/>
          <w:color w:val="auto"/>
          <w:sz w:val="32"/>
          <w:szCs w:val="32"/>
        </w:rPr>
      </w:pPr>
    </w:p>
    <w:p>
      <w:pPr>
        <w:spacing w:line="580" w:lineRule="exact"/>
        <w:ind w:firstLine="640" w:firstLineChars="200"/>
        <w:rPr>
          <w:rFonts w:ascii="仿宋_GB2312" w:eastAsia="仿宋_GB2312"/>
          <w:color w:val="auto"/>
          <w:sz w:val="32"/>
          <w:szCs w:val="32"/>
        </w:rPr>
      </w:pPr>
    </w:p>
    <w:p>
      <w:pPr>
        <w:spacing w:line="580" w:lineRule="exact"/>
        <w:rPr>
          <w:rFonts w:ascii="仿宋_GB2312" w:eastAsia="仿宋_GB2312"/>
          <w:color w:val="auto"/>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文星简大标宋">
    <w:altName w:val="微软雅黑"/>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AFC369"/>
    <w:multiLevelType w:val="singleLevel"/>
    <w:tmpl w:val="8CAFC369"/>
    <w:lvl w:ilvl="0" w:tentative="0">
      <w:start w:val="1"/>
      <w:numFmt w:val="decimal"/>
      <w:lvlText w:val="%1."/>
      <w:lvlJc w:val="left"/>
      <w:pPr>
        <w:tabs>
          <w:tab w:val="left" w:pos="312"/>
        </w:tabs>
      </w:pPr>
    </w:lvl>
  </w:abstractNum>
  <w:abstractNum w:abstractNumId="1">
    <w:nsid w:val="6E5F0312"/>
    <w:multiLevelType w:val="multilevel"/>
    <w:tmpl w:val="6E5F0312"/>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440"/>
    <w:rsid w:val="00003E5B"/>
    <w:rsid w:val="00006FF7"/>
    <w:rsid w:val="00027A87"/>
    <w:rsid w:val="000328FA"/>
    <w:rsid w:val="000345DF"/>
    <w:rsid w:val="00046FD8"/>
    <w:rsid w:val="00074B56"/>
    <w:rsid w:val="000A4A01"/>
    <w:rsid w:val="000C668A"/>
    <w:rsid w:val="000F3B1D"/>
    <w:rsid w:val="001124E9"/>
    <w:rsid w:val="00124F11"/>
    <w:rsid w:val="00124FD4"/>
    <w:rsid w:val="001461DD"/>
    <w:rsid w:val="00147D1A"/>
    <w:rsid w:val="00150B20"/>
    <w:rsid w:val="00173140"/>
    <w:rsid w:val="00187893"/>
    <w:rsid w:val="001A33D7"/>
    <w:rsid w:val="001B797C"/>
    <w:rsid w:val="001C512A"/>
    <w:rsid w:val="001C7AAD"/>
    <w:rsid w:val="001E156C"/>
    <w:rsid w:val="001F1CB8"/>
    <w:rsid w:val="00203023"/>
    <w:rsid w:val="00211108"/>
    <w:rsid w:val="002332CA"/>
    <w:rsid w:val="002341AC"/>
    <w:rsid w:val="00246365"/>
    <w:rsid w:val="00250D29"/>
    <w:rsid w:val="00252592"/>
    <w:rsid w:val="00287E57"/>
    <w:rsid w:val="00291093"/>
    <w:rsid w:val="002C14BE"/>
    <w:rsid w:val="002C37F7"/>
    <w:rsid w:val="002E1DFD"/>
    <w:rsid w:val="002E3EF1"/>
    <w:rsid w:val="00300C82"/>
    <w:rsid w:val="00302CE8"/>
    <w:rsid w:val="003113C7"/>
    <w:rsid w:val="0031641E"/>
    <w:rsid w:val="00336092"/>
    <w:rsid w:val="0035121D"/>
    <w:rsid w:val="0039152C"/>
    <w:rsid w:val="0039416A"/>
    <w:rsid w:val="003A6F38"/>
    <w:rsid w:val="003C149E"/>
    <w:rsid w:val="003E3FC6"/>
    <w:rsid w:val="003F683C"/>
    <w:rsid w:val="00417AB3"/>
    <w:rsid w:val="004251AA"/>
    <w:rsid w:val="00450E1C"/>
    <w:rsid w:val="00457392"/>
    <w:rsid w:val="004746CA"/>
    <w:rsid w:val="00484012"/>
    <w:rsid w:val="004B21DB"/>
    <w:rsid w:val="004D7F4B"/>
    <w:rsid w:val="004F6AC3"/>
    <w:rsid w:val="00504CEA"/>
    <w:rsid w:val="00533CEC"/>
    <w:rsid w:val="00543695"/>
    <w:rsid w:val="00560997"/>
    <w:rsid w:val="00577A60"/>
    <w:rsid w:val="005A5907"/>
    <w:rsid w:val="005C5EBA"/>
    <w:rsid w:val="005D7122"/>
    <w:rsid w:val="0065353C"/>
    <w:rsid w:val="00654F6B"/>
    <w:rsid w:val="006745FA"/>
    <w:rsid w:val="006A4CEC"/>
    <w:rsid w:val="006B0A06"/>
    <w:rsid w:val="006B6B2F"/>
    <w:rsid w:val="006C3684"/>
    <w:rsid w:val="006C79F1"/>
    <w:rsid w:val="006D68CE"/>
    <w:rsid w:val="0070052C"/>
    <w:rsid w:val="0070713A"/>
    <w:rsid w:val="00727759"/>
    <w:rsid w:val="00762471"/>
    <w:rsid w:val="00762BCE"/>
    <w:rsid w:val="00765553"/>
    <w:rsid w:val="00772737"/>
    <w:rsid w:val="00772BA7"/>
    <w:rsid w:val="00790286"/>
    <w:rsid w:val="00796669"/>
    <w:rsid w:val="007B2D34"/>
    <w:rsid w:val="007B7872"/>
    <w:rsid w:val="008023CF"/>
    <w:rsid w:val="0081323F"/>
    <w:rsid w:val="00823CDE"/>
    <w:rsid w:val="008241CB"/>
    <w:rsid w:val="00824880"/>
    <w:rsid w:val="0082653B"/>
    <w:rsid w:val="00834440"/>
    <w:rsid w:val="0084275E"/>
    <w:rsid w:val="00857E55"/>
    <w:rsid w:val="008857D8"/>
    <w:rsid w:val="008B1AEA"/>
    <w:rsid w:val="008C2CB9"/>
    <w:rsid w:val="00914BD8"/>
    <w:rsid w:val="00941B09"/>
    <w:rsid w:val="00967BEA"/>
    <w:rsid w:val="00971361"/>
    <w:rsid w:val="00986BB5"/>
    <w:rsid w:val="009B0DA3"/>
    <w:rsid w:val="009C5B96"/>
    <w:rsid w:val="009D4DDA"/>
    <w:rsid w:val="009E3107"/>
    <w:rsid w:val="009E4B06"/>
    <w:rsid w:val="00A401E6"/>
    <w:rsid w:val="00A86066"/>
    <w:rsid w:val="00A9359D"/>
    <w:rsid w:val="00AC3D9B"/>
    <w:rsid w:val="00AC7F84"/>
    <w:rsid w:val="00AD430D"/>
    <w:rsid w:val="00AF66C3"/>
    <w:rsid w:val="00B20EE8"/>
    <w:rsid w:val="00B23C3D"/>
    <w:rsid w:val="00B24E0E"/>
    <w:rsid w:val="00B57EFD"/>
    <w:rsid w:val="00B60B53"/>
    <w:rsid w:val="00B641F1"/>
    <w:rsid w:val="00B64536"/>
    <w:rsid w:val="00B740D0"/>
    <w:rsid w:val="00B83A79"/>
    <w:rsid w:val="00B9411C"/>
    <w:rsid w:val="00BA6768"/>
    <w:rsid w:val="00BB007F"/>
    <w:rsid w:val="00BB0FCA"/>
    <w:rsid w:val="00BE75BF"/>
    <w:rsid w:val="00BF0F72"/>
    <w:rsid w:val="00BF0FAD"/>
    <w:rsid w:val="00C02AEE"/>
    <w:rsid w:val="00C254B0"/>
    <w:rsid w:val="00C57FB8"/>
    <w:rsid w:val="00C7067D"/>
    <w:rsid w:val="00C7441E"/>
    <w:rsid w:val="00C80A9F"/>
    <w:rsid w:val="00CB679D"/>
    <w:rsid w:val="00CC162C"/>
    <w:rsid w:val="00CC36CA"/>
    <w:rsid w:val="00CC43BE"/>
    <w:rsid w:val="00CC5922"/>
    <w:rsid w:val="00CC5F8E"/>
    <w:rsid w:val="00CD380D"/>
    <w:rsid w:val="00CE3890"/>
    <w:rsid w:val="00CF1C91"/>
    <w:rsid w:val="00D17472"/>
    <w:rsid w:val="00D1769C"/>
    <w:rsid w:val="00D516F3"/>
    <w:rsid w:val="00D61F63"/>
    <w:rsid w:val="00D86C5A"/>
    <w:rsid w:val="00D94351"/>
    <w:rsid w:val="00DA2B56"/>
    <w:rsid w:val="00DA6582"/>
    <w:rsid w:val="00DC4A12"/>
    <w:rsid w:val="00DC4F2C"/>
    <w:rsid w:val="00DC6101"/>
    <w:rsid w:val="00DC7E1B"/>
    <w:rsid w:val="00DD53CA"/>
    <w:rsid w:val="00DF624E"/>
    <w:rsid w:val="00E0706F"/>
    <w:rsid w:val="00E4100E"/>
    <w:rsid w:val="00E43CAE"/>
    <w:rsid w:val="00E702ED"/>
    <w:rsid w:val="00E76695"/>
    <w:rsid w:val="00F4023D"/>
    <w:rsid w:val="00F4319D"/>
    <w:rsid w:val="00F50DA7"/>
    <w:rsid w:val="00F70F13"/>
    <w:rsid w:val="00F818F5"/>
    <w:rsid w:val="00F94037"/>
    <w:rsid w:val="00F94085"/>
    <w:rsid w:val="00FB18F7"/>
    <w:rsid w:val="00FD2501"/>
    <w:rsid w:val="00FE1E6C"/>
    <w:rsid w:val="00FE629B"/>
    <w:rsid w:val="00FE7C77"/>
    <w:rsid w:val="07F52DB2"/>
    <w:rsid w:val="08150045"/>
    <w:rsid w:val="0B306157"/>
    <w:rsid w:val="147163A3"/>
    <w:rsid w:val="14FA7DA2"/>
    <w:rsid w:val="381C30AE"/>
    <w:rsid w:val="47102FDC"/>
    <w:rsid w:val="5B683A10"/>
    <w:rsid w:val="5D2845CB"/>
    <w:rsid w:val="6DE25C98"/>
    <w:rsid w:val="733352C0"/>
    <w:rsid w:val="7638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5"/>
    <w:qFormat/>
    <w:uiPriority w:val="99"/>
    <w:pPr>
      <w:spacing w:after="120"/>
    </w:pPr>
    <w:rPr>
      <w:rFonts w:ascii="Times New Roman" w:hAnsi="Times New Roman" w:eastAsia="宋体" w:cs="Times New Roman"/>
      <w:szCs w:val="24"/>
    </w:rPr>
  </w:style>
  <w:style w:type="paragraph" w:styleId="3">
    <w:name w:val="Plain Text"/>
    <w:basedOn w:val="1"/>
    <w:link w:val="21"/>
    <w:qFormat/>
    <w:uiPriority w:val="0"/>
    <w:rPr>
      <w:rFonts w:ascii="宋体" w:hAnsi="Courier New" w:eastAsia="宋体" w:cs="Courier New"/>
      <w:szCs w:val="21"/>
    </w:rPr>
  </w:style>
  <w:style w:type="paragraph" w:styleId="4">
    <w:name w:val="Date"/>
    <w:basedOn w:val="1"/>
    <w:next w:val="1"/>
    <w:link w:val="14"/>
    <w:unhideWhenUsed/>
    <w:qFormat/>
    <w:uiPriority w:val="99"/>
    <w:pPr>
      <w:ind w:left="100" w:leftChars="2500"/>
    </w:pPr>
  </w:style>
  <w:style w:type="paragraph" w:styleId="5">
    <w:name w:val="Balloon Text"/>
    <w:basedOn w:val="1"/>
    <w:link w:val="16"/>
    <w:unhideWhenUsed/>
    <w:qFormat/>
    <w:uiPriority w:val="0"/>
    <w:rPr>
      <w:sz w:val="18"/>
      <w:szCs w:val="18"/>
    </w:rPr>
  </w:style>
  <w:style w:type="paragraph" w:styleId="6">
    <w:name w:val="footer"/>
    <w:basedOn w:val="1"/>
    <w:link w:val="13"/>
    <w:unhideWhenUsed/>
    <w:qFormat/>
    <w:uiPriority w:val="0"/>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semiHidden/>
    <w:qFormat/>
    <w:uiPriority w:val="99"/>
    <w:rPr>
      <w:sz w:val="18"/>
      <w:szCs w:val="18"/>
    </w:rPr>
  </w:style>
  <w:style w:type="character" w:customStyle="1" w:styleId="14">
    <w:name w:val="日期 Char"/>
    <w:basedOn w:val="10"/>
    <w:link w:val="4"/>
    <w:semiHidden/>
    <w:qFormat/>
    <w:uiPriority w:val="99"/>
  </w:style>
  <w:style w:type="character" w:customStyle="1" w:styleId="15">
    <w:name w:val="正文文本 Char"/>
    <w:basedOn w:val="10"/>
    <w:link w:val="2"/>
    <w:qFormat/>
    <w:uiPriority w:val="99"/>
    <w:rPr>
      <w:rFonts w:ascii="Times New Roman" w:hAnsi="Times New Roman" w:eastAsia="宋体" w:cs="Times New Roman"/>
      <w:szCs w:val="24"/>
    </w:rPr>
  </w:style>
  <w:style w:type="character" w:customStyle="1" w:styleId="16">
    <w:name w:val="批注框文本 Char"/>
    <w:basedOn w:val="10"/>
    <w:link w:val="5"/>
    <w:semiHidden/>
    <w:qFormat/>
    <w:uiPriority w:val="99"/>
    <w:rPr>
      <w:sz w:val="18"/>
      <w:szCs w:val="18"/>
    </w:rPr>
  </w:style>
  <w:style w:type="paragraph" w:customStyle="1" w:styleId="17">
    <w:name w:val="List Paragraph"/>
    <w:basedOn w:val="1"/>
    <w:qFormat/>
    <w:uiPriority w:val="34"/>
    <w:pPr>
      <w:ind w:firstLine="420" w:firstLineChars="200"/>
    </w:pPr>
  </w:style>
  <w:style w:type="paragraph" w:customStyle="1" w:styleId="18">
    <w:name w:val="Char"/>
    <w:basedOn w:val="1"/>
    <w:qFormat/>
    <w:uiPriority w:val="0"/>
    <w:rPr>
      <w:rFonts w:ascii="Tahoma" w:hAnsi="Tahoma" w:eastAsia="宋体" w:cs="Times New Roman"/>
      <w:sz w:val="24"/>
      <w:szCs w:val="20"/>
    </w:rPr>
  </w:style>
  <w:style w:type="paragraph" w:customStyle="1" w:styleId="19">
    <w:name w:val="Char Char Char Char1 Char Char Char Char Char Char Char Char Char Char Char Char Char Char Char Char Char"/>
    <w:basedOn w:val="1"/>
    <w:uiPriority w:val="0"/>
    <w:pPr>
      <w:widowControl/>
      <w:spacing w:after="160" w:line="240" w:lineRule="exact"/>
      <w:ind w:firstLine="980" w:firstLineChars="350"/>
      <w:jc w:val="left"/>
    </w:pPr>
    <w:rPr>
      <w:rFonts w:ascii="Verdana" w:hAnsi="Verdana" w:eastAsia="仿宋_GB2312" w:cs="Times New Roman"/>
      <w:kern w:val="0"/>
      <w:sz w:val="28"/>
      <w:szCs w:val="28"/>
      <w:lang w:eastAsia="en-US"/>
    </w:rPr>
  </w:style>
  <w:style w:type="paragraph" w:customStyle="1" w:styleId="20">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szCs w:val="24"/>
    </w:rPr>
  </w:style>
  <w:style w:type="character" w:customStyle="1" w:styleId="21">
    <w:name w:val="纯文本 Char"/>
    <w:basedOn w:val="10"/>
    <w:link w:val="3"/>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1628E9-B53F-4758-8F32-89387ABE862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1691</Words>
  <Characters>9645</Characters>
  <Lines>80</Lines>
  <Paragraphs>22</Paragraphs>
  <TotalTime>74</TotalTime>
  <ScaleCrop>false</ScaleCrop>
  <LinksUpToDate>false</LinksUpToDate>
  <CharactersWithSpaces>11314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2019-09-03T06:33:00Z</dcterms:created>
  <dc:creator>微软用户</dc:creator>
  <cp:lastModifiedBy>Administrator</cp:lastModifiedBy>
  <cp:lastPrinted>2019-09-05T08:00:00Z</cp:lastPrinted>
  <dcterms:modified xsi:type="dcterms:W3CDTF">2019-09-23T02:03:00Z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