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100" w:rightChars="-50"/>
        <w:jc w:val="center"/>
        <w:textAlignment w:val="auto"/>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eastAsia="zh-CN"/>
        </w:rPr>
        <w:t>济宁市兖州区地方金融监督管理局</w:t>
      </w:r>
    </w:p>
    <w:p>
      <w:pPr>
        <w:keepNext w:val="0"/>
        <w:keepLines w:val="0"/>
        <w:pageBreakBefore w:val="0"/>
        <w:widowControl w:val="0"/>
        <w:kinsoku/>
        <w:wordWrap/>
        <w:overflowPunct/>
        <w:topLinePunct w:val="0"/>
        <w:autoSpaceDE/>
        <w:autoSpaceDN/>
        <w:bidi w:val="0"/>
        <w:adjustRightInd/>
        <w:snapToGrid/>
        <w:spacing w:line="560" w:lineRule="exact"/>
        <w:ind w:right="-100" w:rightChars="-50"/>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2022年政府信息公开工作年度报告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本报告由济宁市兖州区地方金融监督管理局按照《中华人民共和国政府信息公开条例》（以下简称《条例》）和《中华人民共和国政府信息公开工作年度报告格式》（国办公开办函〔2021〕30号）要求编制。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本报告所列数据的统计期限自2022年1月1日起至2022年12月31日止。本报告电子版可在“中国·兖州”政府门户网站（http://www.yanzhou.gov.cn）查阅或下载。如对本报告有疑问，请与济宁市兖州区地方金融监督管理局联系（地址：济宁市兖州区行政办公中心1319室，联系电话：0537</w:t>
      </w:r>
      <w:r>
        <w:rPr>
          <w:rFonts w:hint="eastAsia" w:ascii="仿宋_GB2312" w:hAnsi="仿宋_GB2312" w:eastAsia="仿宋_GB2312" w:cs="仿宋_GB2312"/>
          <w:b w:val="0"/>
          <w:bCs/>
          <w:color w:val="auto"/>
          <w:sz w:val="32"/>
          <w:szCs w:val="32"/>
          <w:lang w:val="en-US" w:eastAsia="zh-CN"/>
        </w:rPr>
        <w:t>-5176068</w:t>
      </w:r>
      <w:r>
        <w:rPr>
          <w:rFonts w:hint="eastAsia" w:ascii="仿宋_GB2312" w:hAnsi="仿宋_GB2312" w:eastAsia="仿宋_GB2312" w:cs="仿宋_GB2312"/>
          <w:b w:val="0"/>
          <w:bCs/>
          <w:color w:val="auto"/>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0" w:leftChars="0" w:right="0" w:rightChars="0" w:firstLine="640" w:firstLineChars="0"/>
        <w:jc w:val="left"/>
        <w:textAlignment w:val="auto"/>
        <w:rPr>
          <w:rFonts w:hint="eastAsia" w:ascii="黑体" w:hAnsi="黑体" w:eastAsia="黑体" w:cs="Times New Roman"/>
          <w:bCs/>
          <w:color w:val="auto"/>
          <w:kern w:val="0"/>
          <w:sz w:val="32"/>
          <w:szCs w:val="32"/>
          <w:lang w:eastAsia="zh-CN" w:bidi="ar"/>
        </w:rPr>
      </w:pPr>
      <w:r>
        <w:rPr>
          <w:rFonts w:hint="eastAsia" w:ascii="黑体" w:hAnsi="黑体" w:eastAsia="黑体" w:cs="Times New Roman"/>
          <w:bCs/>
          <w:color w:val="auto"/>
          <w:kern w:val="0"/>
          <w:sz w:val="32"/>
          <w:szCs w:val="32"/>
          <w:lang w:eastAsia="zh-CN" w:bidi="ar"/>
        </w:rPr>
        <w:t>总体情况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rPr>
        <w:t>2022年，兖州区地方金融</w:t>
      </w:r>
      <w:r>
        <w:rPr>
          <w:rFonts w:hint="eastAsia" w:ascii="仿宋_GB2312" w:hAnsi="仿宋_GB2312" w:eastAsia="仿宋_GB2312" w:cs="仿宋_GB2312"/>
          <w:b w:val="0"/>
          <w:bCs/>
          <w:color w:val="auto"/>
          <w:sz w:val="32"/>
          <w:szCs w:val="32"/>
          <w:lang w:eastAsia="zh-CN"/>
        </w:rPr>
        <w:t>监管</w:t>
      </w:r>
      <w:r>
        <w:rPr>
          <w:rFonts w:hint="eastAsia" w:ascii="仿宋_GB2312" w:hAnsi="仿宋_GB2312" w:eastAsia="仿宋_GB2312" w:cs="仿宋_GB2312"/>
          <w:b w:val="0"/>
          <w:bCs/>
          <w:color w:val="auto"/>
          <w:sz w:val="32"/>
          <w:szCs w:val="32"/>
        </w:rPr>
        <w:t>局按照政府信息公开工作要求，认真贯彻落实政府信息公开工作相关文件精神，切实加强组织领导，健全工作机制，</w:t>
      </w:r>
      <w:r>
        <w:rPr>
          <w:rFonts w:hint="eastAsia" w:ascii="仿宋_GB2312" w:hAnsi="仿宋_GB2312" w:eastAsia="仿宋_GB2312" w:cs="仿宋_GB2312"/>
          <w:b w:val="0"/>
          <w:bCs/>
          <w:color w:val="auto"/>
          <w:sz w:val="32"/>
          <w:szCs w:val="32"/>
          <w:lang w:eastAsia="zh-CN"/>
        </w:rPr>
        <w:t>全面推进组织建设、平台建设、制度建设，信息公开的广度和深度不断增强。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b w:val="0"/>
          <w:bCs/>
          <w:color w:val="auto"/>
          <w:sz w:val="32"/>
          <w:szCs w:val="32"/>
          <w:lang w:eastAsia="zh-CN"/>
        </w:rPr>
      </w:pPr>
      <w:r>
        <w:rPr>
          <w:rFonts w:hint="eastAsia" w:ascii="楷体" w:hAnsi="楷体" w:eastAsia="楷体" w:cs="楷体"/>
          <w:b w:val="0"/>
          <w:bCs/>
          <w:color w:val="auto"/>
          <w:sz w:val="32"/>
          <w:szCs w:val="32"/>
        </w:rPr>
        <w:t>（一）</w:t>
      </w:r>
      <w:r>
        <w:rPr>
          <w:rFonts w:hint="eastAsia" w:ascii="楷体" w:hAnsi="楷体" w:eastAsia="楷体" w:cs="楷体"/>
          <w:b w:val="0"/>
          <w:bCs/>
          <w:color w:val="auto"/>
          <w:sz w:val="32"/>
          <w:szCs w:val="32"/>
          <w:lang w:eastAsia="zh-CN"/>
        </w:rPr>
        <w:t>高质高效做好政府信息公开工作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lang w:eastAsia="zh-CN"/>
        </w:rPr>
      </w:pPr>
      <w:r>
        <w:rPr>
          <w:rFonts w:hint="eastAsia" w:ascii="仿宋_GB2312" w:hAnsi="仿宋_GB2312" w:eastAsia="仿宋_GB2312" w:cs="仿宋_GB2312"/>
          <w:b w:val="0"/>
          <w:bCs/>
          <w:color w:val="auto"/>
          <w:sz w:val="32"/>
          <w:szCs w:val="32"/>
          <w:lang w:eastAsia="zh-CN"/>
        </w:rPr>
        <w:t>严格按照政府信息公开要求，及时对政府信息进行更新。202</w:t>
      </w: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lang w:eastAsia="zh-CN"/>
        </w:rPr>
        <w:t>年，我局共发布主动公开信息</w:t>
      </w:r>
      <w:r>
        <w:rPr>
          <w:rFonts w:hint="eastAsia" w:ascii="仿宋_GB2312" w:hAnsi="仿宋_GB2312" w:eastAsia="仿宋_GB2312" w:cs="仿宋_GB2312"/>
          <w:b w:val="0"/>
          <w:bCs/>
          <w:color w:val="auto"/>
          <w:sz w:val="32"/>
          <w:szCs w:val="32"/>
          <w:lang w:val="en-US" w:eastAsia="zh-CN"/>
        </w:rPr>
        <w:t>56</w:t>
      </w:r>
      <w:r>
        <w:rPr>
          <w:rFonts w:hint="eastAsia" w:ascii="仿宋_GB2312" w:hAnsi="仿宋_GB2312" w:eastAsia="仿宋_GB2312" w:cs="仿宋_GB2312"/>
          <w:b w:val="0"/>
          <w:bCs/>
          <w:color w:val="auto"/>
          <w:sz w:val="32"/>
          <w:szCs w:val="32"/>
          <w:lang w:eastAsia="zh-CN"/>
        </w:rPr>
        <w:t>条。主要围绕政策文件、机构职能及领导信息、财政预算决算、公告公示、行政权力运行公开、重点领域信息、主动公开基本目录、组织管理、政府信息公开指南、政府信息公开年报</w:t>
      </w:r>
      <w:r>
        <w:rPr>
          <w:rFonts w:hint="eastAsia" w:ascii="仿宋_GB2312" w:hAnsi="仿宋_GB2312" w:eastAsia="仿宋_GB2312" w:cs="仿宋_GB2312"/>
          <w:b w:val="0"/>
          <w:bCs/>
          <w:color w:val="auto"/>
          <w:sz w:val="32"/>
          <w:szCs w:val="32"/>
          <w:lang w:val="en-US" w:eastAsia="zh-CN"/>
        </w:rPr>
        <w:t>10</w:t>
      </w:r>
      <w:r>
        <w:rPr>
          <w:rFonts w:hint="eastAsia" w:ascii="仿宋_GB2312" w:hAnsi="仿宋_GB2312" w:eastAsia="仿宋_GB2312" w:cs="仿宋_GB2312"/>
          <w:b w:val="0"/>
          <w:bCs/>
          <w:color w:val="auto"/>
          <w:sz w:val="32"/>
          <w:szCs w:val="32"/>
          <w:lang w:eastAsia="zh-CN"/>
        </w:rPr>
        <w:t>部分。</w:t>
      </w:r>
      <w:r>
        <w:rPr>
          <w:rFonts w:hint="eastAsia"/>
          <w:lang w:eastAsia="zh-CN"/>
        </w:rPr>
        <w:drawing>
          <wp:inline distT="0" distB="0" distL="114300" distR="114300">
            <wp:extent cx="5541010" cy="2389505"/>
            <wp:effectExtent l="0" t="0" r="2540" b="10795"/>
            <wp:docPr id="2" name="图片 2" descr="5b8b36b3a801dd3f3387267276d16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b8b36b3a801dd3f3387267276d16af"/>
                    <pic:cNvPicPr>
                      <a:picLocks noChangeAspect="1"/>
                    </pic:cNvPicPr>
                  </pic:nvPicPr>
                  <pic:blipFill>
                    <a:blip r:embed="rId5"/>
                    <a:stretch>
                      <a:fillRect/>
                    </a:stretch>
                  </pic:blipFill>
                  <pic:spPr>
                    <a:xfrm>
                      <a:off x="0" y="0"/>
                      <a:ext cx="5541010" cy="238950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2022年，我局在“活力金融”专题专栏公开信息7条。主要围绕政策宣传、部门动态、防范和处置非法集资3部分，着力提高群众对于企业上市挂牌政策认知，提高群众防范非法集资意识。</w:t>
      </w:r>
    </w:p>
    <w:p>
      <w:pPr>
        <w:pStyle w:val="2"/>
        <w:ind w:left="0" w:leftChars="0" w:firstLine="0" w:firstLineChars="0"/>
        <w:rPr>
          <w:rFonts w:hint="eastAsia"/>
          <w:lang w:val="en-US" w:eastAsia="zh-CN"/>
        </w:rPr>
      </w:pPr>
      <w:r>
        <w:rPr>
          <w:rFonts w:hint="eastAsia"/>
          <w:lang w:val="en-US" w:eastAsia="zh-CN"/>
        </w:rPr>
        <w:drawing>
          <wp:inline distT="0" distB="0" distL="114300" distR="114300">
            <wp:extent cx="5541645" cy="2996565"/>
            <wp:effectExtent l="0" t="0" r="1905" b="13335"/>
            <wp:docPr id="4" name="图片 4" descr="ffcb471b3289c10f873eb4fed4a6c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fcb471b3289c10f873eb4fed4a6c42"/>
                    <pic:cNvPicPr>
                      <a:picLocks noChangeAspect="1"/>
                    </pic:cNvPicPr>
                  </pic:nvPicPr>
                  <pic:blipFill>
                    <a:blip r:embed="rId6"/>
                    <a:stretch>
                      <a:fillRect/>
                    </a:stretch>
                  </pic:blipFill>
                  <pic:spPr>
                    <a:xfrm>
                      <a:off x="0" y="0"/>
                      <a:ext cx="5541645" cy="2996565"/>
                    </a:xfrm>
                    <a:prstGeom prst="rect">
                      <a:avLst/>
                    </a:prstGeom>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color w:val="auto"/>
          <w:lang w:val="en-US" w:eastAsia="zh-CN"/>
        </w:rPr>
      </w:pPr>
      <w:r>
        <w:rPr>
          <w:rFonts w:hint="eastAsia" w:ascii="仿宋_GB2312" w:hAnsi="仿宋_GB2312" w:eastAsia="仿宋_GB2312" w:cs="仿宋_GB2312"/>
          <w:b w:val="0"/>
          <w:bCs/>
          <w:color w:val="auto"/>
          <w:sz w:val="32"/>
          <w:szCs w:val="32"/>
          <w:lang w:val="en-US" w:eastAsia="zh-CN"/>
        </w:rPr>
        <w:t>2022年，我局在“兖州金融”公众号发布信息103条，主要围绕政策宣传、部门动态2部分进行公开。</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b w:val="0"/>
          <w:bCs/>
          <w:color w:val="auto"/>
          <w:sz w:val="32"/>
          <w:szCs w:val="32"/>
          <w:lang w:val="en-US" w:eastAsia="zh-CN" w:bidi="ar-SA"/>
        </w:rPr>
      </w:pPr>
      <w:r>
        <w:rPr>
          <w:rFonts w:hint="eastAsia" w:ascii="楷体" w:hAnsi="楷体" w:eastAsia="楷体" w:cs="楷体"/>
          <w:b w:val="0"/>
          <w:bCs/>
          <w:color w:val="auto"/>
          <w:sz w:val="32"/>
          <w:szCs w:val="32"/>
          <w:lang w:val="en-US" w:eastAsia="zh-CN" w:bidi="ar-SA"/>
        </w:rPr>
        <w:t>（二）规范做好依申请公开工作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textAlignment w:val="auto"/>
        <w:rPr>
          <w:rFonts w:hint="default" w:ascii="仿宋_GB2312" w:hAnsi="仿宋_GB2312" w:eastAsia="仿宋_GB2312" w:cs="仿宋_GB2312"/>
          <w:b w:val="0"/>
          <w:bCs/>
          <w:color w:val="auto"/>
          <w:sz w:val="32"/>
          <w:szCs w:val="32"/>
          <w:lang w:val="en-US" w:eastAsia="zh-CN"/>
        </w:rPr>
      </w:pPr>
      <w:r>
        <w:rPr>
          <w:rFonts w:hint="default" w:ascii="仿宋_GB2312" w:hAnsi="仿宋_GB2312" w:eastAsia="仿宋_GB2312" w:cs="仿宋_GB2312"/>
          <w:b w:val="0"/>
          <w:bCs/>
          <w:color w:val="auto"/>
          <w:sz w:val="32"/>
          <w:szCs w:val="32"/>
          <w:lang w:val="en-US" w:eastAsia="zh-CN"/>
        </w:rPr>
        <w:t>202</w:t>
      </w:r>
      <w:r>
        <w:rPr>
          <w:rFonts w:hint="eastAsia" w:ascii="仿宋_GB2312" w:hAnsi="仿宋_GB2312" w:eastAsia="仿宋_GB2312" w:cs="仿宋_GB2312"/>
          <w:b w:val="0"/>
          <w:bCs/>
          <w:color w:val="auto"/>
          <w:sz w:val="32"/>
          <w:szCs w:val="32"/>
          <w:lang w:val="en-US" w:eastAsia="zh-CN"/>
        </w:rPr>
        <w:t>2</w:t>
      </w:r>
      <w:r>
        <w:rPr>
          <w:rFonts w:hint="default" w:ascii="仿宋_GB2312" w:hAnsi="仿宋_GB2312" w:eastAsia="仿宋_GB2312" w:cs="仿宋_GB2312"/>
          <w:b w:val="0"/>
          <w:bCs/>
          <w:color w:val="auto"/>
          <w:sz w:val="32"/>
          <w:szCs w:val="32"/>
          <w:lang w:val="en-US" w:eastAsia="zh-CN"/>
        </w:rPr>
        <w:t>年，我局未收到依申请公开信息</w:t>
      </w:r>
      <w:r>
        <w:rPr>
          <w:rFonts w:hint="eastAsia" w:ascii="仿宋_GB2312" w:hAnsi="仿宋_GB2312" w:eastAsia="仿宋_GB2312" w:cs="仿宋_GB2312"/>
          <w:b w:val="0"/>
          <w:bCs/>
          <w:color w:val="auto"/>
          <w:sz w:val="32"/>
          <w:szCs w:val="32"/>
          <w:lang w:val="en-US" w:eastAsia="zh-CN"/>
        </w:rPr>
        <w:t>，与往年持平。区地方金融监管局加强依申请公开制度建设，规范工作程序。细化、优化政府信息依申请公开办事流程，规范接收、办理、答复、寄送、存档等工作环节，不断提高依申请公开工作效率。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b w:val="0"/>
          <w:bCs/>
          <w:color w:val="auto"/>
          <w:sz w:val="32"/>
          <w:szCs w:val="32"/>
          <w:lang w:val="en-US" w:eastAsia="zh-CN" w:bidi="ar-SA"/>
        </w:rPr>
      </w:pPr>
      <w:r>
        <w:rPr>
          <w:rFonts w:hint="eastAsia" w:ascii="楷体" w:hAnsi="楷体" w:eastAsia="楷体" w:cs="楷体"/>
          <w:b w:val="0"/>
          <w:bCs/>
          <w:color w:val="auto"/>
          <w:sz w:val="32"/>
          <w:szCs w:val="32"/>
          <w:lang w:val="en-US" w:eastAsia="zh-CN" w:bidi="ar-SA"/>
        </w:rPr>
        <w:t>（三）持续完善政府信息管理机制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仿宋_GB2312" w:hAnsi="仿宋_GB2312" w:eastAsia="仿宋_GB2312" w:cs="仿宋_GB2312"/>
          <w:b w:val="0"/>
          <w:bCs/>
          <w:color w:val="auto"/>
          <w:sz w:val="32"/>
          <w:szCs w:val="32"/>
          <w:lang w:val="en-US" w:eastAsia="zh-CN" w:bidi="ar-SA"/>
        </w:rPr>
      </w:pPr>
      <w:r>
        <w:rPr>
          <w:rFonts w:hint="default" w:ascii="仿宋_GB2312" w:hAnsi="仿宋_GB2312" w:eastAsia="仿宋_GB2312" w:cs="仿宋_GB2312"/>
          <w:b w:val="0"/>
          <w:bCs/>
          <w:color w:val="auto"/>
          <w:sz w:val="32"/>
          <w:szCs w:val="32"/>
          <w:lang w:val="en-US" w:eastAsia="zh-CN"/>
        </w:rPr>
        <w:t>202</w:t>
      </w:r>
      <w:r>
        <w:rPr>
          <w:rFonts w:hint="eastAsia" w:ascii="仿宋_GB2312" w:hAnsi="仿宋_GB2312" w:eastAsia="仿宋_GB2312" w:cs="仿宋_GB2312"/>
          <w:b w:val="0"/>
          <w:bCs/>
          <w:color w:val="auto"/>
          <w:sz w:val="32"/>
          <w:szCs w:val="32"/>
          <w:lang w:val="en-US" w:eastAsia="zh-CN"/>
        </w:rPr>
        <w:t>2</w:t>
      </w:r>
      <w:r>
        <w:rPr>
          <w:rFonts w:hint="default" w:ascii="仿宋_GB2312" w:hAnsi="仿宋_GB2312" w:eastAsia="仿宋_GB2312" w:cs="仿宋_GB2312"/>
          <w:b w:val="0"/>
          <w:bCs/>
          <w:color w:val="auto"/>
          <w:sz w:val="32"/>
          <w:szCs w:val="32"/>
          <w:lang w:val="en-US" w:eastAsia="zh-CN"/>
        </w:rPr>
        <w:t>年，</w:t>
      </w:r>
      <w:r>
        <w:rPr>
          <w:rFonts w:hint="eastAsia" w:ascii="仿宋_GB2312" w:hAnsi="仿宋_GB2312" w:eastAsia="仿宋_GB2312" w:cs="仿宋_GB2312"/>
          <w:b w:val="0"/>
          <w:bCs/>
          <w:color w:val="auto"/>
          <w:sz w:val="32"/>
          <w:szCs w:val="32"/>
          <w:lang w:val="en-US" w:eastAsia="zh-CN"/>
        </w:rPr>
        <w:t>区地方金融监管局</w:t>
      </w:r>
      <w:r>
        <w:rPr>
          <w:rFonts w:hint="default" w:ascii="仿宋_GB2312" w:hAnsi="仿宋_GB2312" w:eastAsia="仿宋_GB2312" w:cs="仿宋_GB2312"/>
          <w:b w:val="0"/>
          <w:bCs/>
          <w:color w:val="auto"/>
          <w:sz w:val="32"/>
          <w:szCs w:val="32"/>
          <w:lang w:val="en-US" w:eastAsia="zh-CN"/>
        </w:rPr>
        <w:t>进一步完善政府信息常态化管理机制，</w:t>
      </w:r>
      <w:r>
        <w:rPr>
          <w:rFonts w:hint="default" w:ascii="仿宋_GB2312" w:hAnsi="仿宋_GB2312" w:eastAsia="仿宋_GB2312" w:cs="仿宋_GB2312"/>
          <w:b w:val="0"/>
          <w:bCs/>
          <w:color w:val="auto"/>
          <w:sz w:val="32"/>
          <w:szCs w:val="32"/>
          <w:lang w:val="en-US" w:eastAsia="zh-CN" w:bidi="ar-SA"/>
        </w:rPr>
        <w:t>一是严格落实公文公开属性源头认定机制和发布审查工作机制，严格执行信息公开保密审查制度</w:t>
      </w:r>
      <w:r>
        <w:rPr>
          <w:rFonts w:hint="eastAsia" w:ascii="仿宋_GB2312" w:hAnsi="仿宋_GB2312" w:eastAsia="仿宋_GB2312" w:cs="仿宋_GB2312"/>
          <w:b w:val="0"/>
          <w:bCs/>
          <w:color w:val="auto"/>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仿宋_GB2312" w:hAnsi="仿宋_GB2312" w:eastAsia="仿宋_GB2312" w:cs="仿宋_GB2312"/>
          <w:b w:val="0"/>
          <w:bCs/>
          <w:color w:val="auto"/>
          <w:sz w:val="32"/>
          <w:szCs w:val="32"/>
          <w:lang w:val="en-US" w:eastAsia="zh-CN" w:bidi="ar-SA"/>
        </w:rPr>
      </w:pPr>
      <w:r>
        <w:rPr>
          <w:rFonts w:hint="eastAsia" w:ascii="仿宋_GB2312" w:hAnsi="仿宋_GB2312" w:eastAsia="仿宋_GB2312" w:cs="仿宋_GB2312"/>
          <w:b w:val="0"/>
          <w:bCs/>
          <w:color w:val="auto"/>
          <w:sz w:val="32"/>
          <w:szCs w:val="32"/>
          <w:lang w:val="en-US" w:eastAsia="zh-CN" w:bidi="ar-SA"/>
        </w:rPr>
        <w:t>二</w:t>
      </w:r>
      <w:r>
        <w:rPr>
          <w:rFonts w:hint="default" w:ascii="仿宋_GB2312" w:hAnsi="仿宋_GB2312" w:eastAsia="仿宋_GB2312" w:cs="仿宋_GB2312"/>
          <w:b w:val="0"/>
          <w:bCs/>
          <w:color w:val="auto"/>
          <w:sz w:val="32"/>
          <w:szCs w:val="32"/>
          <w:lang w:val="en-US" w:eastAsia="zh-CN" w:bidi="ar-SA"/>
        </w:rPr>
        <w:t>是加强规范性文件管理。严格落实规范性文件制定机关主体责任，文件起草前进行调研及预评估，起草过程中充分听取各方面意见。</w:t>
      </w:r>
      <w:r>
        <w:rPr>
          <w:rFonts w:hint="eastAsia" w:ascii="仿宋_GB2312" w:hAnsi="仿宋_GB2312" w:eastAsia="仿宋_GB2312" w:cs="仿宋_GB2312"/>
          <w:b w:val="0"/>
          <w:bCs/>
          <w:color w:val="auto"/>
          <w:sz w:val="32"/>
          <w:szCs w:val="32"/>
          <w:lang w:val="en-US" w:eastAsia="zh-CN" w:bidi="ar-SA"/>
        </w:rPr>
        <w:t>加强</w:t>
      </w:r>
      <w:r>
        <w:rPr>
          <w:rFonts w:hint="default" w:ascii="仿宋_GB2312" w:hAnsi="仿宋_GB2312" w:eastAsia="仿宋_GB2312" w:cs="仿宋_GB2312"/>
          <w:b w:val="0"/>
          <w:bCs/>
          <w:color w:val="auto"/>
          <w:sz w:val="32"/>
          <w:szCs w:val="32"/>
          <w:lang w:val="en-US" w:eastAsia="zh-CN" w:bidi="ar-SA"/>
        </w:rPr>
        <w:t>规范性文件备案审查</w:t>
      </w:r>
      <w:r>
        <w:rPr>
          <w:rFonts w:hint="eastAsia" w:ascii="仿宋_GB2312" w:hAnsi="仿宋_GB2312" w:eastAsia="仿宋_GB2312" w:cs="仿宋_GB2312"/>
          <w:b w:val="0"/>
          <w:bCs/>
          <w:color w:val="auto"/>
          <w:sz w:val="32"/>
          <w:szCs w:val="32"/>
          <w:lang w:val="en-US" w:eastAsia="zh-CN" w:bidi="ar-SA"/>
        </w:rPr>
        <w:t>与</w:t>
      </w:r>
      <w:r>
        <w:rPr>
          <w:rFonts w:hint="default" w:ascii="仿宋_GB2312" w:hAnsi="仿宋_GB2312" w:eastAsia="仿宋_GB2312" w:cs="仿宋_GB2312"/>
          <w:b w:val="0"/>
          <w:bCs/>
          <w:color w:val="auto"/>
          <w:sz w:val="32"/>
          <w:szCs w:val="32"/>
          <w:lang w:val="en-US" w:eastAsia="zh-CN" w:bidi="ar-SA"/>
        </w:rPr>
        <w:t>文件后评估</w:t>
      </w:r>
      <w:r>
        <w:rPr>
          <w:rFonts w:hint="eastAsia" w:ascii="仿宋_GB2312" w:hAnsi="仿宋_GB2312" w:eastAsia="仿宋_GB2312" w:cs="仿宋_GB2312"/>
          <w:b w:val="0"/>
          <w:bCs/>
          <w:color w:val="auto"/>
          <w:sz w:val="32"/>
          <w:szCs w:val="32"/>
          <w:lang w:val="en-US" w:eastAsia="zh-CN" w:bidi="ar-SA"/>
        </w:rPr>
        <w:t>工作</w:t>
      </w:r>
      <w:r>
        <w:rPr>
          <w:rFonts w:hint="default" w:ascii="仿宋_GB2312" w:hAnsi="仿宋_GB2312" w:eastAsia="仿宋_GB2312" w:cs="仿宋_GB2312"/>
          <w:b w:val="0"/>
          <w:bCs/>
          <w:color w:val="auto"/>
          <w:sz w:val="32"/>
          <w:szCs w:val="32"/>
          <w:lang w:val="en-US" w:eastAsia="zh-CN" w:bidi="ar-SA"/>
        </w:rPr>
        <w:t>，配合完成规范性文件科学统筹全面清理与各专项清理</w:t>
      </w:r>
      <w:r>
        <w:rPr>
          <w:rFonts w:hint="eastAsia" w:ascii="仿宋_GB2312" w:hAnsi="仿宋_GB2312" w:eastAsia="仿宋_GB2312" w:cs="仿宋_GB2312"/>
          <w:b w:val="0"/>
          <w:bCs/>
          <w:color w:val="auto"/>
          <w:sz w:val="32"/>
          <w:szCs w:val="32"/>
          <w:lang w:val="en-US" w:eastAsia="zh-CN" w:bidi="ar-SA"/>
        </w:rPr>
        <w:t>工作</w:t>
      </w:r>
      <w:r>
        <w:rPr>
          <w:rFonts w:hint="default" w:ascii="仿宋_GB2312" w:hAnsi="仿宋_GB2312" w:eastAsia="仿宋_GB2312" w:cs="仿宋_GB2312"/>
          <w:b w:val="0"/>
          <w:bCs/>
          <w:color w:val="auto"/>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b w:val="0"/>
          <w:bCs/>
          <w:color w:val="auto"/>
          <w:sz w:val="32"/>
          <w:szCs w:val="32"/>
          <w:lang w:val="en-US" w:eastAsia="zh-CN" w:bidi="ar-SA"/>
        </w:rPr>
      </w:pPr>
      <w:r>
        <w:rPr>
          <w:rFonts w:hint="eastAsia" w:ascii="楷体" w:hAnsi="楷体" w:eastAsia="楷体" w:cs="楷体"/>
          <w:b w:val="0"/>
          <w:bCs/>
          <w:color w:val="auto"/>
          <w:sz w:val="32"/>
          <w:szCs w:val="32"/>
          <w:lang w:val="en-US" w:eastAsia="zh-CN" w:bidi="ar-SA"/>
        </w:rPr>
        <w:t>（四）加强政府信息公开平台建设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仿宋_GB2312" w:hAnsi="仿宋_GB2312" w:eastAsia="仿宋_GB2312" w:cs="仿宋_GB2312"/>
          <w:b w:val="0"/>
          <w:bCs/>
          <w:color w:val="auto"/>
          <w:sz w:val="32"/>
          <w:szCs w:val="32"/>
          <w:lang w:val="en-US" w:eastAsia="zh-CN" w:bidi="ar-SA"/>
        </w:rPr>
      </w:pPr>
      <w:r>
        <w:rPr>
          <w:rFonts w:hint="default" w:ascii="仿宋_GB2312" w:hAnsi="仿宋_GB2312" w:eastAsia="仿宋_GB2312" w:cs="仿宋_GB2312"/>
          <w:b w:val="0"/>
          <w:bCs/>
          <w:color w:val="auto"/>
          <w:sz w:val="32"/>
          <w:szCs w:val="32"/>
          <w:lang w:val="en-US" w:eastAsia="zh-CN" w:bidi="ar-SA"/>
        </w:rPr>
        <w:t>一是</w:t>
      </w:r>
      <w:r>
        <w:rPr>
          <w:rFonts w:hint="default" w:ascii="仿宋_GB2312" w:hAnsi="仿宋_GB2312" w:eastAsia="仿宋_GB2312" w:cs="仿宋_GB2312"/>
          <w:b w:val="0"/>
          <w:bCs/>
          <w:color w:val="auto"/>
          <w:sz w:val="32"/>
          <w:szCs w:val="32"/>
        </w:rPr>
        <w:t>发挥专题专栏宣传作用。利用区政府门户网站“活力金融”栏目，</w:t>
      </w:r>
      <w:r>
        <w:rPr>
          <w:rFonts w:hint="eastAsia" w:ascii="仿宋_GB2312" w:hAnsi="仿宋_GB2312" w:eastAsia="仿宋_GB2312" w:cs="仿宋_GB2312"/>
          <w:b w:val="0"/>
          <w:bCs/>
          <w:color w:val="auto"/>
          <w:sz w:val="32"/>
          <w:szCs w:val="32"/>
          <w:lang w:eastAsia="zh-CN"/>
        </w:rPr>
        <w:t>公开我局工作动态同时转发相关政策文件，提高群众政策知晓率</w:t>
      </w:r>
      <w:r>
        <w:rPr>
          <w:rFonts w:hint="default" w:ascii="仿宋_GB2312" w:hAnsi="仿宋_GB2312" w:eastAsia="仿宋_GB2312" w:cs="仿宋_GB2312"/>
          <w:b w:val="0"/>
          <w:bCs/>
          <w:color w:val="auto"/>
          <w:sz w:val="32"/>
          <w:szCs w:val="32"/>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仿宋_GB2312" w:hAnsi="仿宋_GB2312" w:eastAsia="仿宋_GB2312" w:cs="仿宋_GB2312"/>
          <w:b w:val="0"/>
          <w:bCs/>
          <w:color w:val="auto"/>
          <w:sz w:val="32"/>
          <w:szCs w:val="32"/>
          <w:lang w:val="en-US" w:eastAsia="zh-CN" w:bidi="ar-SA"/>
        </w:rPr>
      </w:pPr>
      <w:r>
        <w:rPr>
          <w:rFonts w:hint="eastAsia" w:ascii="仿宋_GB2312" w:hAnsi="仿宋_GB2312" w:eastAsia="仿宋_GB2312" w:cs="仿宋_GB2312"/>
          <w:b w:val="0"/>
          <w:bCs/>
          <w:color w:val="auto"/>
          <w:sz w:val="32"/>
          <w:szCs w:val="32"/>
          <w:lang w:val="en-US" w:eastAsia="zh-CN" w:bidi="ar-SA"/>
        </w:rPr>
        <w:t>二</w:t>
      </w:r>
      <w:r>
        <w:rPr>
          <w:rFonts w:hint="default" w:ascii="仿宋_GB2312" w:hAnsi="仿宋_GB2312" w:eastAsia="仿宋_GB2312" w:cs="仿宋_GB2312"/>
          <w:b w:val="0"/>
          <w:bCs/>
          <w:color w:val="auto"/>
          <w:sz w:val="32"/>
          <w:szCs w:val="32"/>
          <w:lang w:val="en-US" w:eastAsia="zh-CN" w:bidi="ar-SA"/>
        </w:rPr>
        <w:t>是切实做好政务新媒体内容保障。</w:t>
      </w:r>
      <w:r>
        <w:rPr>
          <w:rFonts w:hint="eastAsia" w:ascii="仿宋_GB2312" w:hAnsi="仿宋_GB2312" w:eastAsia="仿宋_GB2312" w:cs="仿宋_GB2312"/>
          <w:b w:val="0"/>
          <w:bCs/>
          <w:color w:val="auto"/>
          <w:sz w:val="32"/>
          <w:szCs w:val="32"/>
          <w:lang w:val="en-US" w:eastAsia="zh-CN" w:bidi="ar-SA"/>
        </w:rPr>
        <w:t>开设“兖州金融”公众号，围绕区地方金融监管局工作动态，做好栏目设置、主题策划，重点推送单位动态及重要政策文件。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b w:val="0"/>
          <w:bCs/>
          <w:color w:val="auto"/>
          <w:sz w:val="32"/>
          <w:szCs w:val="32"/>
          <w:lang w:val="en-US" w:eastAsia="zh-CN" w:bidi="ar-SA"/>
        </w:rPr>
      </w:pPr>
      <w:r>
        <w:rPr>
          <w:rFonts w:hint="eastAsia" w:ascii="楷体" w:hAnsi="楷体" w:eastAsia="楷体" w:cs="楷体"/>
          <w:b w:val="0"/>
          <w:bCs/>
          <w:color w:val="auto"/>
          <w:sz w:val="32"/>
          <w:szCs w:val="32"/>
          <w:lang w:val="en-US" w:eastAsia="zh-CN" w:bidi="ar-SA"/>
        </w:rPr>
        <w:t>（五）扎实做好政府信息公开监督保障</w:t>
      </w:r>
    </w:p>
    <w:p>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default" w:ascii="仿宋_GB2312" w:hAnsi="仿宋_GB2312" w:eastAsia="仿宋_GB2312" w:cs="仿宋_GB2312"/>
          <w:b w:val="0"/>
          <w:bCs/>
          <w:color w:val="auto"/>
          <w:sz w:val="32"/>
          <w:szCs w:val="32"/>
        </w:rPr>
      </w:pPr>
      <w:r>
        <w:rPr>
          <w:rFonts w:hint="default" w:ascii="仿宋_GB2312" w:hAnsi="仿宋_GB2312" w:eastAsia="仿宋_GB2312" w:cs="仿宋_GB2312"/>
          <w:b w:val="0"/>
          <w:bCs/>
          <w:color w:val="auto"/>
          <w:sz w:val="32"/>
          <w:szCs w:val="32"/>
        </w:rPr>
        <w:t>一是将</w:t>
      </w:r>
      <w:r>
        <w:rPr>
          <w:rFonts w:hint="eastAsia" w:ascii="仿宋_GB2312" w:hAnsi="仿宋_GB2312" w:eastAsia="仿宋_GB2312" w:cs="仿宋_GB2312"/>
          <w:b w:val="0"/>
          <w:bCs/>
          <w:color w:val="auto"/>
          <w:sz w:val="32"/>
          <w:szCs w:val="32"/>
          <w:lang w:eastAsia="zh-CN"/>
        </w:rPr>
        <w:t>政府</w:t>
      </w:r>
      <w:r>
        <w:rPr>
          <w:rFonts w:hint="default" w:ascii="仿宋_GB2312" w:hAnsi="仿宋_GB2312" w:eastAsia="仿宋_GB2312" w:cs="仿宋_GB2312"/>
          <w:b w:val="0"/>
          <w:bCs/>
          <w:color w:val="auto"/>
          <w:sz w:val="32"/>
          <w:szCs w:val="32"/>
        </w:rPr>
        <w:t>信息公开工作纳入全年</w:t>
      </w:r>
      <w:r>
        <w:rPr>
          <w:rFonts w:hint="eastAsia" w:ascii="仿宋_GB2312" w:hAnsi="仿宋_GB2312" w:eastAsia="仿宋_GB2312" w:cs="仿宋_GB2312"/>
          <w:b w:val="0"/>
          <w:bCs/>
          <w:color w:val="auto"/>
          <w:sz w:val="32"/>
          <w:szCs w:val="32"/>
          <w:lang w:eastAsia="zh-CN"/>
        </w:rPr>
        <w:t>工作计划</w:t>
      </w:r>
      <w:r>
        <w:rPr>
          <w:rFonts w:hint="default"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制定《2022年济宁市兖州区地方金融监管局政务公开重点工作任务实施方案》，局</w:t>
      </w:r>
      <w:r>
        <w:rPr>
          <w:rFonts w:hint="default" w:ascii="仿宋_GB2312" w:hAnsi="仿宋_GB2312" w:eastAsia="仿宋_GB2312" w:cs="仿宋_GB2312"/>
          <w:b w:val="0"/>
          <w:bCs/>
          <w:color w:val="auto"/>
          <w:sz w:val="32"/>
          <w:szCs w:val="32"/>
        </w:rPr>
        <w:t>领导</w:t>
      </w:r>
      <w:r>
        <w:rPr>
          <w:rFonts w:hint="eastAsia" w:ascii="仿宋_GB2312" w:hAnsi="仿宋_GB2312" w:eastAsia="仿宋_GB2312" w:cs="仿宋_GB2312"/>
          <w:b w:val="0"/>
          <w:bCs/>
          <w:color w:val="auto"/>
          <w:sz w:val="32"/>
          <w:szCs w:val="32"/>
          <w:lang w:eastAsia="zh-CN"/>
        </w:rPr>
        <w:t>班子</w:t>
      </w:r>
      <w:r>
        <w:rPr>
          <w:rFonts w:hint="default" w:ascii="仿宋_GB2312" w:hAnsi="仿宋_GB2312" w:eastAsia="仿宋_GB2312" w:cs="仿宋_GB2312"/>
          <w:b w:val="0"/>
          <w:bCs/>
          <w:color w:val="auto"/>
          <w:sz w:val="32"/>
          <w:szCs w:val="32"/>
        </w:rPr>
        <w:t>多次研究</w:t>
      </w:r>
      <w:r>
        <w:rPr>
          <w:rFonts w:hint="eastAsia" w:ascii="仿宋_GB2312" w:hAnsi="仿宋_GB2312" w:eastAsia="仿宋_GB2312" w:cs="仿宋_GB2312"/>
          <w:b w:val="0"/>
          <w:bCs/>
          <w:color w:val="auto"/>
          <w:sz w:val="32"/>
          <w:szCs w:val="32"/>
          <w:lang w:eastAsia="zh-CN"/>
        </w:rPr>
        <w:t>政府</w:t>
      </w:r>
      <w:r>
        <w:rPr>
          <w:rFonts w:hint="default" w:ascii="仿宋_GB2312" w:hAnsi="仿宋_GB2312" w:eastAsia="仿宋_GB2312" w:cs="仿宋_GB2312"/>
          <w:b w:val="0"/>
          <w:bCs/>
          <w:color w:val="auto"/>
          <w:sz w:val="32"/>
          <w:szCs w:val="32"/>
        </w:rPr>
        <w:t>信息公开工作，进一步深化优化政策解读</w:t>
      </w:r>
      <w:r>
        <w:rPr>
          <w:rFonts w:hint="eastAsia" w:ascii="仿宋_GB2312" w:hAnsi="仿宋_GB2312" w:eastAsia="仿宋_GB2312" w:cs="仿宋_GB2312"/>
          <w:b w:val="0"/>
          <w:bCs/>
          <w:color w:val="auto"/>
          <w:sz w:val="32"/>
          <w:szCs w:val="32"/>
          <w:lang w:eastAsia="zh-CN"/>
        </w:rPr>
        <w:t>，</w:t>
      </w:r>
      <w:bookmarkStart w:id="0" w:name="_GoBack"/>
      <w:bookmarkEnd w:id="0"/>
      <w:r>
        <w:rPr>
          <w:rFonts w:hint="eastAsia" w:ascii="仿宋_GB2312" w:hAnsi="仿宋_GB2312" w:eastAsia="仿宋_GB2312" w:cs="仿宋_GB2312"/>
          <w:b w:val="0"/>
          <w:bCs/>
          <w:color w:val="auto"/>
          <w:sz w:val="32"/>
          <w:szCs w:val="32"/>
          <w:lang w:eastAsia="zh-CN"/>
        </w:rPr>
        <w:t>扎实推进基层政务公开</w:t>
      </w:r>
      <w:r>
        <w:rPr>
          <w:rFonts w:hint="default" w:ascii="仿宋_GB2312" w:hAnsi="仿宋_GB2312" w:eastAsia="仿宋_GB2312" w:cs="仿宋_GB2312"/>
          <w:b w:val="0"/>
          <w:bCs/>
          <w:color w:val="auto"/>
          <w:sz w:val="32"/>
          <w:szCs w:val="32"/>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lang w:val="en-US" w:eastAsia="zh-CN" w:bidi="ar-SA"/>
        </w:rPr>
      </w:pPr>
      <w:r>
        <w:rPr>
          <w:rFonts w:hint="eastAsia" w:ascii="仿宋_GB2312" w:hAnsi="仿宋_GB2312" w:eastAsia="仿宋_GB2312" w:cs="仿宋_GB2312"/>
          <w:b w:val="0"/>
          <w:bCs/>
          <w:color w:val="auto"/>
          <w:sz w:val="32"/>
          <w:szCs w:val="32"/>
          <w:lang w:val="en-US" w:eastAsia="zh-CN" w:bidi="ar-SA"/>
        </w:rPr>
        <w:t>二</w:t>
      </w:r>
      <w:r>
        <w:rPr>
          <w:rFonts w:hint="default" w:ascii="仿宋_GB2312" w:hAnsi="仿宋_GB2312" w:eastAsia="仿宋_GB2312" w:cs="仿宋_GB2312"/>
          <w:b w:val="0"/>
          <w:bCs/>
          <w:color w:val="auto"/>
          <w:sz w:val="32"/>
          <w:szCs w:val="32"/>
          <w:lang w:val="en-US" w:eastAsia="zh-CN" w:bidi="ar-SA"/>
        </w:rPr>
        <w:t>是加强对</w:t>
      </w:r>
      <w:r>
        <w:rPr>
          <w:rFonts w:hint="eastAsia" w:ascii="仿宋_GB2312" w:hAnsi="仿宋_GB2312" w:eastAsia="仿宋_GB2312" w:cs="仿宋_GB2312"/>
          <w:b w:val="0"/>
          <w:bCs/>
          <w:color w:val="auto"/>
          <w:sz w:val="32"/>
          <w:szCs w:val="32"/>
          <w:lang w:val="en-US" w:eastAsia="zh-CN" w:bidi="ar-SA"/>
        </w:rPr>
        <w:t>局内各科室</w:t>
      </w:r>
      <w:r>
        <w:rPr>
          <w:rFonts w:hint="default" w:ascii="仿宋_GB2312" w:hAnsi="仿宋_GB2312" w:eastAsia="仿宋_GB2312" w:cs="仿宋_GB2312"/>
          <w:b w:val="0"/>
          <w:bCs/>
          <w:color w:val="auto"/>
          <w:sz w:val="32"/>
          <w:szCs w:val="32"/>
          <w:lang w:val="en-US" w:eastAsia="zh-CN" w:bidi="ar-SA"/>
        </w:rPr>
        <w:t>政务公开工作的培训指导，举办政务公开培训班</w:t>
      </w:r>
      <w:r>
        <w:rPr>
          <w:rFonts w:hint="eastAsia" w:ascii="仿宋_GB2312" w:hAnsi="仿宋_GB2312" w:eastAsia="仿宋_GB2312" w:cs="仿宋_GB2312"/>
          <w:b w:val="0"/>
          <w:bCs/>
          <w:color w:val="auto"/>
          <w:sz w:val="32"/>
          <w:szCs w:val="32"/>
          <w:lang w:val="en-US" w:eastAsia="zh-CN" w:bidi="ar-SA"/>
        </w:rPr>
        <w:t>2</w:t>
      </w:r>
      <w:r>
        <w:rPr>
          <w:rFonts w:hint="default" w:ascii="仿宋_GB2312" w:hAnsi="仿宋_GB2312" w:eastAsia="仿宋_GB2312" w:cs="仿宋_GB2312"/>
          <w:b w:val="0"/>
          <w:bCs/>
          <w:color w:val="auto"/>
          <w:sz w:val="32"/>
          <w:szCs w:val="32"/>
          <w:lang w:val="en-US" w:eastAsia="zh-CN" w:bidi="ar-SA"/>
        </w:rPr>
        <w:t>期，切实提高政务公开相关工作人员的能力水平和整体素质</w:t>
      </w:r>
      <w:r>
        <w:rPr>
          <w:rFonts w:hint="eastAsia" w:ascii="仿宋_GB2312" w:hAnsi="仿宋_GB2312" w:eastAsia="仿宋_GB2312" w:cs="仿宋_GB2312"/>
          <w:b w:val="0"/>
          <w:bCs/>
          <w:color w:val="auto"/>
          <w:sz w:val="32"/>
          <w:szCs w:val="32"/>
          <w:lang w:val="en-US"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0" w:leftChars="0" w:right="0" w:rightChars="0" w:firstLine="640" w:firstLineChars="0"/>
        <w:jc w:val="left"/>
        <w:textAlignment w:val="auto"/>
        <w:rPr>
          <w:rFonts w:hint="eastAsia" w:ascii="黑体" w:hAnsi="黑体" w:eastAsia="黑体" w:cs="Times New Roman"/>
          <w:bCs/>
          <w:color w:val="auto"/>
          <w:kern w:val="0"/>
          <w:sz w:val="32"/>
          <w:szCs w:val="32"/>
          <w:lang w:eastAsia="zh-CN" w:bidi="ar"/>
        </w:rPr>
      </w:pPr>
      <w:r>
        <w:rPr>
          <w:rFonts w:hint="eastAsia" w:ascii="黑体" w:hAnsi="黑体" w:eastAsia="黑体" w:cs="Times New Roman"/>
          <w:bCs/>
          <w:color w:val="auto"/>
          <w:kern w:val="0"/>
          <w:sz w:val="32"/>
          <w:szCs w:val="32"/>
          <w:lang w:eastAsia="zh-CN" w:bidi="ar"/>
        </w:rPr>
        <w:t>主动公开政府信息情况</w:t>
      </w:r>
    </w:p>
    <w:p>
      <w:pPr>
        <w:pStyle w:val="2"/>
        <w:ind w:left="0" w:leftChars="0" w:firstLine="0" w:firstLineChars="0"/>
        <w:jc w:val="both"/>
        <w:rPr>
          <w:rFonts w:hint="eastAsia"/>
          <w:lang w:eastAsia="zh-CN"/>
        </w:rPr>
      </w:pPr>
      <w:r>
        <w:rPr>
          <w:rFonts w:hint="eastAsia"/>
          <w:lang w:eastAsia="zh-CN"/>
        </w:rPr>
        <w:drawing>
          <wp:inline distT="0" distB="0" distL="114300" distR="114300">
            <wp:extent cx="5544185" cy="3107055"/>
            <wp:effectExtent l="0" t="0" r="18415" b="1714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7"/>
                    <a:stretch>
                      <a:fillRect/>
                    </a:stretch>
                  </pic:blipFill>
                  <pic:spPr>
                    <a:xfrm>
                      <a:off x="0" y="0"/>
                      <a:ext cx="5544185" cy="3107055"/>
                    </a:xfrm>
                    <a:prstGeom prst="rect">
                      <a:avLst/>
                    </a:prstGeom>
                  </pic:spPr>
                </pic:pic>
              </a:graphicData>
            </a:graphic>
          </wp:inline>
        </w:drawing>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0" w:leftChars="0" w:right="0" w:rightChars="0" w:firstLine="640" w:firstLineChars="0"/>
        <w:jc w:val="left"/>
        <w:textAlignment w:val="auto"/>
        <w:rPr>
          <w:rFonts w:hint="eastAsia" w:ascii="黑体" w:hAnsi="黑体" w:eastAsia="黑体" w:cs="Times New Roman"/>
          <w:bCs/>
          <w:color w:val="auto"/>
          <w:kern w:val="0"/>
          <w:sz w:val="32"/>
          <w:szCs w:val="32"/>
          <w:lang w:eastAsia="zh-CN" w:bidi="ar"/>
        </w:rPr>
      </w:pPr>
      <w:r>
        <w:rPr>
          <w:rFonts w:hint="eastAsia" w:ascii="黑体" w:hAnsi="黑体" w:eastAsia="黑体" w:cs="Times New Roman"/>
          <w:bCs/>
          <w:color w:val="auto"/>
          <w:kern w:val="0"/>
          <w:sz w:val="32"/>
          <w:szCs w:val="32"/>
          <w:lang w:eastAsia="zh-CN" w:bidi="ar"/>
        </w:rPr>
        <w:t>收到和处理政府信息公开申请情况</w:t>
      </w:r>
    </w:p>
    <w:p>
      <w:pPr>
        <w:pStyle w:val="2"/>
        <w:ind w:left="0" w:leftChars="0" w:firstLine="0" w:firstLineChars="0"/>
        <w:rPr>
          <w:rFonts w:hint="eastAsia"/>
          <w:lang w:eastAsia="zh-CN"/>
        </w:rPr>
      </w:pPr>
      <w:r>
        <w:rPr>
          <w:rFonts w:hint="eastAsia"/>
          <w:lang w:eastAsia="zh-CN"/>
        </w:rPr>
        <w:drawing>
          <wp:inline distT="0" distB="0" distL="114300" distR="114300">
            <wp:extent cx="5632450" cy="7680325"/>
            <wp:effectExtent l="0" t="0" r="6350" b="15875"/>
            <wp:docPr id="7" name="图片 7"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
                    <pic:cNvPicPr>
                      <a:picLocks noChangeAspect="1"/>
                    </pic:cNvPicPr>
                  </pic:nvPicPr>
                  <pic:blipFill>
                    <a:blip r:embed="rId8"/>
                    <a:stretch>
                      <a:fillRect/>
                    </a:stretch>
                  </pic:blipFill>
                  <pic:spPr>
                    <a:xfrm>
                      <a:off x="0" y="0"/>
                      <a:ext cx="5632450" cy="7680325"/>
                    </a:xfrm>
                    <a:prstGeom prst="rect">
                      <a:avLst/>
                    </a:prstGeom>
                  </pic:spPr>
                </pic:pic>
              </a:graphicData>
            </a:graphic>
          </wp:inline>
        </w:drawing>
      </w:r>
    </w:p>
    <w:p>
      <w:pPr>
        <w:pStyle w:val="2"/>
        <w:ind w:left="0" w:leftChars="0" w:firstLine="0" w:firstLineChars="0"/>
        <w:rPr>
          <w:rFonts w:hint="eastAsia"/>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0" w:leftChars="0" w:right="0" w:rightChars="0" w:firstLine="640" w:firstLineChars="0"/>
        <w:jc w:val="left"/>
        <w:textAlignment w:val="auto"/>
        <w:rPr>
          <w:rFonts w:hint="eastAsia" w:ascii="黑体" w:hAnsi="黑体" w:eastAsia="黑体" w:cs="Times New Roman"/>
          <w:bCs/>
          <w:color w:val="auto"/>
          <w:kern w:val="0"/>
          <w:sz w:val="32"/>
          <w:szCs w:val="32"/>
          <w:lang w:eastAsia="zh-CN" w:bidi="ar"/>
        </w:rPr>
      </w:pPr>
      <w:r>
        <w:rPr>
          <w:rFonts w:hint="eastAsia" w:ascii="黑体" w:hAnsi="黑体" w:eastAsia="黑体" w:cs="Times New Roman"/>
          <w:bCs/>
          <w:color w:val="auto"/>
          <w:kern w:val="0"/>
          <w:sz w:val="32"/>
          <w:szCs w:val="32"/>
          <w:lang w:eastAsia="zh-CN" w:bidi="ar"/>
        </w:rPr>
        <w:t>政府信息公开行政复议、行政诉讼情况</w:t>
      </w:r>
    </w:p>
    <w:p>
      <w:pPr>
        <w:pStyle w:val="2"/>
        <w:ind w:left="0" w:leftChars="0" w:firstLine="0" w:firstLineChars="0"/>
        <w:rPr>
          <w:rFonts w:hint="eastAsia"/>
          <w:lang w:eastAsia="zh-CN"/>
        </w:rPr>
      </w:pPr>
      <w:r>
        <w:rPr>
          <w:rFonts w:hint="eastAsia"/>
          <w:lang w:eastAsia="zh-CN"/>
        </w:rPr>
        <w:drawing>
          <wp:inline distT="0" distB="0" distL="114300" distR="114300">
            <wp:extent cx="5543550" cy="1777365"/>
            <wp:effectExtent l="0" t="0" r="0" b="13335"/>
            <wp:docPr id="6" name="图片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
                    <pic:cNvPicPr>
                      <a:picLocks noChangeAspect="1"/>
                    </pic:cNvPicPr>
                  </pic:nvPicPr>
                  <pic:blipFill>
                    <a:blip r:embed="rId9"/>
                    <a:stretch>
                      <a:fillRect/>
                    </a:stretch>
                  </pic:blipFill>
                  <pic:spPr>
                    <a:xfrm>
                      <a:off x="0" y="0"/>
                      <a:ext cx="5543550" cy="1777365"/>
                    </a:xfrm>
                    <a:prstGeom prst="rect">
                      <a:avLst/>
                    </a:prstGeom>
                  </pic:spPr>
                </pic:pic>
              </a:graphicData>
            </a:graphic>
          </wp:inline>
        </w:drawing>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0" w:leftChars="0" w:right="0" w:rightChars="0" w:firstLine="640" w:firstLineChars="0"/>
        <w:jc w:val="left"/>
        <w:textAlignment w:val="auto"/>
        <w:rPr>
          <w:rFonts w:hint="default" w:ascii="黑体" w:hAnsi="黑体" w:eastAsia="黑体" w:cs="Times New Roman"/>
          <w:bCs/>
          <w:color w:val="auto"/>
          <w:kern w:val="0"/>
          <w:sz w:val="32"/>
          <w:szCs w:val="32"/>
          <w:lang w:val="en-US" w:eastAsia="zh-CN" w:bidi="ar"/>
        </w:rPr>
      </w:pPr>
      <w:r>
        <w:rPr>
          <w:rFonts w:hint="eastAsia" w:ascii="黑体" w:hAnsi="黑体" w:eastAsia="黑体" w:cs="Times New Roman"/>
          <w:bCs/>
          <w:color w:val="auto"/>
          <w:kern w:val="0"/>
          <w:sz w:val="32"/>
          <w:szCs w:val="32"/>
          <w:lang w:eastAsia="zh-CN" w:bidi="ar"/>
        </w:rPr>
        <w:t>存在的主要问题及改进情况</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bCs/>
          <w:color w:val="auto"/>
          <w:sz w:val="32"/>
          <w:szCs w:val="32"/>
          <w:lang w:val="en-US" w:eastAsia="zh-CN" w:bidi="ar-SA"/>
        </w:rPr>
      </w:pPr>
      <w:r>
        <w:rPr>
          <w:rFonts w:hint="default" w:ascii="仿宋_GB2312" w:hAnsi="仿宋_GB2312" w:eastAsia="仿宋_GB2312" w:cs="仿宋_GB2312"/>
          <w:b w:val="0"/>
          <w:bCs/>
          <w:color w:val="auto"/>
          <w:sz w:val="32"/>
          <w:szCs w:val="32"/>
          <w:lang w:val="en-US" w:eastAsia="zh-CN" w:bidi="ar-SA"/>
        </w:rPr>
        <w:t>我局高度重视政府信息公开工作，工作取得了一些成效，但仍存在公开工作不够精细、公开时效性不够高等问题。202</w:t>
      </w:r>
      <w:r>
        <w:rPr>
          <w:rFonts w:hint="eastAsia" w:ascii="仿宋_GB2312" w:hAnsi="仿宋_GB2312" w:eastAsia="仿宋_GB2312" w:cs="仿宋_GB2312"/>
          <w:b w:val="0"/>
          <w:bCs/>
          <w:color w:val="auto"/>
          <w:sz w:val="32"/>
          <w:szCs w:val="32"/>
          <w:lang w:val="en-US" w:eastAsia="zh-CN" w:bidi="ar-SA"/>
        </w:rPr>
        <w:t>3</w:t>
      </w:r>
      <w:r>
        <w:rPr>
          <w:rFonts w:hint="default" w:ascii="仿宋_GB2312" w:hAnsi="仿宋_GB2312" w:eastAsia="仿宋_GB2312" w:cs="仿宋_GB2312"/>
          <w:b w:val="0"/>
          <w:bCs/>
          <w:color w:val="auto"/>
          <w:sz w:val="32"/>
          <w:szCs w:val="32"/>
          <w:lang w:val="en-US" w:eastAsia="zh-CN" w:bidi="ar-SA"/>
        </w:rPr>
        <w:t>年，我局政府信息公开工作将重点做好以下几方面工作：一是强化</w:t>
      </w:r>
      <w:r>
        <w:rPr>
          <w:rFonts w:hint="eastAsia" w:ascii="仿宋_GB2312" w:hAnsi="仿宋_GB2312" w:eastAsia="仿宋_GB2312" w:cs="仿宋_GB2312"/>
          <w:b w:val="0"/>
          <w:bCs/>
          <w:color w:val="auto"/>
          <w:sz w:val="32"/>
          <w:szCs w:val="32"/>
          <w:lang w:val="en-US" w:eastAsia="zh-CN" w:bidi="ar-SA"/>
        </w:rPr>
        <w:t>政府</w:t>
      </w:r>
      <w:r>
        <w:rPr>
          <w:rFonts w:hint="default" w:ascii="仿宋_GB2312" w:hAnsi="仿宋_GB2312" w:eastAsia="仿宋_GB2312" w:cs="仿宋_GB2312"/>
          <w:b w:val="0"/>
          <w:bCs/>
          <w:color w:val="auto"/>
          <w:sz w:val="32"/>
          <w:szCs w:val="32"/>
          <w:lang w:val="en-US" w:eastAsia="zh-CN" w:bidi="ar-SA"/>
        </w:rPr>
        <w:t>信息公开机制，对信息拟制、保密审查、发布、反馈等环节全程把控，促进信息公开工作的制度化、规范化、常态化。二是拓展公开内容。按照“公开为常态，不公开为例外”的原则，提升工作效率，做到凡是需要公开的政务信息，都要主动及时公开，对于政府信息的内容要做到全面、真实、具体。</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0" w:leftChars="0" w:right="0" w:rightChars="0" w:firstLine="640" w:firstLineChars="0"/>
        <w:jc w:val="left"/>
        <w:textAlignment w:val="auto"/>
        <w:rPr>
          <w:rFonts w:hint="eastAsia" w:ascii="黑体" w:hAnsi="黑体" w:eastAsia="黑体" w:cs="Times New Roman"/>
          <w:bCs/>
          <w:color w:val="auto"/>
          <w:kern w:val="0"/>
          <w:sz w:val="32"/>
          <w:szCs w:val="32"/>
          <w:lang w:eastAsia="zh-CN" w:bidi="ar"/>
        </w:rPr>
      </w:pPr>
      <w:r>
        <w:rPr>
          <w:rFonts w:hint="eastAsia" w:ascii="黑体" w:hAnsi="黑体" w:eastAsia="黑体" w:cs="Times New Roman"/>
          <w:bCs/>
          <w:color w:val="auto"/>
          <w:kern w:val="0"/>
          <w:sz w:val="32"/>
          <w:szCs w:val="32"/>
          <w:lang w:eastAsia="zh-CN" w:bidi="ar"/>
        </w:rPr>
        <w:t>其他需要报告的事项</w:t>
      </w:r>
    </w:p>
    <w:p>
      <w:pPr>
        <w:keepNext w:val="0"/>
        <w:keepLines w:val="0"/>
        <w:pageBreakBefore w:val="0"/>
        <w:widowControl w:val="0"/>
        <w:kinsoku/>
        <w:wordWrap/>
        <w:overflowPunct/>
        <w:topLinePunct w:val="0"/>
        <w:autoSpaceDE/>
        <w:autoSpaceDN/>
        <w:bidi w:val="0"/>
        <w:adjustRightInd/>
        <w:snapToGrid/>
        <w:spacing w:line="560" w:lineRule="exact"/>
        <w:ind w:right="-100" w:rightChars="-50" w:firstLine="640" w:firstLineChars="200"/>
        <w:textAlignment w:val="auto"/>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（一）依据《政府信息公开信息处理费管理办法》收取信息处理费的情况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b w:val="0"/>
          <w:bCs/>
          <w:color w:val="auto"/>
          <w:sz w:val="32"/>
          <w:szCs w:val="32"/>
          <w:lang w:val="en-US" w:eastAsia="zh-CN" w:bidi="ar-SA"/>
        </w:rPr>
      </w:pPr>
      <w:r>
        <w:rPr>
          <w:rFonts w:hint="eastAsia" w:ascii="仿宋_GB2312" w:hAnsi="仿宋_GB2312" w:eastAsia="仿宋_GB2312" w:cs="仿宋_GB2312"/>
          <w:b w:val="0"/>
          <w:bCs/>
          <w:color w:val="auto"/>
          <w:sz w:val="32"/>
          <w:szCs w:val="32"/>
          <w:lang w:val="en-US" w:eastAsia="zh-CN" w:bidi="ar-SA"/>
        </w:rPr>
        <w:t>本年度，我局未收取政府信息公开信息处理费。</w:t>
      </w:r>
    </w:p>
    <w:p>
      <w:pPr>
        <w:keepNext w:val="0"/>
        <w:keepLines w:val="0"/>
        <w:pageBreakBefore w:val="0"/>
        <w:widowControl w:val="0"/>
        <w:kinsoku/>
        <w:wordWrap/>
        <w:overflowPunct/>
        <w:topLinePunct w:val="0"/>
        <w:autoSpaceDE/>
        <w:autoSpaceDN/>
        <w:bidi w:val="0"/>
        <w:adjustRightInd/>
        <w:snapToGrid/>
        <w:spacing w:line="560" w:lineRule="exact"/>
        <w:ind w:right="-100" w:rightChars="-50" w:firstLine="640" w:firstLineChars="200"/>
        <w:textAlignment w:val="auto"/>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lang w:eastAsia="zh-CN"/>
        </w:rPr>
        <w:t>（二）</w:t>
      </w:r>
      <w:r>
        <w:rPr>
          <w:rFonts w:hint="eastAsia" w:ascii="楷体" w:hAnsi="楷体" w:eastAsia="楷体" w:cs="楷体"/>
          <w:b w:val="0"/>
          <w:bCs/>
          <w:color w:val="auto"/>
          <w:sz w:val="32"/>
          <w:szCs w:val="32"/>
        </w:rPr>
        <w:t>本行政机关落实上级年度政务公开工作要点情况</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color w:val="auto"/>
          <w:sz w:val="32"/>
          <w:szCs w:val="32"/>
          <w:lang w:val="en-US" w:eastAsia="zh-CN" w:bidi="ar-SA"/>
        </w:rPr>
      </w:pPr>
      <w:r>
        <w:rPr>
          <w:rFonts w:hint="eastAsia" w:ascii="仿宋_GB2312" w:hAnsi="仿宋_GB2312" w:eastAsia="仿宋_GB2312" w:cs="仿宋_GB2312"/>
          <w:b w:val="0"/>
          <w:bCs/>
          <w:color w:val="auto"/>
          <w:sz w:val="32"/>
          <w:szCs w:val="32"/>
          <w:lang w:val="en-US" w:eastAsia="zh-CN" w:bidi="ar-SA"/>
        </w:rPr>
        <w:t>2022年，按照《济宁市兖州区人民政府办公室关于印发&lt;2022年济宁市兖州区政务公开重点工作任务分解表&gt;的通知》（济兖政办字〔2022〕14号）、《2022年济宁市兖州区地方金融监管局政务公开重点工作任务实施方案》(济兖金监字〔2022〕16号)要求，区地方金融监管局紧紧围绕四个方面落实任务分工，一是深化优化政策解读、回应关切和公众参与。二是深化政务公开标准化规范化工作。三是深化政务公开基础工作,规范开展政府信息主动公开和依申请公开工作,加强公开平台建设。四是强化政务公开保障措施。完善政务公开制度规范，进一步提高政府治理能力，为加快兖州高质量发展发挥积极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lang w:eastAsia="zh-CN"/>
        </w:rPr>
        <w:t>（三）</w:t>
      </w:r>
      <w:r>
        <w:rPr>
          <w:rFonts w:hint="eastAsia" w:ascii="楷体" w:hAnsi="楷体" w:eastAsia="楷体" w:cs="楷体"/>
          <w:b w:val="0"/>
          <w:bCs/>
          <w:color w:val="auto"/>
          <w:sz w:val="32"/>
          <w:szCs w:val="32"/>
        </w:rPr>
        <w:t>本行政机关人大代表建议和政协提案办理结果公开情况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lang w:val="en-US" w:eastAsia="zh-CN" w:bidi="ar-SA"/>
        </w:rPr>
      </w:pPr>
      <w:r>
        <w:rPr>
          <w:rFonts w:hint="eastAsia" w:ascii="仿宋_GB2312" w:hAnsi="仿宋_GB2312" w:eastAsia="仿宋_GB2312" w:cs="仿宋_GB2312"/>
          <w:b w:val="0"/>
          <w:bCs/>
          <w:color w:val="auto"/>
          <w:sz w:val="32"/>
          <w:szCs w:val="32"/>
          <w:lang w:val="en-US" w:eastAsia="zh-CN" w:bidi="ar-SA"/>
        </w:rPr>
        <w:t>2022年兖州区地方金融监督管理局共收到第十九届人民代表大会代表建议1件，兖州区政协十五届一次会议提案3件，目前均已办复，提案意见均已吸收采纳。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73" w:leftChars="0" w:right="-100" w:rightChars="-50"/>
        <w:textAlignment w:val="auto"/>
        <w:rPr>
          <w:rFonts w:hint="eastAsia" w:ascii="楷体" w:hAnsi="楷体" w:eastAsia="楷体" w:cs="楷体"/>
          <w:b w:val="0"/>
          <w:bCs/>
          <w:color w:val="auto"/>
          <w:sz w:val="32"/>
          <w:szCs w:val="32"/>
          <w:lang w:val="en-US" w:eastAsia="zh-CN"/>
        </w:rPr>
      </w:pPr>
      <w:r>
        <w:rPr>
          <w:rFonts w:hint="eastAsia" w:ascii="楷体" w:hAnsi="楷体" w:eastAsia="楷体" w:cs="楷体"/>
          <w:b w:val="0"/>
          <w:bCs/>
          <w:color w:val="auto"/>
          <w:sz w:val="32"/>
          <w:szCs w:val="32"/>
          <w:lang w:val="en-US" w:eastAsia="zh-CN"/>
        </w:rPr>
        <w:t>（四）本行政机关年度政务公开工作创新情况</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color w:val="auto"/>
          <w:sz w:val="32"/>
          <w:szCs w:val="32"/>
          <w:lang w:val="en-US" w:eastAsia="zh-CN" w:bidi="ar-SA"/>
        </w:rPr>
      </w:pPr>
      <w:r>
        <w:rPr>
          <w:rFonts w:hint="eastAsia" w:ascii="仿宋_GB2312" w:hAnsi="仿宋_GB2312" w:eastAsia="仿宋_GB2312" w:cs="仿宋_GB2312"/>
          <w:b w:val="0"/>
          <w:bCs/>
          <w:color w:val="auto"/>
          <w:sz w:val="32"/>
          <w:szCs w:val="32"/>
          <w:lang w:val="en-US" w:eastAsia="zh-CN" w:bidi="ar-SA"/>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00" w:rightChars="-50" w:firstLine="640" w:firstLineChars="200"/>
        <w:textAlignment w:val="auto"/>
        <w:rPr>
          <w:rFonts w:hint="eastAsia" w:ascii="楷体" w:hAnsi="楷体" w:eastAsia="楷体" w:cs="楷体"/>
          <w:b w:val="0"/>
          <w:bCs/>
          <w:color w:val="auto"/>
          <w:sz w:val="32"/>
          <w:szCs w:val="32"/>
          <w:lang w:eastAsia="zh-CN"/>
        </w:rPr>
      </w:pPr>
      <w:r>
        <w:rPr>
          <w:rFonts w:hint="eastAsia" w:ascii="楷体" w:hAnsi="楷体" w:eastAsia="楷体" w:cs="楷体"/>
          <w:b w:val="0"/>
          <w:bCs/>
          <w:color w:val="auto"/>
          <w:sz w:val="32"/>
          <w:szCs w:val="32"/>
          <w:lang w:eastAsia="zh-CN"/>
        </w:rPr>
        <w:t>（五）本行政机关政府信息公开工作年度报告数据统计需要说明的事项</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color w:val="auto"/>
          <w:sz w:val="32"/>
          <w:szCs w:val="32"/>
          <w:lang w:val="en-US" w:eastAsia="zh-CN" w:bidi="ar-SA"/>
        </w:rPr>
      </w:pPr>
      <w:r>
        <w:rPr>
          <w:rFonts w:hint="eastAsia" w:ascii="仿宋_GB2312" w:hAnsi="仿宋_GB2312" w:eastAsia="仿宋_GB2312" w:cs="仿宋_GB2312"/>
          <w:b w:val="0"/>
          <w:bCs/>
          <w:color w:val="auto"/>
          <w:sz w:val="32"/>
          <w:szCs w:val="32"/>
          <w:lang w:val="en-US" w:eastAsia="zh-CN" w:bidi="ar-SA"/>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73" w:leftChars="0" w:right="-100" w:rightChars="-50"/>
        <w:textAlignment w:val="auto"/>
        <w:rPr>
          <w:rFonts w:hint="eastAsia" w:ascii="楷体" w:hAnsi="楷体" w:eastAsia="楷体" w:cs="楷体"/>
          <w:b w:val="0"/>
          <w:bCs/>
          <w:color w:val="auto"/>
          <w:sz w:val="32"/>
          <w:szCs w:val="32"/>
          <w:lang w:eastAsia="zh-CN"/>
        </w:rPr>
      </w:pPr>
      <w:r>
        <w:rPr>
          <w:rFonts w:hint="eastAsia" w:ascii="楷体" w:hAnsi="楷体" w:eastAsia="楷体" w:cs="楷体"/>
          <w:b w:val="0"/>
          <w:bCs/>
          <w:color w:val="auto"/>
          <w:sz w:val="32"/>
          <w:szCs w:val="32"/>
          <w:lang w:eastAsia="zh-CN"/>
        </w:rPr>
        <w:t>（六）本行政机关认为需要报告的其他事项</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ascii="仿宋_GB2312" w:hAnsi="仿宋_GB2312" w:eastAsia="仿宋_GB2312" w:cs="仿宋_GB2312"/>
          <w:b w:val="0"/>
          <w:bCs/>
          <w:color w:val="auto"/>
          <w:sz w:val="32"/>
          <w:szCs w:val="32"/>
          <w:lang w:val="en-US" w:eastAsia="zh-CN" w:bidi="ar-SA"/>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00" w:rightChars="-50" w:firstLine="640" w:firstLineChars="200"/>
        <w:textAlignment w:val="auto"/>
        <w:rPr>
          <w:rFonts w:hint="eastAsia" w:ascii="楷体" w:hAnsi="楷体" w:eastAsia="楷体" w:cs="楷体"/>
          <w:b w:val="0"/>
          <w:bCs/>
          <w:color w:val="auto"/>
          <w:sz w:val="32"/>
          <w:szCs w:val="32"/>
          <w:lang w:eastAsia="zh-CN"/>
        </w:rPr>
      </w:pPr>
      <w:r>
        <w:rPr>
          <w:rFonts w:hint="eastAsia" w:ascii="楷体" w:hAnsi="楷体" w:eastAsia="楷体" w:cs="楷体"/>
          <w:b w:val="0"/>
          <w:bCs/>
          <w:color w:val="auto"/>
          <w:sz w:val="32"/>
          <w:szCs w:val="32"/>
          <w:lang w:eastAsia="zh-CN"/>
        </w:rPr>
        <w:t>（七）其他有关文件专门要求通过政府信息公开工作年度报告予以报告的事项</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color w:val="auto"/>
        </w:rPr>
      </w:pPr>
      <w:r>
        <w:rPr>
          <w:rFonts w:hint="eastAsia" w:ascii="仿宋_GB2312" w:hAnsi="仿宋_GB2312" w:eastAsia="仿宋_GB2312" w:cs="仿宋_GB2312"/>
          <w:b w:val="0"/>
          <w:bCs/>
          <w:color w:val="auto"/>
          <w:sz w:val="32"/>
          <w:szCs w:val="32"/>
          <w:lang w:val="en-US" w:eastAsia="zh-CN" w:bidi="ar-SA"/>
        </w:rPr>
        <w:t>无。</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bCs/>
          <w:color w:val="auto"/>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 w:val="0"/>
          <w:bCs/>
          <w:color w:val="auto"/>
          <w:sz w:val="32"/>
          <w:szCs w:val="32"/>
        </w:rPr>
      </w:pPr>
    </w:p>
    <w:sectPr>
      <w:footerReference r:id="rId3" w:type="default"/>
      <w:pgSz w:w="11906" w:h="16838"/>
      <w:pgMar w:top="2098" w:right="1587"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9B670"/>
    <w:multiLevelType w:val="singleLevel"/>
    <w:tmpl w:val="15A9B670"/>
    <w:lvl w:ilvl="0" w:tentative="0">
      <w:start w:val="1"/>
      <w:numFmt w:val="chineseCounting"/>
      <w:suff w:val="nothing"/>
      <w:lvlText w:val="%1、"/>
      <w:lvlJc w:val="left"/>
      <w:pPr>
        <w:ind w:left="-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4ZTYwMTA4NTFjMjRlMmE1OTE1NjYxNmYzYjJjYzEifQ=="/>
    <w:docVar w:name="KSO_WPS_MARK_KEY" w:val="77d2b869-dbcd-4081-909a-2c07d410335f"/>
  </w:docVars>
  <w:rsids>
    <w:rsidRoot w:val="58527F6B"/>
    <w:rsid w:val="051F4DAA"/>
    <w:rsid w:val="09E71222"/>
    <w:rsid w:val="126231F2"/>
    <w:rsid w:val="134F6B30"/>
    <w:rsid w:val="14180BB8"/>
    <w:rsid w:val="15853F88"/>
    <w:rsid w:val="19E73463"/>
    <w:rsid w:val="1E2046F5"/>
    <w:rsid w:val="2358717F"/>
    <w:rsid w:val="23C1282C"/>
    <w:rsid w:val="25A20B86"/>
    <w:rsid w:val="2C952BC1"/>
    <w:rsid w:val="35267BAD"/>
    <w:rsid w:val="49063A67"/>
    <w:rsid w:val="4E0866D0"/>
    <w:rsid w:val="55CB1CFD"/>
    <w:rsid w:val="58527F6B"/>
    <w:rsid w:val="586B3EE4"/>
    <w:rsid w:val="5CC42B64"/>
    <w:rsid w:val="62307362"/>
    <w:rsid w:val="629125ED"/>
    <w:rsid w:val="67AB02A5"/>
    <w:rsid w:val="691A7CCB"/>
    <w:rsid w:val="6E1868BC"/>
    <w:rsid w:val="6F0F67D5"/>
    <w:rsid w:val="785B5495"/>
    <w:rsid w:val="78832156"/>
    <w:rsid w:val="795E6CE6"/>
    <w:rsid w:val="7D403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jc w:val="left"/>
    </w:p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2139</Words>
  <Characters>2241</Characters>
  <Lines>0</Lines>
  <Paragraphs>0</Paragraphs>
  <TotalTime>91</TotalTime>
  <ScaleCrop>false</ScaleCrop>
  <LinksUpToDate>false</LinksUpToDate>
  <CharactersWithSpaces>2241</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2023-01-06T06:48:00Z</dcterms:created>
  <dc:creator>Administrator</dc:creator>
  <cp:lastModifiedBy>王旺旺</cp:lastModifiedBy>
  <dcterms:modified xsi:type="dcterms:W3CDTF">2023-02-13T03:09:31Z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20A45B54A8AC41FABC1557E1A71EA853</vt:lpwstr>
  </property>
</Properties>
</file>