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line="560" w:lineRule="exact"/>
        <w:ind w:firstLine="420"/>
        <w:jc w:val="center"/>
        <w:rPr>
          <w:rFonts w:hint="eastAsia" w:ascii="方正小标宋_GBK" w:hAnsi="Adobe Gothic Std B" w:eastAsia="方正小标宋_GBK" w:cs="方正小标宋简体"/>
          <w:sz w:val="44"/>
          <w:szCs w:val="44"/>
        </w:rPr>
      </w:pPr>
      <w:r>
        <w:rPr>
          <w:rFonts w:hint="eastAsia" w:ascii="方正小标宋_GBK" w:hAnsi="宋体" w:eastAsia="方正小标宋_GBK" w:cs="宋体"/>
          <w:sz w:val="44"/>
          <w:szCs w:val="44"/>
        </w:rPr>
        <w:t>济宁</w:t>
      </w:r>
      <w:r>
        <w:rPr>
          <w:rFonts w:hint="eastAsia" w:ascii="方正小标宋_GBK" w:hAnsi="Adobe Gothic Std B" w:eastAsia="方正小标宋_GBK" w:cs="Adobe Gothic Std B"/>
          <w:sz w:val="44"/>
          <w:szCs w:val="44"/>
        </w:rPr>
        <w:t>市</w:t>
      </w:r>
      <w:r>
        <w:rPr>
          <w:rFonts w:hint="eastAsia" w:ascii="方正小标宋_GBK" w:hAnsi="宋体" w:eastAsia="方正小标宋_GBK" w:cs="宋体"/>
          <w:sz w:val="44"/>
          <w:szCs w:val="44"/>
        </w:rPr>
        <w:t>兖</w:t>
      </w:r>
      <w:r>
        <w:rPr>
          <w:rFonts w:hint="eastAsia" w:ascii="方正小标宋_GBK" w:hAnsi="Adobe Gothic Std B" w:eastAsia="方正小标宋_GBK" w:cs="Adobe Gothic Std B"/>
          <w:sz w:val="44"/>
          <w:szCs w:val="44"/>
        </w:rPr>
        <w:t>州</w:t>
      </w:r>
      <w:r>
        <w:rPr>
          <w:rFonts w:hint="eastAsia" w:ascii="方正小标宋_GBK" w:hAnsi="宋体" w:eastAsia="方正小标宋_GBK" w:cs="宋体"/>
          <w:sz w:val="44"/>
          <w:szCs w:val="44"/>
        </w:rPr>
        <w:t>区</w:t>
      </w:r>
      <w:r>
        <w:rPr>
          <w:rFonts w:hint="eastAsia" w:ascii="方正小标宋_GBK" w:hAnsi="宋体" w:eastAsia="方正小标宋_GBK" w:cs="宋体"/>
          <w:sz w:val="44"/>
          <w:szCs w:val="44"/>
          <w:lang w:eastAsia="zh-CN"/>
        </w:rPr>
        <w:t>综合行政执法局</w:t>
      </w:r>
      <w:r>
        <w:rPr>
          <w:rFonts w:hint="eastAsia" w:ascii="方正小标宋_GBK" w:hAnsi="Adobe Gothic Std B" w:eastAsia="方正小标宋_GBK" w:cs="方正小标宋简体"/>
          <w:sz w:val="44"/>
          <w:szCs w:val="44"/>
        </w:rPr>
        <w:t>2020年</w:t>
      </w:r>
    </w:p>
    <w:p>
      <w:pPr>
        <w:pStyle w:val="2"/>
        <w:widowControl/>
        <w:shd w:val="clear" w:color="auto" w:fill="FFFFFF"/>
        <w:spacing w:before="0" w:beforeAutospacing="0" w:after="0" w:afterAutospacing="0" w:line="560" w:lineRule="exact"/>
        <w:ind w:firstLine="420"/>
        <w:jc w:val="center"/>
        <w:rPr>
          <w:rFonts w:hint="eastAsia" w:ascii="方正小标宋_GBK" w:hAnsi="Adobe Gothic Std B" w:eastAsia="方正小标宋_GBK" w:cs="方正小标宋简体"/>
          <w:sz w:val="44"/>
          <w:szCs w:val="44"/>
        </w:rPr>
      </w:pPr>
      <w:r>
        <w:rPr>
          <w:rFonts w:hint="eastAsia" w:ascii="方正小标宋_GBK" w:hAnsi="Adobe Gothic Std B" w:eastAsia="方正小标宋_GBK" w:cs="方正小标宋简体"/>
          <w:sz w:val="44"/>
          <w:szCs w:val="44"/>
        </w:rPr>
        <w:t>政府信息公</w:t>
      </w:r>
      <w:r>
        <w:rPr>
          <w:rFonts w:hint="eastAsia" w:ascii="方正小标宋_GBK" w:hAnsi="宋体" w:eastAsia="方正小标宋_GBK" w:cs="宋体"/>
          <w:sz w:val="44"/>
          <w:szCs w:val="44"/>
        </w:rPr>
        <w:t>开</w:t>
      </w:r>
      <w:r>
        <w:rPr>
          <w:rFonts w:hint="eastAsia" w:ascii="方正小标宋_GBK" w:hAnsi="Adobe Gothic Std B" w:eastAsia="方正小标宋_GBK" w:cs="Adobe Gothic Std B"/>
          <w:sz w:val="44"/>
          <w:szCs w:val="44"/>
        </w:rPr>
        <w:t>工作年度</w:t>
      </w:r>
      <w:r>
        <w:rPr>
          <w:rFonts w:hint="eastAsia" w:ascii="方正小标宋_GBK" w:hAnsi="宋体" w:eastAsia="方正小标宋_GBK" w:cs="宋体"/>
          <w:sz w:val="44"/>
          <w:szCs w:val="44"/>
        </w:rPr>
        <w:t>报</w:t>
      </w:r>
      <w:r>
        <w:rPr>
          <w:rFonts w:hint="eastAsia" w:ascii="方正小标宋_GBK" w:hAnsi="Adobe Gothic Std B" w:eastAsia="方正小标宋_GBK" w:cs="Adobe Gothic Std B"/>
          <w:sz w:val="44"/>
          <w:szCs w:val="44"/>
        </w:rPr>
        <w:t>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ascii="微软雅黑" w:hAnsi="微软雅黑" w:eastAsia="微软雅黑" w:cs="微软雅黑"/>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本年度报告根据《中华人民共和国政府信息公开条例》 和 国务院办公厅政务公开办公室 《关于政府信息公开工作年度报告有关事项的通知》（国办公开办函〔2019 〕60号 ），在区政府正确领导下，区综合行政执法局牢牢把握应公开尽公开的原则，全面推进决策、执行、管理、服务和结果“五公开”。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ascii="方正小标宋简体" w:hAnsi="方正小标宋简体" w:eastAsia="方正小标宋简体" w:cs="方正小标宋简体"/>
          <w:i w:val="0"/>
          <w:caps w:val="0"/>
          <w:color w:val="333333"/>
          <w:spacing w:val="0"/>
          <w:sz w:val="24"/>
          <w:szCs w:val="24"/>
          <w:shd w:val="clear" w:fill="FFFFFF"/>
        </w:rPr>
        <w:t>（一）</w:t>
      </w:r>
      <w:r>
        <w:rPr>
          <w:rFonts w:hint="default" w:ascii="方正小标宋简体" w:hAnsi="方正小标宋简体" w:eastAsia="方正小标宋简体" w:cs="方正小标宋简体"/>
          <w:i w:val="0"/>
          <w:caps w:val="0"/>
          <w:color w:val="333333"/>
          <w:spacing w:val="0"/>
          <w:sz w:val="24"/>
          <w:szCs w:val="24"/>
          <w:shd w:val="clear" w:fill="FFFFFF"/>
        </w:rPr>
        <w:t>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通过济宁市兖州区人民政府门户网站执法局政务公开栏目公开信息共123条，机构职能信息3条，领导信息2条；组织管理信息5条；规划计划信息2条；财政预算决算信息10条；应急管理信息2条；市政建设4条；公告公示信息13条；行政权力运行公开信息55条；重点领域信息20条；主动公开目录信息2条；公开指南信息1条；年报报告信息1条；基层政务公开标准化规范化工作信息3条；根据社区矫正、法治宣传等业务内容，建立突发事件应急联动工作机制，年内未发生突发事件舆情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drawing>
          <wp:inline distT="0" distB="0" distL="114300" distR="114300">
            <wp:extent cx="5276850" cy="27432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6850" cy="27432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0"/>
          <w:sz w:val="24"/>
          <w:szCs w:val="24"/>
          <w:shd w:val="clear" w:fill="FFFFFF"/>
        </w:rPr>
        <w:t>（二）依申请公开情况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2020年区综合行政执法局未收到政府信息公开申请。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0"/>
          <w:sz w:val="24"/>
          <w:szCs w:val="24"/>
          <w:shd w:val="clear" w:fill="FFFFFF"/>
        </w:rPr>
        <w:t>（三）政府信息管理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成立由局主要负责人任组长，分管领导任副组长，局机关各科室负责人为成员的政务公开工作领导小组，统一负责局政府信息公开工作的组织实施。具体日常工作由局办公室主要负责，落实政府信息公开的各项要求，认真做好区执法局的政府信息公开工作，确保公开信息的准确性、权威性、完整性和时效性，做到领导、机构、人员“三到位”。完善政务公开工作机制，优化制发公文的公开审批程序，健全信息公开审核制度和发布台账，对拟公开的政府信息进行严格依法审查。在符合保密要求的前提下，依法公开本机关的政务信息，做好公开内容表述、公开时机、公开方式的研判，及时制定更新主动公开基本目录。年内未发生信息发布失信、影响社会稳定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0"/>
          <w:sz w:val="24"/>
          <w:szCs w:val="24"/>
          <w:shd w:val="clear" w:fill="FFFFFF"/>
        </w:rPr>
        <w:t>(四)平台建设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是政府信息公开网站建设。及时更新责任范围内的政府网站信息内容，坚决避免空白栏目等问题的出现，提高政府网站服务水平，保障群众通过网络平台获取信息的权力。二是新媒体管理，认真做好微信等新媒体的管理工作，确保信息公开工作能够有序开展，全方位提升信息公开受众群体以及舆论引导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0"/>
          <w:sz w:val="24"/>
          <w:szCs w:val="24"/>
          <w:shd w:val="clear" w:fill="FFFFFF"/>
        </w:rPr>
        <w:t>（五）监督保障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成立了政务公开工作领导小组，由局主要领导任组长，分管领导任副组长，各科室负责人任成员。指定专人负责政府信息公开日常工作，严格的网站信息发布管理制度，做到“有专人负责、有部署、有考核”，使政府信息公开工作规范化、制度化、经常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二、主动公开政府信息情况</w:t>
      </w:r>
    </w:p>
    <w:tbl>
      <w:tblPr>
        <w:tblStyle w:val="3"/>
        <w:tblW w:w="8145" w:type="dxa"/>
        <w:jc w:val="center"/>
        <w:tblCellSpacing w:w="0" w:type="dxa"/>
        <w:shd w:val="clear" w:color="auto" w:fill="auto"/>
        <w:tblLayout w:type="autofit"/>
        <w:tblCellMar>
          <w:top w:w="0" w:type="dxa"/>
          <w:left w:w="0" w:type="dxa"/>
          <w:bottom w:w="0" w:type="dxa"/>
          <w:right w:w="0" w:type="dxa"/>
        </w:tblCellMar>
      </w:tblPr>
      <w:tblGrid>
        <w:gridCol w:w="3120"/>
        <w:gridCol w:w="1875"/>
        <w:gridCol w:w="1275"/>
        <w:gridCol w:w="1875"/>
      </w:tblGrid>
      <w:tr>
        <w:tblPrEx>
          <w:shd w:val="clear" w:color="auto" w:fill="auto"/>
          <w:tblCellMar>
            <w:top w:w="0" w:type="dxa"/>
            <w:left w:w="0" w:type="dxa"/>
            <w:bottom w:w="0" w:type="dxa"/>
            <w:right w:w="0" w:type="dxa"/>
          </w:tblCellMar>
        </w:tblPrEx>
        <w:trPr>
          <w:trHeight w:val="495" w:hRule="atLeast"/>
          <w:tblCellSpacing w:w="0" w:type="dxa"/>
          <w:jc w:val="center"/>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color w:val="333333"/>
                <w:sz w:val="24"/>
                <w:szCs w:val="24"/>
              </w:rPr>
            </w:pPr>
            <w:r>
              <w:rPr>
                <w:rFonts w:hint="eastAsia" w:ascii="宋体" w:hAnsi="宋体" w:eastAsia="宋体" w:cs="宋体"/>
                <w:color w:val="333333"/>
                <w:sz w:val="19"/>
                <w:szCs w:val="19"/>
                <w:shd w:val="clear" w:fill="FFFFFF"/>
              </w:rPr>
              <w:t>第二十条第（一）项</w:t>
            </w:r>
          </w:p>
        </w:tc>
      </w:tr>
      <w:tr>
        <w:tblPrEx>
          <w:shd w:val="clear" w:color="auto" w:fill="auto"/>
          <w:tblCellMar>
            <w:top w:w="0" w:type="dxa"/>
            <w:left w:w="0" w:type="dxa"/>
            <w:bottom w:w="0" w:type="dxa"/>
            <w:right w:w="0" w:type="dxa"/>
          </w:tblCellMar>
        </w:tblPrEx>
        <w:trPr>
          <w:trHeight w:val="88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信息内容</w:t>
            </w:r>
          </w:p>
        </w:tc>
        <w:tc>
          <w:tcPr>
            <w:tcW w:w="18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本年新</w:t>
            </w:r>
            <w:r>
              <w:rPr>
                <w:rFonts w:ascii="Calibri" w:hAnsi="Calibri" w:cs="Calibri"/>
                <w:color w:val="333333"/>
                <w:sz w:val="19"/>
                <w:szCs w:val="19"/>
              </w:rPr>
              <w:t>制作数量</w:t>
            </w:r>
          </w:p>
        </w:tc>
        <w:tc>
          <w:tcPr>
            <w:tcW w:w="12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本年新</w:t>
            </w:r>
            <w:r>
              <w:rPr>
                <w:rFonts w:hint="default" w:ascii="Calibri" w:hAnsi="Calibri" w:cs="Calibri"/>
                <w:color w:val="333333"/>
                <w:sz w:val="19"/>
                <w:szCs w:val="19"/>
              </w:rPr>
              <w:t>公开数量</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对外公开总数量</w:t>
            </w:r>
          </w:p>
        </w:tc>
      </w:tr>
      <w:tr>
        <w:tblPrEx>
          <w:shd w:val="clear" w:color="auto" w:fill="auto"/>
          <w:tblCellMar>
            <w:top w:w="0" w:type="dxa"/>
            <w:left w:w="0" w:type="dxa"/>
            <w:bottom w:w="0" w:type="dxa"/>
            <w:right w:w="0" w:type="dxa"/>
          </w:tblCellMar>
        </w:tblPrEx>
        <w:trPr>
          <w:trHeight w:val="52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规章</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r>
      <w:tr>
        <w:tblPrEx>
          <w:shd w:val="clear" w:color="auto" w:fill="auto"/>
          <w:tblCellMar>
            <w:top w:w="0" w:type="dxa"/>
            <w:left w:w="0" w:type="dxa"/>
            <w:bottom w:w="0" w:type="dxa"/>
            <w:right w:w="0" w:type="dxa"/>
          </w:tblCellMar>
        </w:tblPrEx>
        <w:trPr>
          <w:trHeight w:val="46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规范性文件</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r>
      <w:tr>
        <w:tblPrEx>
          <w:shd w:val="clear" w:color="auto" w:fill="auto"/>
          <w:tblCellMar>
            <w:top w:w="0" w:type="dxa"/>
            <w:left w:w="0" w:type="dxa"/>
            <w:bottom w:w="0" w:type="dxa"/>
            <w:right w:w="0" w:type="dxa"/>
          </w:tblCellMar>
        </w:tblPrEx>
        <w:trPr>
          <w:trHeight w:val="480" w:hRule="atLeast"/>
          <w:tblCellSpacing w:w="0" w:type="dxa"/>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第二十条第（五）项</w:t>
            </w:r>
          </w:p>
        </w:tc>
      </w:tr>
      <w:tr>
        <w:tblPrEx>
          <w:shd w:val="clear" w:color="auto" w:fill="auto"/>
          <w:tblCellMar>
            <w:top w:w="0" w:type="dxa"/>
            <w:left w:w="0" w:type="dxa"/>
            <w:bottom w:w="0" w:type="dxa"/>
            <w:right w:w="0" w:type="dxa"/>
          </w:tblCellMar>
        </w:tblPrEx>
        <w:trPr>
          <w:trHeight w:val="630"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信息内容</w:t>
            </w:r>
          </w:p>
        </w:tc>
        <w:tc>
          <w:tcPr>
            <w:tcW w:w="18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上一年项目数量</w:t>
            </w:r>
          </w:p>
        </w:tc>
        <w:tc>
          <w:tcPr>
            <w:tcW w:w="12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本年增/减</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处理决定数量</w:t>
            </w:r>
          </w:p>
        </w:tc>
      </w:tr>
      <w:tr>
        <w:tblPrEx>
          <w:shd w:val="clear" w:color="auto" w:fill="auto"/>
          <w:tblCellMar>
            <w:top w:w="0" w:type="dxa"/>
            <w:left w:w="0" w:type="dxa"/>
            <w:bottom w:w="0" w:type="dxa"/>
            <w:right w:w="0" w:type="dxa"/>
          </w:tblCellMar>
        </w:tblPrEx>
        <w:trPr>
          <w:trHeight w:val="52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行政许可</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r>
      <w:tr>
        <w:tblPrEx>
          <w:shd w:val="clear" w:color="auto" w:fill="auto"/>
          <w:tblCellMar>
            <w:top w:w="0" w:type="dxa"/>
            <w:left w:w="0" w:type="dxa"/>
            <w:bottom w:w="0" w:type="dxa"/>
            <w:right w:w="0" w:type="dxa"/>
          </w:tblCellMar>
        </w:tblPrEx>
        <w:trPr>
          <w:trHeight w:val="55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其他对外管理服务事项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r>
      <w:tr>
        <w:tblPrEx>
          <w:shd w:val="clear" w:color="auto" w:fill="auto"/>
          <w:tblCellMar>
            <w:top w:w="0" w:type="dxa"/>
            <w:left w:w="0" w:type="dxa"/>
            <w:bottom w:w="0" w:type="dxa"/>
            <w:right w:w="0" w:type="dxa"/>
          </w:tblCellMar>
        </w:tblPrEx>
        <w:trPr>
          <w:trHeight w:val="405" w:hRule="atLeast"/>
          <w:tblCellSpacing w:w="0" w:type="dxa"/>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第二十条第（六）项</w:t>
            </w:r>
          </w:p>
        </w:tc>
      </w:tr>
      <w:tr>
        <w:tblPrEx>
          <w:shd w:val="clear" w:color="auto" w:fill="auto"/>
          <w:tblCellMar>
            <w:top w:w="0" w:type="dxa"/>
            <w:left w:w="0" w:type="dxa"/>
            <w:bottom w:w="0" w:type="dxa"/>
            <w:right w:w="0" w:type="dxa"/>
          </w:tblCellMar>
        </w:tblPrEx>
        <w:trPr>
          <w:trHeight w:val="630"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信息内容</w:t>
            </w:r>
          </w:p>
        </w:tc>
        <w:tc>
          <w:tcPr>
            <w:tcW w:w="18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上一年项目数量</w:t>
            </w:r>
          </w:p>
        </w:tc>
        <w:tc>
          <w:tcPr>
            <w:tcW w:w="12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本年增/减</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处理决定数量</w:t>
            </w:r>
          </w:p>
        </w:tc>
      </w:tr>
      <w:tr>
        <w:tblPrEx>
          <w:shd w:val="clear" w:color="auto" w:fill="auto"/>
          <w:tblCellMar>
            <w:top w:w="0" w:type="dxa"/>
            <w:left w:w="0" w:type="dxa"/>
            <w:bottom w:w="0" w:type="dxa"/>
            <w:right w:w="0" w:type="dxa"/>
          </w:tblCellMar>
        </w:tblPrEx>
        <w:trPr>
          <w:trHeight w:val="43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行政处罚</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4"/>
                <w:szCs w:val="24"/>
              </w:rPr>
            </w:pPr>
            <w:r>
              <w:rPr>
                <w:color w:val="333333"/>
                <w:sz w:val="21"/>
                <w:szCs w:val="21"/>
              </w:rPr>
              <w:t>　</w:t>
            </w:r>
            <w:r>
              <w:rPr>
                <w:rFonts w:hint="eastAsia" w:ascii="宋体" w:hAnsi="宋体" w:eastAsia="宋体" w:cs="宋体"/>
                <w:color w:val="333333"/>
                <w:sz w:val="19"/>
                <w:szCs w:val="19"/>
              </w:rPr>
              <w:t>28</w:t>
            </w:r>
          </w:p>
        </w:tc>
        <w:tc>
          <w:tcPr>
            <w:tcW w:w="1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增27</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55</w:t>
            </w:r>
          </w:p>
        </w:tc>
      </w:tr>
      <w:tr>
        <w:tblPrEx>
          <w:shd w:val="clear" w:color="auto" w:fill="auto"/>
          <w:tblCellMar>
            <w:top w:w="0" w:type="dxa"/>
            <w:left w:w="0" w:type="dxa"/>
            <w:bottom w:w="0" w:type="dxa"/>
            <w:right w:w="0" w:type="dxa"/>
          </w:tblCellMar>
        </w:tblPrEx>
        <w:trPr>
          <w:trHeight w:val="40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行政强制</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r>
      <w:tr>
        <w:tblPrEx>
          <w:shd w:val="clear" w:color="auto" w:fill="auto"/>
          <w:tblCellMar>
            <w:top w:w="0" w:type="dxa"/>
            <w:left w:w="0" w:type="dxa"/>
            <w:bottom w:w="0" w:type="dxa"/>
            <w:right w:w="0" w:type="dxa"/>
          </w:tblCellMar>
        </w:tblPrEx>
        <w:trPr>
          <w:trHeight w:val="480" w:hRule="atLeast"/>
          <w:tblCellSpacing w:w="0" w:type="dxa"/>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第二十条第（八）项</w:t>
            </w:r>
          </w:p>
        </w:tc>
      </w:tr>
      <w:tr>
        <w:tblPrEx>
          <w:shd w:val="clear" w:color="auto" w:fill="auto"/>
          <w:tblCellMar>
            <w:top w:w="0" w:type="dxa"/>
            <w:left w:w="0" w:type="dxa"/>
            <w:bottom w:w="0" w:type="dxa"/>
            <w:right w:w="0" w:type="dxa"/>
          </w:tblCellMar>
        </w:tblPrEx>
        <w:trPr>
          <w:trHeight w:val="270"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信息内容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上一年项目数量</w:t>
            </w:r>
          </w:p>
        </w:tc>
        <w:tc>
          <w:tcPr>
            <w:tcW w:w="3150"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本年增/减</w:t>
            </w:r>
          </w:p>
        </w:tc>
      </w:tr>
      <w:tr>
        <w:tblPrEx>
          <w:shd w:val="clear" w:color="auto" w:fill="auto"/>
          <w:tblCellMar>
            <w:top w:w="0" w:type="dxa"/>
            <w:left w:w="0" w:type="dxa"/>
            <w:bottom w:w="0" w:type="dxa"/>
            <w:right w:w="0" w:type="dxa"/>
          </w:tblCellMar>
        </w:tblPrEx>
        <w:trPr>
          <w:trHeight w:val="55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行政事业性收费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31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shd w:val="clear" w:color="auto" w:fill="auto"/>
          <w:tblCellMar>
            <w:top w:w="0" w:type="dxa"/>
            <w:left w:w="0" w:type="dxa"/>
            <w:bottom w:w="0" w:type="dxa"/>
            <w:right w:w="0" w:type="dxa"/>
          </w:tblCellMar>
        </w:tblPrEx>
        <w:trPr>
          <w:trHeight w:val="480" w:hRule="atLeast"/>
          <w:tblCellSpacing w:w="0" w:type="dxa"/>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第二十条第（九）项</w:t>
            </w:r>
          </w:p>
        </w:tc>
      </w:tr>
      <w:tr>
        <w:tblPrEx>
          <w:shd w:val="clear" w:color="auto" w:fill="auto"/>
          <w:tblCellMar>
            <w:top w:w="0" w:type="dxa"/>
            <w:left w:w="0" w:type="dxa"/>
            <w:bottom w:w="0" w:type="dxa"/>
            <w:right w:w="0" w:type="dxa"/>
          </w:tblCellMar>
        </w:tblPrEx>
        <w:trPr>
          <w:trHeight w:val="58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信息内容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采购项目数量</w:t>
            </w:r>
          </w:p>
        </w:tc>
        <w:tc>
          <w:tcPr>
            <w:tcW w:w="3150"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采购总金额</w:t>
            </w:r>
          </w:p>
        </w:tc>
      </w:tr>
      <w:tr>
        <w:tblPrEx>
          <w:shd w:val="clear" w:color="auto" w:fill="auto"/>
          <w:tblCellMar>
            <w:top w:w="0" w:type="dxa"/>
            <w:left w:w="0" w:type="dxa"/>
            <w:bottom w:w="0" w:type="dxa"/>
            <w:right w:w="0" w:type="dxa"/>
          </w:tblCellMar>
        </w:tblPrEx>
        <w:trPr>
          <w:trHeight w:val="540"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政府集中采购</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31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Fonts w:hint="eastAsia" w:ascii="宋体" w:hAnsi="宋体" w:eastAsia="宋体" w:cs="宋体"/>
                <w:color w:val="333333"/>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三、收到和处理政府信息公开申请情况</w:t>
      </w:r>
    </w:p>
    <w:tbl>
      <w:tblPr>
        <w:tblStyle w:val="3"/>
        <w:tblW w:w="907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0"/>
        <w:gridCol w:w="855"/>
        <w:gridCol w:w="2078"/>
        <w:gridCol w:w="808"/>
        <w:gridCol w:w="748"/>
        <w:gridCol w:w="748"/>
        <w:gridCol w:w="808"/>
        <w:gridCol w:w="972"/>
        <w:gridCol w:w="719"/>
        <w:gridCol w:w="7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555"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（本列数据的勾稽关系为：第一项加第二项之和，等于第三项加第四项之和）</w:t>
            </w:r>
          </w:p>
        </w:tc>
        <w:tc>
          <w:tcPr>
            <w:tcW w:w="5520" w:type="dxa"/>
            <w:gridSpan w:val="7"/>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55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1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自然人</w:t>
            </w:r>
          </w:p>
        </w:tc>
        <w:tc>
          <w:tcPr>
            <w:tcW w:w="400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法人或其他组织</w:t>
            </w:r>
          </w:p>
        </w:tc>
        <w:tc>
          <w:tcPr>
            <w:tcW w:w="69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55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商业企业</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科研机构</w:t>
            </w:r>
          </w:p>
        </w:tc>
        <w:tc>
          <w:tcPr>
            <w:tcW w:w="81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社会公益组织</w:t>
            </w:r>
          </w:p>
        </w:tc>
        <w:tc>
          <w:tcPr>
            <w:tcW w:w="9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法律服务机构</w:t>
            </w:r>
          </w:p>
        </w:tc>
        <w:tc>
          <w:tcPr>
            <w:tcW w:w="70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其他</w:t>
            </w:r>
          </w:p>
        </w:tc>
        <w:tc>
          <w:tcPr>
            <w:tcW w:w="69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555"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一、本年新收政府信息公开申请数量</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555"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二、上年结转政府信息公开申请数量</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三、本年度办理结果</w:t>
            </w:r>
          </w:p>
        </w:tc>
        <w:tc>
          <w:tcPr>
            <w:tcW w:w="294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ascii="楷体" w:hAnsi="楷体" w:eastAsia="楷体" w:cs="楷体"/>
                <w:color w:val="333333"/>
                <w:sz w:val="19"/>
                <w:szCs w:val="19"/>
              </w:rPr>
              <w:t>（一）予以公开</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（二）部分公开（区分处理的，只计这一情形，不计其他情形）</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21"/>
                <w:szCs w:val="21"/>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21"/>
                <w:szCs w:val="21"/>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21"/>
                <w:szCs w:val="21"/>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（三）不予公开</w:t>
            </w: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1.属于国家秘密</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2.其他法律行政法规禁止公开</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3.危及“三安全一稳定”</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4.保护第三方合法权益</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5.属于三类内部事务信息</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6.属于四类过程性信息</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7.属于行政执法案卷</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8.属于行政查询事项</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（四）无法提供</w:t>
            </w: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1.本机关不掌握相关政府信息</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2.没有现成信息需要另行制作</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3.补正后申请内容仍不明确</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（五）不予处理</w:t>
            </w: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1.信访举报投诉类申请</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2.重复申请</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3.要求提供公开出版物</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4.无正当理由大量反复申请</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5.要求行政机关确认或重新出具已获取信息</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（六）其他处理</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（七）总计</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555"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四、结转下年度继续办理</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Fonts w:hint="eastAsia" w:ascii="宋体" w:hAnsi="宋体" w:eastAsia="宋体" w:cs="宋体"/>
                <w:color w:val="333333"/>
                <w:sz w:val="19"/>
                <w:szCs w:val="19"/>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四、政府信息公开行政复议、行政诉讼情况</w:t>
      </w:r>
    </w:p>
    <w:tbl>
      <w:tblPr>
        <w:tblStyle w:val="3"/>
        <w:tblW w:w="907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0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结果维持</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尚未审结</w:t>
            </w:r>
          </w:p>
        </w:tc>
        <w:tc>
          <w:tcPr>
            <w:tcW w:w="66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总计</w:t>
            </w:r>
          </w:p>
        </w:tc>
        <w:tc>
          <w:tcPr>
            <w:tcW w:w="297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0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结果维持</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总计</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结果维持</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Fonts w:hint="eastAsia" w:ascii="宋体" w:hAnsi="宋体" w:eastAsia="宋体" w:cs="宋体"/>
                <w:color w:val="333333"/>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2020年我局政府信息公开工作取得了一定成效，但也存在一些问题，一是有些信息公开不够及时、完整，有遗漏现象；二是公开的内容不全面、不具体，公开方式单一化、陈旧化；公开工作人员业务素质需要进一步提升等问题。下一步我局将采取以下措施进行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0"/>
          <w:sz w:val="24"/>
          <w:szCs w:val="24"/>
          <w:shd w:val="clear" w:fill="FFFFFF"/>
        </w:rPr>
        <w:t>（一）加大对《条例》及上级有关政策的宣传力度。</w:t>
      </w:r>
      <w:r>
        <w:rPr>
          <w:rFonts w:hint="eastAsia" w:ascii="宋体" w:hAnsi="宋体" w:eastAsia="宋体" w:cs="宋体"/>
          <w:i w:val="0"/>
          <w:caps w:val="0"/>
          <w:color w:val="333333"/>
          <w:spacing w:val="0"/>
          <w:sz w:val="24"/>
          <w:szCs w:val="24"/>
          <w:shd w:val="clear" w:fill="FFFFFF"/>
        </w:rPr>
        <w:t>大力推进重要政策解读和政策制定工作同步考虑、同步安排，提高解读的针对性、科学性、可读性和权威性，加强重大政务舆情回应工作，及时回应社会关切，促进政务信息公开工作深入开展。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0"/>
          <w:sz w:val="24"/>
          <w:szCs w:val="24"/>
          <w:shd w:val="clear" w:fill="FFFFFF"/>
        </w:rPr>
        <w:t>（二）进一步完善政府信息公开工作制度。</w:t>
      </w:r>
      <w:r>
        <w:rPr>
          <w:rFonts w:hint="eastAsia" w:ascii="宋体" w:hAnsi="宋体" w:eastAsia="宋体" w:cs="宋体"/>
          <w:i w:val="0"/>
          <w:caps w:val="0"/>
          <w:color w:val="333333"/>
          <w:spacing w:val="0"/>
          <w:sz w:val="24"/>
          <w:szCs w:val="24"/>
          <w:shd w:val="clear" w:fill="FFFFFF"/>
        </w:rPr>
        <w:t>对公开的形式、内容、时限、程序、监督和运行机制等进一步规范，健全完善政府信息公开工作制度，强化政府信息公开的规范运作，全面提升政府信息公开的档次和水平。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0"/>
          <w:sz w:val="24"/>
          <w:szCs w:val="24"/>
          <w:shd w:val="clear" w:fill="FFFFFF"/>
        </w:rPr>
        <w:t>（三）进一步加强政务信息公开工作队伍建设。</w:t>
      </w:r>
      <w:r>
        <w:rPr>
          <w:rFonts w:hint="eastAsia" w:ascii="宋体" w:hAnsi="宋体" w:eastAsia="宋体" w:cs="宋体"/>
          <w:i w:val="0"/>
          <w:caps w:val="0"/>
          <w:color w:val="333333"/>
          <w:spacing w:val="0"/>
          <w:sz w:val="24"/>
          <w:szCs w:val="24"/>
          <w:shd w:val="clear" w:fill="FFFFFF"/>
        </w:rPr>
        <w:t>充实人员力量，保障必要的经费、设备等工作条件，加强政务信息公开工作队伍建设。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4"/>
          <w:szCs w:val="24"/>
          <w:shd w:val="clear" w:fill="FFFFFF"/>
          <w:lang w:eastAsia="zh-CN"/>
        </w:rPr>
      </w:pPr>
      <w:bookmarkStart w:id="0" w:name="_GoBack"/>
      <w:r>
        <w:rPr>
          <w:rFonts w:hint="eastAsia" w:ascii="宋体" w:hAnsi="宋体" w:eastAsia="宋体" w:cs="宋体"/>
          <w:i w:val="0"/>
          <w:caps w:val="0"/>
          <w:color w:val="333333"/>
          <w:spacing w:val="0"/>
          <w:sz w:val="24"/>
          <w:szCs w:val="24"/>
          <w:shd w:val="clear" w:fill="FFFFFF"/>
          <w:lang w:eastAsia="zh-CN"/>
        </w:rPr>
        <w:t>（一）人大代表建议和政协委员提案办理结果公开情况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2020年，区</w:t>
      </w:r>
      <w:r>
        <w:rPr>
          <w:rFonts w:hint="eastAsia" w:ascii="宋体" w:hAnsi="宋体" w:eastAsia="宋体" w:cs="宋体"/>
          <w:i w:val="0"/>
          <w:caps w:val="0"/>
          <w:color w:val="333333"/>
          <w:spacing w:val="0"/>
          <w:sz w:val="24"/>
          <w:szCs w:val="24"/>
          <w:shd w:val="clear" w:fill="FFFFFF"/>
          <w:lang w:eastAsia="zh-CN"/>
        </w:rPr>
        <w:t>综合行政执法局</w:t>
      </w:r>
      <w:r>
        <w:rPr>
          <w:rFonts w:hint="eastAsia" w:ascii="宋体" w:hAnsi="宋体" w:eastAsia="宋体" w:cs="宋体"/>
          <w:i w:val="0"/>
          <w:caps w:val="0"/>
          <w:color w:val="333333"/>
          <w:spacing w:val="0"/>
          <w:sz w:val="24"/>
          <w:szCs w:val="24"/>
          <w:shd w:val="clear" w:fill="FFFFFF"/>
        </w:rPr>
        <w:t>共承办人大代表建议</w:t>
      </w:r>
      <w:r>
        <w:rPr>
          <w:rFonts w:hint="eastAsia" w:ascii="宋体" w:hAnsi="宋体" w:eastAsia="宋体" w:cs="宋体"/>
          <w:i w:val="0"/>
          <w:caps w:val="0"/>
          <w:color w:val="333333"/>
          <w:spacing w:val="0"/>
          <w:sz w:val="24"/>
          <w:szCs w:val="24"/>
          <w:shd w:val="clear" w:fill="FFFFFF"/>
          <w:lang w:val="en-US" w:eastAsia="zh-CN"/>
        </w:rPr>
        <w:t>18</w:t>
      </w:r>
      <w:r>
        <w:rPr>
          <w:rFonts w:hint="eastAsia" w:ascii="宋体" w:hAnsi="宋体" w:eastAsia="宋体" w:cs="宋体"/>
          <w:i w:val="0"/>
          <w:caps w:val="0"/>
          <w:color w:val="333333"/>
          <w:spacing w:val="0"/>
          <w:sz w:val="24"/>
          <w:szCs w:val="24"/>
          <w:shd w:val="clear" w:fill="FFFFFF"/>
        </w:rPr>
        <w:t>件、政协委员提案</w:t>
      </w:r>
      <w:r>
        <w:rPr>
          <w:rFonts w:hint="eastAsia" w:ascii="宋体" w:hAnsi="宋体" w:eastAsia="宋体" w:cs="宋体"/>
          <w:i w:val="0"/>
          <w:caps w:val="0"/>
          <w:color w:val="333333"/>
          <w:spacing w:val="0"/>
          <w:sz w:val="24"/>
          <w:szCs w:val="24"/>
          <w:shd w:val="clear" w:fill="FFFFFF"/>
          <w:lang w:val="en-US" w:eastAsia="zh-CN"/>
        </w:rPr>
        <w:t>14</w:t>
      </w:r>
      <w:r>
        <w:rPr>
          <w:rFonts w:hint="eastAsia" w:ascii="宋体" w:hAnsi="宋体" w:eastAsia="宋体" w:cs="宋体"/>
          <w:i w:val="0"/>
          <w:caps w:val="0"/>
          <w:color w:val="333333"/>
          <w:spacing w:val="0"/>
          <w:sz w:val="24"/>
          <w:szCs w:val="24"/>
          <w:shd w:val="clear" w:fill="FFFFFF"/>
        </w:rPr>
        <w:t>件，所有建议、提案均在规定时限内办理完毕，并在区政府门户网站设立专题专栏，集中展示建议、提案办理结果及办理总体情况信息。</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无其他需要报告的事项。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Adobe Gothic Std B">
    <w:altName w:val="MS UI Gothic"/>
    <w:panose1 w:val="020B0800000000000000"/>
    <w:charset w:val="80"/>
    <w:family w:val="swiss"/>
    <w:pitch w:val="default"/>
    <w:sig w:usb0="00000000" w:usb1="00000000" w:usb2="00000010" w:usb3="00000000" w:csb0="002A0005"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F2551"/>
    <w:rsid w:val="59C42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张逍 </cp:lastModifiedBy>
  <dcterms:modified xsi:type="dcterms:W3CDTF">2021-12-29T09:39:51Z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