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eastAsia="zh-CN"/>
        </w:rPr>
        <w:t>济宁市兖州区退役军人事务局</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eastAsia="zh-CN"/>
        </w:rPr>
        <w:t>济宁市兖州区退役军人事务局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w:t>
      </w:r>
      <w:r>
        <w:rPr>
          <w:rFonts w:hint="eastAsia" w:eastAsia="方正仿宋简体"/>
          <w:b/>
          <w:color w:val="000000"/>
          <w:sz w:val="32"/>
          <w:szCs w:val="32"/>
          <w:lang w:val="en-US" w:eastAsia="zh-CN"/>
        </w:rPr>
        <w:t>兖州区</w:t>
      </w:r>
      <w:r>
        <w:rPr>
          <w:rFonts w:eastAsia="方正仿宋简体"/>
          <w:b/>
          <w:color w:val="000000"/>
          <w:sz w:val="32"/>
          <w:szCs w:val="32"/>
        </w:rPr>
        <w:t>政府门户网站（</w:t>
      </w:r>
      <w:r>
        <w:rPr>
          <w:rFonts w:hint="eastAsia" w:eastAsia="方正仿宋简体"/>
          <w:b/>
          <w:color w:val="000000"/>
          <w:sz w:val="32"/>
          <w:szCs w:val="32"/>
        </w:rPr>
        <w:t>http://www.yanzhou.gov.cn/</w:t>
      </w:r>
      <w:r>
        <w:rPr>
          <w:rFonts w:eastAsia="方正仿宋简体"/>
          <w:b/>
          <w:color w:val="000000"/>
          <w:sz w:val="32"/>
          <w:szCs w:val="32"/>
        </w:rPr>
        <w:t>）查阅或下载。如对本报告有疑问，请与</w:t>
      </w:r>
      <w:r>
        <w:rPr>
          <w:rFonts w:hint="eastAsia" w:eastAsia="方正仿宋简体"/>
          <w:b/>
          <w:color w:val="000000"/>
          <w:sz w:val="32"/>
          <w:szCs w:val="32"/>
          <w:lang w:eastAsia="zh-CN"/>
        </w:rPr>
        <w:t>济宁市兖州区退役军人事务局</w:t>
      </w:r>
      <w:r>
        <w:rPr>
          <w:rFonts w:eastAsia="方正仿宋简体"/>
          <w:b/>
          <w:color w:val="000000"/>
          <w:sz w:val="32"/>
          <w:szCs w:val="32"/>
        </w:rPr>
        <w:t>联系（地址：</w:t>
      </w:r>
      <w:r>
        <w:rPr>
          <w:rFonts w:hint="eastAsia" w:eastAsia="方正仿宋简体"/>
          <w:b/>
          <w:color w:val="000000"/>
          <w:sz w:val="32"/>
          <w:szCs w:val="32"/>
          <w:lang w:val="en-US" w:eastAsia="zh-CN"/>
        </w:rPr>
        <w:t>山东省济宁市兖州区中御桥北路75号</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3637600</w:t>
      </w:r>
      <w:r>
        <w:rPr>
          <w:rFonts w:eastAsia="方正仿宋简体"/>
          <w:b/>
          <w:color w:val="000000"/>
          <w:sz w:val="32"/>
          <w:szCs w:val="32"/>
        </w:rPr>
        <w:t>）。</w:t>
      </w:r>
    </w:p>
    <w:p>
      <w:pPr>
        <w:numPr>
          <w:ilvl w:val="0"/>
          <w:numId w:val="1"/>
        </w:numPr>
        <w:spacing w:line="610" w:lineRule="exact"/>
        <w:ind w:right="-100" w:rightChars="-50" w:firstLine="640" w:firstLineChars="200"/>
        <w:rPr>
          <w:rFonts w:eastAsia="方正黑体简体"/>
          <w:b/>
          <w:color w:val="000000"/>
          <w:sz w:val="32"/>
          <w:szCs w:val="32"/>
        </w:rPr>
      </w:pPr>
      <w:r>
        <w:rPr>
          <w:rFonts w:eastAsia="方正黑体简体"/>
          <w:b/>
          <w:color w:val="000000"/>
          <w:sz w:val="32"/>
          <w:szCs w:val="32"/>
        </w:rPr>
        <w:t>总体情况</w:t>
      </w:r>
    </w:p>
    <w:p>
      <w:pPr>
        <w:spacing w:line="610" w:lineRule="exact"/>
        <w:ind w:right="-100" w:rightChars="-50" w:firstLine="643" w:firstLineChars="200"/>
        <w:rPr>
          <w:rFonts w:hint="default" w:eastAsia="方正黑体简体"/>
          <w:b/>
          <w:color w:val="000000"/>
          <w:sz w:val="32"/>
          <w:szCs w:val="32"/>
          <w:lang w:val="en-US" w:eastAsia="zh-CN"/>
        </w:rPr>
      </w:pPr>
      <w:r>
        <w:rPr>
          <w:rFonts w:hint="eastAsia"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年，区退役军人局积极落实政府信息公开工作要求，认真贯彻落实</w:t>
      </w:r>
      <w:r>
        <w:rPr>
          <w:rFonts w:hint="eastAsia" w:eastAsia="方正仿宋简体"/>
          <w:b/>
          <w:color w:val="000000"/>
          <w:sz w:val="32"/>
          <w:szCs w:val="32"/>
          <w:lang w:val="en-US" w:eastAsia="zh-CN"/>
        </w:rPr>
        <w:t>上级文件要求</w:t>
      </w:r>
      <w:r>
        <w:rPr>
          <w:rFonts w:hint="eastAsia" w:eastAsia="方正仿宋简体"/>
          <w:b/>
          <w:color w:val="000000"/>
          <w:sz w:val="32"/>
          <w:szCs w:val="32"/>
        </w:rPr>
        <w:t>，扎实推进政府信息公开工作，进一步完善主动公开基本目录，公开内容不断丰富，公开制度逐步规范。</w:t>
      </w:r>
    </w:p>
    <w:p>
      <w:pPr>
        <w:numPr>
          <w:ilvl w:val="0"/>
          <w:numId w:val="2"/>
        </w:num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主动公开情况</w:t>
      </w:r>
      <w:r>
        <w:rPr>
          <w:rFonts w:hint="eastAsia" w:eastAsia="方正楷体简体"/>
          <w:b/>
          <w:color w:val="000000"/>
          <w:sz w:val="32"/>
          <w:szCs w:val="32"/>
        </w:rPr>
        <w:t>相关数据</w:t>
      </w:r>
    </w:p>
    <w:p>
      <w:pPr>
        <w:numPr>
          <w:ilvl w:val="0"/>
          <w:numId w:val="0"/>
        </w:numPr>
        <w:spacing w:line="610" w:lineRule="exact"/>
        <w:ind w:right="-100" w:rightChars="-50" w:firstLine="64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济宁市兖州区退役军人事务局主动公开政府信息数52条，其中公开政府机构职能信息1条；组织管理信息6条；政策文件信息1条；规划计划信息1条；部门主动公开目录信息1条；公共服务信息1条；行政权力运行公开信息20条；重点领域信息1条；财政预算决算信息2条；政府信息公开年报1条，通知公示信息13条，执行落实信息4条；无政务微博。</w:t>
      </w:r>
    </w:p>
    <w:p>
      <w:pPr>
        <w:numPr>
          <w:ilvl w:val="0"/>
          <w:numId w:val="0"/>
        </w:numPr>
        <w:spacing w:line="610" w:lineRule="exact"/>
        <w:ind w:right="-100" w:rightChars="-50" w:firstLine="640"/>
        <w:rPr>
          <w:rFonts w:hint="eastAsia" w:eastAsia="方正仿宋简体"/>
          <w:b/>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67945</wp:posOffset>
            </wp:positionH>
            <wp:positionV relativeFrom="paragraph">
              <wp:posOffset>152400</wp:posOffset>
            </wp:positionV>
            <wp:extent cx="5268595" cy="3583940"/>
            <wp:effectExtent l="4445" t="4445" r="22860" b="1206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numPr>
          <w:ilvl w:val="0"/>
          <w:numId w:val="0"/>
        </w:numPr>
        <w:spacing w:line="610" w:lineRule="exact"/>
        <w:ind w:right="-100" w:rightChars="-50" w:firstLine="640"/>
        <w:rPr>
          <w:rFonts w:hint="eastAsia" w:eastAsia="方正仿宋简体"/>
          <w:b/>
          <w:color w:val="000000"/>
          <w:sz w:val="32"/>
          <w:szCs w:val="32"/>
          <w:lang w:val="en-US" w:eastAsia="zh-CN"/>
        </w:rPr>
      </w:pP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（二）依申请公开情况</w:t>
      </w:r>
      <w:r>
        <w:rPr>
          <w:rFonts w:hint="eastAsia" w:eastAsia="方正楷体简体"/>
          <w:b/>
          <w:color w:val="000000"/>
          <w:sz w:val="32"/>
          <w:szCs w:val="32"/>
        </w:rPr>
        <w:t>相关数据</w:t>
      </w:r>
    </w:p>
    <w:p>
      <w:pPr>
        <w:spacing w:line="610" w:lineRule="exact"/>
        <w:ind w:right="-100" w:rightChars="-50" w:firstLine="643" w:firstLineChars="200"/>
        <w:rPr>
          <w:rFonts w:hint="eastAsia" w:eastAsia="方正仿宋简体"/>
          <w:b/>
          <w:color w:val="000000"/>
          <w:sz w:val="32"/>
          <w:szCs w:val="32"/>
        </w:rPr>
      </w:pPr>
      <w:r>
        <w:rPr>
          <w:rFonts w:hint="eastAsia"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年度，济宁市兖州区退役军人事务局无依申请公开的政府信息，未收到协助政府办政府信息调查通知。</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（三）政府信息</w:t>
      </w:r>
      <w:r>
        <w:rPr>
          <w:rFonts w:hint="eastAsia" w:eastAsia="方正楷体简体"/>
          <w:b/>
          <w:color w:val="000000"/>
          <w:sz w:val="32"/>
          <w:szCs w:val="32"/>
          <w:lang w:val="en-US" w:eastAsia="zh-CN"/>
        </w:rPr>
        <w:t>公开</w:t>
      </w:r>
      <w:r>
        <w:rPr>
          <w:rFonts w:eastAsia="方正楷体简体"/>
          <w:b/>
          <w:color w:val="000000"/>
          <w:sz w:val="32"/>
          <w:szCs w:val="32"/>
        </w:rPr>
        <w:t>管理情况</w:t>
      </w:r>
    </w:p>
    <w:p>
      <w:pPr>
        <w:spacing w:line="610" w:lineRule="exact"/>
        <w:ind w:right="-100" w:rightChars="-50" w:firstLine="643" w:firstLineChars="200"/>
        <w:rPr>
          <w:rFonts w:hint="eastAsia" w:eastAsia="方正仿宋简体"/>
          <w:b/>
          <w:color w:val="000000"/>
          <w:sz w:val="32"/>
          <w:szCs w:val="32"/>
        </w:rPr>
      </w:pPr>
      <w:r>
        <w:rPr>
          <w:rFonts w:hint="eastAsia" w:eastAsia="方正仿宋简体"/>
          <w:b/>
          <w:color w:val="000000"/>
          <w:sz w:val="32"/>
          <w:szCs w:val="32"/>
        </w:rPr>
        <w:t>根据单位政府信息公开工作实际，严格按照区政府安排部署，落实各项工作任务，对政府工作报告落实、重点工作执行落实、民生实事项目落实等领域信息及时有效公开。</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（四）政府信息公开平台建设情况</w:t>
      </w: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为推动我局政府信息公开进一步深化，我局积极利用</w:t>
      </w:r>
      <w:r>
        <w:rPr>
          <w:rFonts w:hint="eastAsia" w:eastAsia="方正仿宋简体"/>
          <w:b/>
          <w:color w:val="000000"/>
          <w:sz w:val="32"/>
          <w:szCs w:val="32"/>
          <w:lang w:val="en-US" w:eastAsia="zh-CN"/>
        </w:rPr>
        <w:t>兖州区政府门户网站</w:t>
      </w:r>
      <w:r>
        <w:rPr>
          <w:rFonts w:hint="eastAsia" w:eastAsia="方正仿宋简体"/>
          <w:b/>
          <w:color w:val="000000"/>
          <w:sz w:val="32"/>
          <w:szCs w:val="32"/>
        </w:rPr>
        <w:t>发布并更新我局相关信息，使广大社会群体能及时了解我局的基本情况。</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（五）政府信息公开监督保障情况</w:t>
      </w:r>
    </w:p>
    <w:p>
      <w:pPr>
        <w:spacing w:line="590" w:lineRule="exact"/>
        <w:ind w:right="-100" w:rightChars="-50" w:firstLine="643" w:firstLineChars="200"/>
        <w:rPr>
          <w:rFonts w:hint="eastAsia" w:eastAsia="方正仿宋简体"/>
          <w:b/>
          <w:color w:val="000000"/>
          <w:sz w:val="32"/>
          <w:szCs w:val="32"/>
        </w:rPr>
      </w:pPr>
      <w:r>
        <w:rPr>
          <w:rFonts w:hint="eastAsia" w:eastAsia="方正仿宋简体"/>
          <w:b/>
          <w:color w:val="000000"/>
          <w:sz w:val="32"/>
          <w:szCs w:val="32"/>
        </w:rPr>
        <w:t>我局注重加强和完善政府信息公开制度建设，严格执行信息公开”三审“制度，真正做到“涉密不上网，上网不涉密” ， “谁上网，谁负责，谁审批，谁负责”的相关要求，进一步保障了我局政府信息公开内容的安全性。</w:t>
      </w:r>
      <w:r>
        <w:rPr>
          <w:rFonts w:hint="default"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年度召开信息公开工作会议</w:t>
      </w:r>
      <w:r>
        <w:rPr>
          <w:rFonts w:hint="eastAsia" w:eastAsia="方正仿宋简体"/>
          <w:b/>
          <w:color w:val="000000"/>
          <w:sz w:val="32"/>
          <w:szCs w:val="32"/>
          <w:lang w:val="en-US" w:eastAsia="zh-CN"/>
        </w:rPr>
        <w:t>2</w:t>
      </w:r>
      <w:r>
        <w:rPr>
          <w:rFonts w:hint="eastAsia" w:eastAsia="方正仿宋简体"/>
          <w:b/>
          <w:color w:val="000000"/>
          <w:sz w:val="32"/>
          <w:szCs w:val="32"/>
        </w:rPr>
        <w:t>次，举办业务培训</w:t>
      </w:r>
      <w:r>
        <w:rPr>
          <w:rFonts w:hint="eastAsia" w:eastAsia="方正仿宋简体"/>
          <w:b/>
          <w:color w:val="000000"/>
          <w:sz w:val="32"/>
          <w:szCs w:val="32"/>
          <w:lang w:val="en-US" w:eastAsia="zh-CN"/>
        </w:rPr>
        <w:t>2</w:t>
      </w:r>
      <w:r>
        <w:rPr>
          <w:rFonts w:hint="eastAsia" w:eastAsia="方正仿宋简体"/>
          <w:b/>
          <w:color w:val="000000"/>
          <w:sz w:val="32"/>
          <w:szCs w:val="32"/>
        </w:rPr>
        <w:t>次，共计</w:t>
      </w:r>
      <w:r>
        <w:rPr>
          <w:rFonts w:hint="eastAsia" w:eastAsia="方正仿宋简体"/>
          <w:b/>
          <w:color w:val="000000"/>
          <w:sz w:val="32"/>
          <w:szCs w:val="32"/>
          <w:lang w:val="en-US" w:eastAsia="zh-CN"/>
        </w:rPr>
        <w:t>33</w:t>
      </w:r>
      <w:r>
        <w:rPr>
          <w:rFonts w:hint="eastAsia" w:eastAsia="方正仿宋简体"/>
          <w:b/>
          <w:color w:val="000000"/>
          <w:sz w:val="32"/>
          <w:szCs w:val="32"/>
        </w:rPr>
        <w:t>人次。</w:t>
      </w:r>
    </w:p>
    <w:p>
      <w:pPr>
        <w:spacing w:line="590" w:lineRule="exact"/>
        <w:ind w:right="-100" w:rightChars="-50" w:firstLine="640"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lang w:bidi="ar"/>
              </w:rPr>
            </w:pPr>
          </w:p>
          <w:p>
            <w:pPr>
              <w:widowControl/>
              <w:spacing w:line="340" w:lineRule="exact"/>
              <w:jc w:val="left"/>
              <w:rPr>
                <w:rFonts w:eastAsia="方正仿宋简体"/>
                <w:b/>
                <w:sz w:val="24"/>
                <w:szCs w:val="24"/>
                <w:lang w:bidi="ar"/>
              </w:rPr>
            </w:pPr>
          </w:p>
          <w:p>
            <w:pPr>
              <w:widowControl/>
              <w:spacing w:line="340" w:lineRule="exact"/>
              <w:jc w:val="left"/>
              <w:rPr>
                <w:rFonts w:eastAsia="方正仿宋简体"/>
                <w:b/>
                <w:sz w:val="24"/>
                <w:szCs w:val="24"/>
                <w:lang w:bidi="ar"/>
              </w:rPr>
            </w:pPr>
          </w:p>
        </w:tc>
        <w:tc>
          <w:tcPr>
            <w:tcW w:w="6338" w:type="dxa"/>
            <w:gridSpan w:val="3"/>
            <w:shd w:val="clear" w:color="auto" w:fill="FFFFFF"/>
            <w:noWrap w:val="0"/>
            <w:tcMar>
              <w:left w:w="57" w:type="dxa"/>
              <w:right w:w="57" w:type="dxa"/>
            </w:tcMar>
            <w:vAlign w:val="center"/>
          </w:tcPr>
          <w:p>
            <w:pPr>
              <w:spacing w:line="340" w:lineRule="exact"/>
              <w:jc w:val="center"/>
              <w:rPr>
                <w:rFonts w:hint="eastAsia" w:eastAsia="方正仿宋简体"/>
                <w:b/>
                <w:sz w:val="24"/>
                <w:szCs w:val="24"/>
                <w:lang w:val="en-US" w:eastAsia="zh-CN"/>
              </w:rPr>
            </w:pPr>
          </w:p>
        </w:tc>
      </w:tr>
    </w:tbl>
    <w:p>
      <w:pPr>
        <w:numPr>
          <w:ilvl w:val="0"/>
          <w:numId w:val="1"/>
        </w:numPr>
        <w:spacing w:before="31" w:beforeLines="10" w:after="31" w:afterLines="10" w:line="600" w:lineRule="exact"/>
        <w:ind w:left="0" w:leftChars="0" w:firstLine="640" w:firstLineChars="200"/>
        <w:rPr>
          <w:rFonts w:eastAsia="方正黑体简体"/>
          <w:b/>
          <w:sz w:val="32"/>
          <w:szCs w:val="32"/>
        </w:rPr>
      </w:pPr>
      <w:r>
        <w:rPr>
          <w:rFonts w:eastAsia="方正黑体简体"/>
          <w:b/>
          <w:sz w:val="32"/>
          <w:szCs w:val="32"/>
        </w:rPr>
        <w:t>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eastAsia="方正仿宋简体"/>
                <w:b/>
                <w:sz w:val="21"/>
                <w:szCs w:val="21"/>
              </w:rPr>
            </w:pPr>
          </w:p>
        </w:tc>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noWrap w:val="0"/>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bl>
    <w:p>
      <w:pPr>
        <w:spacing w:line="590" w:lineRule="exact"/>
        <w:ind w:right="-100" w:rightChars="-50" w:firstLine="640" w:firstLineChars="200"/>
        <w:rPr>
          <w:rFonts w:eastAsia="方正黑体简体"/>
          <w:b/>
          <w:sz w:val="32"/>
          <w:szCs w:val="32"/>
        </w:rPr>
      </w:pPr>
    </w:p>
    <w:p>
      <w:pPr>
        <w:spacing w:line="590" w:lineRule="exact"/>
        <w:ind w:right="-100" w:rightChars="-50" w:firstLine="640" w:firstLineChars="200"/>
        <w:rPr>
          <w:rFonts w:eastAsia="方正黑体简体"/>
          <w:b/>
          <w:sz w:val="32"/>
          <w:szCs w:val="32"/>
        </w:rPr>
      </w:pPr>
    </w:p>
    <w:p>
      <w:pPr>
        <w:spacing w:line="590" w:lineRule="exact"/>
        <w:ind w:right="-100" w:rightChars="-50" w:firstLine="640" w:firstLineChars="200"/>
        <w:rPr>
          <w:rFonts w:eastAsia="方正黑体简体"/>
          <w:b/>
          <w:sz w:val="32"/>
          <w:szCs w:val="32"/>
        </w:rPr>
      </w:pPr>
    </w:p>
    <w:p>
      <w:pPr>
        <w:spacing w:line="590" w:lineRule="exact"/>
        <w:ind w:right="-100" w:rightChars="-50" w:firstLine="640"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eastAsia" w:eastAsia="方正黑体简体"/>
                <w:b/>
                <w:sz w:val="21"/>
                <w:szCs w:val="21"/>
                <w:lang w:val="en-US" w:eastAsia="zh-CN"/>
              </w:rPr>
            </w:pPr>
            <w:r>
              <w:rPr>
                <w:rFonts w:hint="eastAsia" w:eastAsia="方正黑体简体"/>
                <w:b/>
                <w:sz w:val="21"/>
                <w:szCs w:val="21"/>
                <w:lang w:val="en-US" w:eastAsia="zh-CN"/>
              </w:rPr>
              <w:t>0</w:t>
            </w:r>
          </w:p>
        </w:tc>
      </w:tr>
    </w:tbl>
    <w:p/>
    <w:p>
      <w:pPr>
        <w:spacing w:line="590" w:lineRule="exact"/>
        <w:ind w:right="-100" w:rightChars="-50" w:firstLine="640"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度，我局政府信息公开工作取得一定成绩，但也存在一些不足：一是公开形式较为单一，二是由于工作人员变动频率较高，导致工作衔接存在一定不足。我局将从以下方面改进：一是进一步完善政府信息公开的各项制度，落实各项要求，切实提高实效，确保信息公开工作的正常运行。二是加强学习教育，进一步加强政府信息公开工作人员业务能力水平，确保工作顺利开展。</w:t>
      </w:r>
    </w:p>
    <w:p>
      <w:pPr>
        <w:spacing w:line="590" w:lineRule="exact"/>
        <w:ind w:right="-100" w:rightChars="-50" w:firstLine="640" w:firstLineChars="200"/>
        <w:rPr>
          <w:rFonts w:eastAsia="方正黑体简体"/>
          <w:b/>
          <w:sz w:val="32"/>
          <w:szCs w:val="32"/>
        </w:rPr>
      </w:pPr>
      <w:r>
        <w:rPr>
          <w:rFonts w:eastAsia="方正黑体简体"/>
          <w:b/>
          <w:sz w:val="32"/>
          <w:szCs w:val="32"/>
        </w:rPr>
        <w:t>六、其他需要报告的事项</w:t>
      </w:r>
    </w:p>
    <w:p>
      <w:pPr>
        <w:ind w:firstLine="643" w:firstLineChars="200"/>
        <w:rPr>
          <w:rFonts w:hint="eastAsia" w:eastAsia="方正仿宋简体"/>
          <w:b/>
          <w:sz w:val="32"/>
          <w:szCs w:val="32"/>
          <w:lang w:eastAsia="zh-CN"/>
        </w:rPr>
      </w:pPr>
      <w:r>
        <w:rPr>
          <w:rFonts w:hint="eastAsia" w:eastAsia="方正仿宋简体"/>
          <w:b/>
          <w:sz w:val="32"/>
          <w:szCs w:val="32"/>
        </w:rPr>
        <w:t>（一）依据《政府信息公开信息处理费管理办法》收取信息处理费的情况</w:t>
      </w:r>
    </w:p>
    <w:p>
      <w:pPr>
        <w:ind w:firstLine="643" w:firstLineChars="200"/>
        <w:rPr>
          <w:rFonts w:hint="eastAsia" w:eastAsia="方正仿宋简体"/>
          <w:b/>
          <w:sz w:val="32"/>
          <w:szCs w:val="32"/>
        </w:rPr>
      </w:pPr>
      <w:r>
        <w:rPr>
          <w:rFonts w:hint="eastAsia" w:eastAsia="方正仿宋简体"/>
          <w:b/>
          <w:sz w:val="32"/>
          <w:szCs w:val="32"/>
          <w:lang w:val="en-US" w:eastAsia="zh-CN"/>
        </w:rPr>
        <w:t>无</w:t>
      </w:r>
    </w:p>
    <w:p>
      <w:pPr>
        <w:ind w:firstLine="643" w:firstLineChars="200"/>
        <w:rPr>
          <w:rFonts w:hint="eastAsia" w:eastAsia="方正仿宋简体"/>
          <w:b/>
          <w:sz w:val="32"/>
          <w:szCs w:val="32"/>
        </w:rPr>
      </w:pPr>
      <w:r>
        <w:rPr>
          <w:rFonts w:hint="eastAsia" w:eastAsia="方正仿宋简体"/>
          <w:b/>
          <w:sz w:val="32"/>
          <w:szCs w:val="32"/>
        </w:rPr>
        <w:t>（二）本行政机关落实上级年度政务公开工作要点情况</w:t>
      </w:r>
    </w:p>
    <w:p>
      <w:pPr>
        <w:ind w:firstLine="643" w:firstLineChars="200"/>
        <w:rPr>
          <w:rFonts w:hint="eastAsia" w:eastAsia="方正仿宋简体"/>
          <w:b/>
          <w:sz w:val="32"/>
          <w:szCs w:val="32"/>
        </w:rPr>
      </w:pPr>
      <w:r>
        <w:rPr>
          <w:rFonts w:hint="eastAsia" w:eastAsia="方正仿宋简体"/>
          <w:b/>
          <w:sz w:val="32"/>
          <w:szCs w:val="32"/>
        </w:rPr>
        <w:t>区退役军人事务局高度重视政务公开工作，据202</w:t>
      </w:r>
      <w:r>
        <w:rPr>
          <w:rFonts w:hint="eastAsia" w:eastAsia="方正仿宋简体"/>
          <w:b/>
          <w:sz w:val="32"/>
          <w:szCs w:val="32"/>
          <w:lang w:val="en-US" w:eastAsia="zh-CN"/>
        </w:rPr>
        <w:t>2</w:t>
      </w:r>
      <w:r>
        <w:rPr>
          <w:rFonts w:hint="eastAsia" w:eastAsia="方正仿宋简体"/>
          <w:b/>
          <w:sz w:val="32"/>
          <w:szCs w:val="32"/>
        </w:rPr>
        <w:t>年</w:t>
      </w:r>
      <w:r>
        <w:rPr>
          <w:rFonts w:hint="eastAsia" w:eastAsia="方正仿宋简体"/>
          <w:b/>
          <w:sz w:val="32"/>
          <w:szCs w:val="32"/>
          <w:lang w:val="en-US" w:eastAsia="zh-CN"/>
        </w:rPr>
        <w:t>兖州区</w:t>
      </w:r>
      <w:r>
        <w:rPr>
          <w:rFonts w:hint="eastAsia" w:eastAsia="方正仿宋简体"/>
          <w:b/>
          <w:sz w:val="32"/>
          <w:szCs w:val="32"/>
        </w:rPr>
        <w:t>政务公开工作任务分解表及本单位政务公开工作清单目录，梳理条目、划分任务至各专业科室，局办公室牵头督导并汇总审核公开，明确职责、落实责任，不断提升政务公开工作质量。</w:t>
      </w:r>
    </w:p>
    <w:p>
      <w:pPr>
        <w:ind w:firstLine="643" w:firstLineChars="200"/>
        <w:rPr>
          <w:rFonts w:hint="eastAsia" w:eastAsia="方正仿宋简体"/>
          <w:b/>
          <w:sz w:val="32"/>
          <w:szCs w:val="32"/>
        </w:rPr>
      </w:pPr>
      <w:r>
        <w:rPr>
          <w:rFonts w:hint="eastAsia" w:eastAsia="方正仿宋简体"/>
          <w:b/>
          <w:sz w:val="32"/>
          <w:szCs w:val="32"/>
        </w:rPr>
        <w:t>（三）本行政机关人大代表建议和政协提案办理结果公开情况</w:t>
      </w:r>
    </w:p>
    <w:p>
      <w:pPr>
        <w:ind w:firstLine="643" w:firstLineChars="200"/>
        <w:rPr>
          <w:rFonts w:hint="eastAsia" w:eastAsia="方正仿宋简体"/>
          <w:b/>
          <w:sz w:val="32"/>
          <w:szCs w:val="32"/>
        </w:rPr>
      </w:pPr>
      <w:r>
        <w:rPr>
          <w:rFonts w:hint="eastAsia" w:eastAsia="方正仿宋简体"/>
          <w:b/>
          <w:sz w:val="32"/>
          <w:szCs w:val="32"/>
          <w:lang w:val="en-US" w:eastAsia="zh-CN"/>
        </w:rPr>
        <w:t>无</w:t>
      </w:r>
    </w:p>
    <w:p>
      <w:pPr>
        <w:ind w:firstLine="643" w:firstLineChars="200"/>
        <w:rPr>
          <w:rFonts w:hint="eastAsia" w:eastAsia="方正仿宋简体"/>
          <w:b/>
          <w:sz w:val="32"/>
          <w:szCs w:val="32"/>
        </w:rPr>
      </w:pPr>
      <w:r>
        <w:rPr>
          <w:rFonts w:hint="eastAsia" w:eastAsia="方正仿宋简体"/>
          <w:b/>
          <w:sz w:val="32"/>
          <w:szCs w:val="32"/>
        </w:rPr>
        <w:t>（四）本行政机关年度政务公开工作创新情况</w:t>
      </w:r>
    </w:p>
    <w:p>
      <w:pPr>
        <w:ind w:firstLine="643" w:firstLineChars="200"/>
        <w:rPr>
          <w:rFonts w:hint="eastAsia" w:eastAsia="方正仿宋简体"/>
          <w:b/>
          <w:sz w:val="32"/>
          <w:szCs w:val="32"/>
          <w:lang w:eastAsia="zh-CN"/>
        </w:rPr>
      </w:pPr>
      <w:r>
        <w:rPr>
          <w:rFonts w:hint="eastAsia" w:eastAsia="方正仿宋简体"/>
          <w:b/>
          <w:sz w:val="32"/>
          <w:szCs w:val="32"/>
          <w:lang w:val="en-US" w:eastAsia="zh-CN"/>
        </w:rPr>
        <w:t>无</w:t>
      </w:r>
    </w:p>
    <w:p>
      <w:pPr>
        <w:ind w:firstLine="643" w:firstLineChars="200"/>
        <w:rPr>
          <w:rFonts w:hint="eastAsia" w:eastAsia="方正仿宋简体"/>
          <w:b/>
          <w:sz w:val="32"/>
          <w:szCs w:val="32"/>
        </w:rPr>
      </w:pPr>
      <w:r>
        <w:rPr>
          <w:rFonts w:hint="eastAsia" w:eastAsia="方正仿宋简体"/>
          <w:b/>
          <w:sz w:val="32"/>
          <w:szCs w:val="32"/>
        </w:rPr>
        <w:t>（五）本行政机关政府信息公开工作年度报告数据统计需要说明的事项</w:t>
      </w:r>
    </w:p>
    <w:p>
      <w:pPr>
        <w:ind w:firstLine="643" w:firstLineChars="200"/>
        <w:rPr>
          <w:rFonts w:hint="eastAsia" w:eastAsia="方正仿宋简体"/>
          <w:b/>
          <w:sz w:val="32"/>
          <w:szCs w:val="32"/>
        </w:rPr>
      </w:pPr>
      <w:r>
        <w:rPr>
          <w:rFonts w:hint="eastAsia" w:eastAsia="方正仿宋简体"/>
          <w:b/>
          <w:sz w:val="32"/>
          <w:szCs w:val="32"/>
          <w:lang w:val="en-US" w:eastAsia="zh-CN"/>
        </w:rPr>
        <w:t>无</w:t>
      </w:r>
    </w:p>
    <w:p>
      <w:pPr>
        <w:ind w:firstLine="643" w:firstLineChars="200"/>
        <w:rPr>
          <w:rFonts w:hint="eastAsia" w:eastAsia="方正仿宋简体"/>
          <w:b/>
          <w:sz w:val="32"/>
          <w:szCs w:val="32"/>
        </w:rPr>
      </w:pPr>
      <w:r>
        <w:rPr>
          <w:rFonts w:hint="eastAsia" w:eastAsia="方正仿宋简体"/>
          <w:b/>
          <w:sz w:val="32"/>
          <w:szCs w:val="32"/>
        </w:rPr>
        <w:t>（六）本行政机关认为需要报告的其他事项</w:t>
      </w:r>
    </w:p>
    <w:p>
      <w:pPr>
        <w:ind w:firstLine="643" w:firstLineChars="200"/>
        <w:rPr>
          <w:rFonts w:hint="eastAsia" w:eastAsia="方正仿宋简体"/>
          <w:b/>
          <w:sz w:val="32"/>
          <w:szCs w:val="32"/>
        </w:rPr>
      </w:pPr>
      <w:r>
        <w:rPr>
          <w:rFonts w:hint="eastAsia" w:eastAsia="方正仿宋简体"/>
          <w:b/>
          <w:sz w:val="32"/>
          <w:szCs w:val="32"/>
          <w:lang w:val="en-US" w:eastAsia="zh-CN"/>
        </w:rPr>
        <w:t>无</w:t>
      </w:r>
    </w:p>
    <w:p>
      <w:pPr>
        <w:ind w:firstLine="643" w:firstLineChars="200"/>
        <w:rPr>
          <w:rFonts w:hint="eastAsia" w:eastAsia="方正仿宋简体"/>
          <w:b/>
          <w:sz w:val="32"/>
          <w:szCs w:val="32"/>
        </w:rPr>
      </w:pPr>
      <w:r>
        <w:rPr>
          <w:rFonts w:hint="eastAsia" w:eastAsia="方正仿宋简体"/>
          <w:b/>
          <w:sz w:val="32"/>
          <w:szCs w:val="32"/>
        </w:rPr>
        <w:t>（七）其他有关文件专门要求通过政府信息公开工作年度报告予以报告的事项</w:t>
      </w:r>
    </w:p>
    <w:p>
      <w:pPr>
        <w:ind w:firstLine="643" w:firstLineChars="200"/>
        <w:rPr>
          <w:rFonts w:hint="eastAsia" w:eastAsia="方正仿宋简体"/>
          <w:b/>
          <w:sz w:val="32"/>
          <w:szCs w:val="32"/>
        </w:rPr>
      </w:pPr>
      <w:r>
        <w:rPr>
          <w:rFonts w:hint="eastAsia" w:eastAsia="方正仿宋简体"/>
          <w:b/>
          <w:sz w:val="32"/>
          <w:szCs w:val="32"/>
          <w:lang w:val="en-US" w:eastAsia="zh-CN"/>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1" w:fontKey="{5DC422A7-1FFF-4A8A-8D59-5AA643B4F309}"/>
  </w:font>
  <w:font w:name="方正仿宋简体">
    <w:panose1 w:val="02000000000000000000"/>
    <w:charset w:val="86"/>
    <w:family w:val="auto"/>
    <w:pitch w:val="default"/>
    <w:sig w:usb0="A00002BF" w:usb1="184F6CFA" w:usb2="00000012" w:usb3="00000000" w:csb0="00040001" w:csb1="00000000"/>
    <w:embedRegular r:id="rId2" w:fontKey="{C90A2162-5C01-4841-8F4A-7474296BF9CA}"/>
  </w:font>
  <w:font w:name="方正黑体简体">
    <w:altName w:val="微软雅黑"/>
    <w:panose1 w:val="00000000000000000000"/>
    <w:charset w:val="86"/>
    <w:family w:val="auto"/>
    <w:pitch w:val="default"/>
    <w:sig w:usb0="00000000" w:usb1="00000000" w:usb2="00000000" w:usb3="00000000" w:csb0="00040000" w:csb1="00000000"/>
    <w:embedRegular r:id="rId3" w:fontKey="{AB012582-B666-4A7C-9BBC-1C1D9F25022C}"/>
  </w:font>
  <w:font w:name="方正楷体简体">
    <w:panose1 w:val="02000000000000000000"/>
    <w:charset w:val="86"/>
    <w:family w:val="auto"/>
    <w:pitch w:val="default"/>
    <w:sig w:usb0="A00002BF" w:usb1="184F6CFA" w:usb2="00000012" w:usb3="00000000" w:csb0="00040001" w:csb1="00000000"/>
    <w:embedRegular r:id="rId4" w:fontKey="{864D227A-43A7-46A0-ABC9-78DBF2BB46BF}"/>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7BE52"/>
    <w:multiLevelType w:val="singleLevel"/>
    <w:tmpl w:val="1657BE52"/>
    <w:lvl w:ilvl="0" w:tentative="0">
      <w:start w:val="1"/>
      <w:numFmt w:val="chineseCounting"/>
      <w:suff w:val="nothing"/>
      <w:lvlText w:val="%1、"/>
      <w:lvlJc w:val="left"/>
      <w:rPr>
        <w:rFonts w:hint="eastAsia"/>
      </w:rPr>
    </w:lvl>
  </w:abstractNum>
  <w:abstractNum w:abstractNumId="1">
    <w:nsid w:val="1FF5A45E"/>
    <w:multiLevelType w:val="singleLevel"/>
    <w:tmpl w:val="1FF5A45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5ZTQ3ZWYxM2UwZGI0ZDIwMzJjOThkNzAxZTdlNzQifQ=="/>
  </w:docVars>
  <w:rsids>
    <w:rsidRoot w:val="00660452"/>
    <w:rsid w:val="004E10A8"/>
    <w:rsid w:val="00660452"/>
    <w:rsid w:val="00F237BE"/>
    <w:rsid w:val="00FE6870"/>
    <w:rsid w:val="01E074FF"/>
    <w:rsid w:val="14D77535"/>
    <w:rsid w:val="32382CEE"/>
    <w:rsid w:val="3A8334D7"/>
    <w:rsid w:val="493C55D3"/>
    <w:rsid w:val="52BC5EF6"/>
    <w:rsid w:val="530D05AF"/>
    <w:rsid w:val="649B75E7"/>
    <w:rsid w:val="69F3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主动公开情况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[工作簿1]Sheet1!$A$1:$A$12</c:f>
              <c:strCache>
                <c:ptCount val="12"/>
                <c:pt idx="0">
                  <c:v>政府机构职能信息</c:v>
                </c:pt>
                <c:pt idx="1">
                  <c:v>组织管理信息</c:v>
                </c:pt>
                <c:pt idx="2">
                  <c:v>政策文件信息</c:v>
                </c:pt>
                <c:pt idx="3">
                  <c:v>规划计划信息</c:v>
                </c:pt>
                <c:pt idx="4">
                  <c:v>部门主动公开目录信息</c:v>
                </c:pt>
                <c:pt idx="5">
                  <c:v>公共服务信息</c:v>
                </c:pt>
                <c:pt idx="6">
                  <c:v>行政权力运行公开信息</c:v>
                </c:pt>
                <c:pt idx="7">
                  <c:v>重点领域信息</c:v>
                </c:pt>
                <c:pt idx="8">
                  <c:v>财政预算决算信息</c:v>
                </c:pt>
                <c:pt idx="9">
                  <c:v>政府信息公开年报</c:v>
                </c:pt>
                <c:pt idx="10">
                  <c:v>通知公示信息</c:v>
                </c:pt>
                <c:pt idx="11">
                  <c:v>执行落实信息</c:v>
                </c:pt>
              </c:strCache>
            </c:strRef>
          </c:cat>
          <c:val>
            <c:numRef>
              <c:f>[工作簿1]Sheet1!$B$1:$B$12</c:f>
              <c:numCache>
                <c:formatCode>General</c:formatCode>
                <c:ptCount val="12"/>
                <c:pt idx="0">
                  <c:v>1</c:v>
                </c:pt>
                <c:pt idx="1">
                  <c:v>6</c:v>
                </c:pt>
                <c:pt idx="2">
                  <c:v>1</c:v>
                </c:pt>
                <c:pt idx="3">
                  <c:v>1</c:v>
                </c:pt>
                <c:pt idx="4">
                  <c:v>1</c:v>
                </c:pt>
                <c:pt idx="5">
                  <c:v>1</c:v>
                </c:pt>
                <c:pt idx="6">
                  <c:v>20</c:v>
                </c:pt>
                <c:pt idx="7">
                  <c:v>1</c:v>
                </c:pt>
                <c:pt idx="8">
                  <c:v>2</c:v>
                </c:pt>
                <c:pt idx="9">
                  <c:v>1</c:v>
                </c:pt>
                <c:pt idx="10">
                  <c:v>13</c:v>
                </c:pt>
                <c:pt idx="11">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3066</Words>
  <Characters>3188</Characters>
  <Lines>18</Lines>
  <Paragraphs>5</Paragraphs>
  <TotalTime>5</TotalTime>
  <ScaleCrop>false</ScaleCrop>
  <LinksUpToDate>false</LinksUpToDate>
  <CharactersWithSpaces>3354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柏温</cp:lastModifiedBy>
  <dcterms:modified xsi:type="dcterms:W3CDTF">2023-02-17T01:42:34Z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367A98FAFE2141DEB63A590B6634CCF1</vt:lpwstr>
  </property>
</Properties>
</file>