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jc w:val="both"/>
        <w:rPr>
          <w:rFonts w:ascii="宋体" w:hAnsi="宋体" w:cs="宋体"/>
        </w:rPr>
      </w:pPr>
    </w:p>
    <w:p>
      <w:pPr>
        <w:pStyle w:val="4"/>
        <w:widowControl/>
        <w:shd w:val="clear" w:color="auto" w:fill="FFFFFF"/>
        <w:spacing w:before="0" w:beforeAutospacing="0" w:after="0" w:afterAutospacing="0" w:line="640" w:lineRule="exact"/>
        <w:ind w:firstLine="42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济宁市兖州区审计局</w:t>
      </w:r>
    </w:p>
    <w:p>
      <w:pPr>
        <w:pStyle w:val="4"/>
        <w:widowControl/>
        <w:shd w:val="clear" w:color="auto" w:fill="FFFFFF"/>
        <w:spacing w:before="0" w:beforeAutospacing="0" w:after="0" w:afterAutospacing="0" w:line="640" w:lineRule="exact"/>
        <w:ind w:firstLine="42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pStyle w:val="4"/>
        <w:widowControl/>
        <w:shd w:val="clear" w:color="auto" w:fill="FFFFFF"/>
        <w:spacing w:before="0" w:beforeAutospacing="0" w:after="0" w:afterAutospacing="0" w:line="560" w:lineRule="exact"/>
        <w:ind w:firstLine="420"/>
        <w:jc w:val="center"/>
        <w:rPr>
          <w:rFonts w:hint="default" w:ascii="Times New Roman" w:hAnsi="Times New Roman" w:eastAsia="方正小标宋简体" w:cs="Times New Roman"/>
          <w:sz w:val="44"/>
          <w:szCs w:val="44"/>
        </w:rPr>
      </w:pPr>
    </w:p>
    <w:p>
      <w:pPr>
        <w:pStyle w:val="4"/>
        <w:widowControl/>
        <w:spacing w:before="0" w:beforeAutospacing="0" w:after="0" w:afterAutospacing="0" w:line="590" w:lineRule="exact"/>
        <w:ind w:firstLine="640" w:firstLineChars="200"/>
        <w:jc w:val="both"/>
        <w:rPr>
          <w:rFonts w:hint="default" w:ascii="Times New Roman" w:hAnsi="Times New Roman" w:cs="Times New Roman"/>
          <w:sz w:val="32"/>
          <w:szCs w:val="32"/>
        </w:rPr>
      </w:pPr>
      <w:r>
        <w:rPr>
          <w:rFonts w:hint="default" w:ascii="Times New Roman" w:hAnsi="Times New Roman" w:eastAsia="仿宋" w:cs="Times New Roman"/>
          <w:sz w:val="32"/>
          <w:szCs w:val="32"/>
        </w:rPr>
        <w:t>按照《中华人民共和国政府信息公开条例》有关规定和区政府办公室《关于做好2020年度政府信息公开年度报告编制发布工作的通知》要求，我局对2020年度政府信息公开总体情况、主动公开政府信息、收到和处理政府信息公开申请、因政府信息公开被行政复议及行政诉讼情况、存在的问题及改进情况等报告如下。如对本报告有任何疑问，请与兖州区审计局办公室联系。地址：兖州区行政办公中心A527；电话：3412263；电子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"mailto:yzsjj@ji.shandong.cn" </w:instrText>
      </w:r>
      <w:r>
        <w:rPr>
          <w:rFonts w:hint="default" w:ascii="Times New Roman" w:hAnsi="Times New Roman" w:cs="Times New Roman"/>
        </w:rPr>
        <w:fldChar w:fldCharType="separate"/>
      </w:r>
      <w:r>
        <w:rPr>
          <w:rStyle w:val="8"/>
          <w:rFonts w:hint="default" w:ascii="Times New Roman" w:hAnsi="Times New Roman" w:eastAsia="仿宋" w:cs="Times New Roman"/>
          <w:sz w:val="32"/>
          <w:szCs w:val="32"/>
        </w:rPr>
        <w:t>yzsjj@ji.shandong.cn</w:t>
      </w:r>
      <w:r>
        <w:rPr>
          <w:rStyle w:val="8"/>
          <w:rFonts w:hint="default" w:ascii="Times New Roman" w:hAnsi="Times New Roman" w:eastAsia="仿宋" w:cs="Times New Roman"/>
          <w:sz w:val="32"/>
          <w:szCs w:val="32"/>
        </w:rPr>
        <w:fldChar w:fldCharType="end"/>
      </w:r>
      <w:r>
        <w:rPr>
          <w:rFonts w:hint="default" w:ascii="Times New Roman" w:hAnsi="Times New Roman" w:cs="Times New Roman"/>
          <w:sz w:val="32"/>
          <w:szCs w:val="32"/>
        </w:rPr>
        <w:t>。</w:t>
      </w:r>
    </w:p>
    <w:p>
      <w:pPr>
        <w:pStyle w:val="4"/>
        <w:widowControl/>
        <w:shd w:val="clear" w:color="auto" w:fill="FFFFFF"/>
        <w:spacing w:before="0" w:beforeAutospacing="0" w:after="0" w:afterAutospacing="0" w:line="590"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一、总体情况</w:t>
      </w:r>
    </w:p>
    <w:p>
      <w:pPr>
        <w:pStyle w:val="4"/>
        <w:widowControl/>
        <w:spacing w:before="0" w:beforeAutospacing="0" w:after="0" w:afterAutospacing="0" w:line="590" w:lineRule="exact"/>
        <w:ind w:firstLine="640" w:firstLineChars="200"/>
        <w:rPr>
          <w:rFonts w:hint="default" w:ascii="Times New Roman" w:hAnsi="Times New Roman" w:cs="Times New Roman"/>
          <w:sz w:val="32"/>
          <w:szCs w:val="32"/>
        </w:rPr>
      </w:pPr>
      <w:r>
        <w:rPr>
          <w:rFonts w:hint="default" w:ascii="Times New Roman" w:hAnsi="Times New Roman" w:eastAsia="仿宋" w:cs="Times New Roman"/>
          <w:sz w:val="32"/>
          <w:szCs w:val="32"/>
        </w:rPr>
        <w:t>我局高度重视政府信息公开工作，把政府信息公开工作摆在突出位置，多次召开专题会议研究部署。为加强组织领导，及时调整了局政务公开领导小组，由局办公室协调各科室、局属各单位及时上报信息，并指定专人负责政府信息的公开发布工作。制定了政府信息公开工作方案，编制了政府信息公开指南和公开目录。结合审计工作实际，将政府信息公开任务分解到各科室、局属各单位。严格执行政府信息公开保密审查制度，对每一条需要公开的信息，进行严格的逐级审批，确保所有发布信息安全无误。建立政府信息公开长效工作机制，努力形成上下联动、左右互动、有机配合、强化管理的工作格局，确保把政府信息公开工作落到实处。</w:t>
      </w:r>
    </w:p>
    <w:p>
      <w:pPr>
        <w:pStyle w:val="4"/>
        <w:widowControl/>
        <w:spacing w:before="0" w:beforeAutospacing="0" w:after="0" w:afterAutospacing="0" w:line="590" w:lineRule="exact"/>
        <w:ind w:firstLine="640" w:firstLineChars="200"/>
        <w:rPr>
          <w:rStyle w:val="7"/>
          <w:rFonts w:hint="default" w:ascii="Times New Roman" w:hAnsi="Times New Roman" w:eastAsia="楷体" w:cs="Times New Roman"/>
          <w:b w:val="0"/>
          <w:sz w:val="32"/>
          <w:szCs w:val="32"/>
        </w:rPr>
      </w:pPr>
      <w:r>
        <w:rPr>
          <w:rStyle w:val="7"/>
          <w:rFonts w:hint="default" w:ascii="Times New Roman" w:hAnsi="Times New Roman" w:eastAsia="楷体" w:cs="Times New Roman"/>
          <w:b w:val="0"/>
          <w:sz w:val="32"/>
          <w:szCs w:val="32"/>
        </w:rPr>
        <w:t>（一）主动公开</w:t>
      </w:r>
    </w:p>
    <w:p>
      <w:pPr>
        <w:pStyle w:val="4"/>
        <w:widowControl/>
        <w:spacing w:before="0" w:beforeAutospacing="0" w:after="0" w:afterAutospacing="0" w:line="59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2020年，我单位紧紧围绕区委、区政府中心开展工作，认真贯彻实施《政府信息公开条例》和《山东省政府信息公开办法》，层层分解落实区委区政府2020年工作安排，平稳、有序地推进政府信息公开工作，在服务经济社会发展、转变政府职能、保证行政权力公开透明运行和保障公民知情权和参与权等方面发挥了积极作用。2020年，通过兖州区政府网上信息公开专栏及时公开政府信息共40条，其中机构职能信息2条、领导信息1条、规划计划信息2条、政策解读6条、部门文件3条、部门财政预算决算1条、重大决策预公开信息2条、部门会议公开信息3条、人大政协建议提案办理结果信息1条、重大决策执行落实情况6条、审计结果信息3条、政务公开组织管理7条以及政府信息公开制度信息3条。</w:t>
      </w:r>
    </w:p>
    <w:p>
      <w:pPr>
        <w:pStyle w:val="4"/>
        <w:widowControl/>
        <w:spacing w:before="0" w:beforeAutospacing="0" w:after="0" w:afterAutospacing="0" w:line="590" w:lineRule="exact"/>
        <w:ind w:left="646"/>
        <w:rPr>
          <w:rStyle w:val="7"/>
          <w:rFonts w:hint="default" w:ascii="Times New Roman" w:hAnsi="Times New Roman" w:eastAsia="楷体" w:cs="Times New Roman"/>
          <w:b w:val="0"/>
          <w:sz w:val="32"/>
          <w:szCs w:val="32"/>
        </w:rPr>
      </w:pPr>
      <w:r>
        <w:rPr>
          <w:rStyle w:val="7"/>
          <w:rFonts w:hint="default" w:ascii="Times New Roman" w:hAnsi="Times New Roman" w:eastAsia="楷体" w:cs="Times New Roman"/>
          <w:b w:val="0"/>
          <w:sz w:val="32"/>
          <w:szCs w:val="32"/>
        </w:rPr>
        <w:t>（二）依申请公开</w:t>
      </w:r>
    </w:p>
    <w:p>
      <w:pPr>
        <w:pStyle w:val="4"/>
        <w:widowControl/>
        <w:spacing w:before="0" w:beforeAutospacing="0" w:after="0" w:afterAutospacing="0" w:line="59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2020年度共收到两个政府信息公开申请，</w:t>
      </w:r>
      <w:r>
        <w:rPr>
          <w:rFonts w:hint="default" w:ascii="Times New Roman" w:hAnsi="Times New Roman" w:eastAsia="仿宋" w:cs="Times New Roman"/>
          <w:sz w:val="32"/>
          <w:szCs w:val="32"/>
          <w:lang w:eastAsia="zh-CN"/>
        </w:rPr>
        <w:t>结转明年继续办理</w:t>
      </w:r>
      <w:r>
        <w:rPr>
          <w:rFonts w:hint="default" w:ascii="Times New Roman" w:hAnsi="Times New Roman" w:eastAsia="仿宋" w:cs="Times New Roman"/>
          <w:sz w:val="32"/>
          <w:szCs w:val="32"/>
        </w:rPr>
        <w:t>。</w:t>
      </w:r>
    </w:p>
    <w:p>
      <w:pPr>
        <w:pStyle w:val="4"/>
        <w:widowControl/>
        <w:spacing w:before="0" w:beforeAutospacing="0" w:after="0" w:afterAutospacing="0" w:line="590" w:lineRule="exact"/>
        <w:ind w:left="646"/>
        <w:rPr>
          <w:rStyle w:val="7"/>
          <w:rFonts w:hint="default" w:ascii="Times New Roman" w:hAnsi="Times New Roman" w:eastAsia="楷体" w:cs="Times New Roman"/>
          <w:b w:val="0"/>
          <w:sz w:val="32"/>
          <w:szCs w:val="32"/>
        </w:rPr>
      </w:pPr>
      <w:r>
        <w:rPr>
          <w:rStyle w:val="7"/>
          <w:rFonts w:hint="default" w:ascii="Times New Roman" w:hAnsi="Times New Roman" w:eastAsia="楷体" w:cs="Times New Roman"/>
          <w:b w:val="0"/>
          <w:sz w:val="32"/>
          <w:szCs w:val="32"/>
        </w:rPr>
        <w:t>（三）政府信息管理</w:t>
      </w:r>
    </w:p>
    <w:p>
      <w:pPr>
        <w:pStyle w:val="4"/>
        <w:widowControl/>
        <w:spacing w:before="0" w:beforeAutospacing="0" w:after="0" w:afterAutospacing="0" w:line="590" w:lineRule="exact"/>
        <w:ind w:firstLine="64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32"/>
          <w:szCs w:val="32"/>
        </w:rPr>
        <w:t>成立由局主要负责人任组长，分管领导任副组长，各科室负责人为成员的政务公开工作领导小组，负责局政府信息公开工作的组织实施。根据《政府信息公开条例》，我局严格施行信息公开程序和审批制度，信息公开实行预先审核制度，对所公开的内容必须经过事前审核，由科室负责人与分管领导签字确认后，才能进行网上公开，确保了公开信息的安全和规范。同时严格执行保密规则，坚持应公开的全面公开，严禁将触及单位机密及其他按规定不宜或不能公开的信息对外公开，严防涉密。</w:t>
      </w:r>
    </w:p>
    <w:p>
      <w:pPr>
        <w:pStyle w:val="4"/>
        <w:widowControl/>
        <w:spacing w:before="0" w:beforeAutospacing="0" w:after="0" w:afterAutospacing="0" w:line="590" w:lineRule="exact"/>
        <w:ind w:firstLine="640" w:firstLineChars="200"/>
        <w:rPr>
          <w:rStyle w:val="7"/>
          <w:rFonts w:hint="default" w:ascii="Times New Roman" w:hAnsi="Times New Roman" w:eastAsia="楷体" w:cs="Times New Roman"/>
          <w:b w:val="0"/>
          <w:sz w:val="32"/>
          <w:szCs w:val="32"/>
        </w:rPr>
      </w:pPr>
      <w:r>
        <w:rPr>
          <w:rStyle w:val="7"/>
          <w:rFonts w:hint="default" w:ascii="Times New Roman" w:hAnsi="Times New Roman" w:eastAsia="楷体" w:cs="Times New Roman"/>
          <w:b w:val="0"/>
          <w:sz w:val="32"/>
          <w:szCs w:val="32"/>
        </w:rPr>
        <w:t>（四）平台建设</w:t>
      </w:r>
    </w:p>
    <w:p>
      <w:pPr>
        <w:pStyle w:val="4"/>
        <w:widowControl/>
        <w:spacing w:before="0" w:beforeAutospacing="0" w:after="0" w:afterAutospacing="0" w:line="59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充分发挥兖州区政府门户网站的信息公开主阵地作用的同时，依托兖州审计微信公众号，加大信息公开发布力度，及时发布实时部门动态信息，并设立留言互动功能，提高信息公开透明度、时效性。</w:t>
      </w:r>
    </w:p>
    <w:p>
      <w:pPr>
        <w:pStyle w:val="4"/>
        <w:widowControl/>
        <w:spacing w:before="0" w:beforeAutospacing="0" w:after="0" w:afterAutospacing="0" w:line="590" w:lineRule="exact"/>
        <w:ind w:firstLine="640" w:firstLineChars="200"/>
        <w:rPr>
          <w:rStyle w:val="7"/>
          <w:rFonts w:hint="default" w:ascii="Times New Roman" w:hAnsi="Times New Roman" w:eastAsia="楷体" w:cs="Times New Roman"/>
          <w:b w:val="0"/>
          <w:sz w:val="32"/>
          <w:szCs w:val="32"/>
        </w:rPr>
      </w:pPr>
      <w:r>
        <w:rPr>
          <w:rStyle w:val="7"/>
          <w:rFonts w:hint="default" w:ascii="Times New Roman" w:hAnsi="Times New Roman" w:eastAsia="楷体" w:cs="Times New Roman"/>
          <w:b w:val="0"/>
          <w:sz w:val="32"/>
          <w:szCs w:val="32"/>
        </w:rPr>
        <w:t>（五）监督保障</w:t>
      </w:r>
    </w:p>
    <w:p>
      <w:pPr>
        <w:pStyle w:val="4"/>
        <w:widowControl/>
        <w:spacing w:before="0" w:beforeAutospacing="0" w:after="0" w:afterAutospacing="0" w:line="59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局主要负责人专门召开政府信息公开工作会议研究部署政务公开工作，督促各有关科室按照有关要求进行信息公开，推进信息公开工作的全面落实；局政务公开领导小组全力做好信息公开的牵头协调和监督检查，确保公开信息的准确性、权威性、完整性和时效性，做到领导、机构、人员“三到位”；通过投诉电话、电子邮箱等方式，广泛听取社会各界的意见和要求，充分发挥社会监督的作用，同时积极接受区政府办公室的检查督导。</w:t>
      </w:r>
    </w:p>
    <w:p>
      <w:pPr>
        <w:pStyle w:val="4"/>
        <w:widowControl/>
        <w:shd w:val="clear" w:color="auto" w:fill="FFFFFF"/>
        <w:spacing w:before="0" w:beforeAutospacing="0" w:line="590"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二、主动公开政府信息情况</w:t>
      </w:r>
    </w:p>
    <w:tbl>
      <w:tblPr>
        <w:tblStyle w:val="5"/>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本年新</w:t>
            </w:r>
            <w:r>
              <w:rPr>
                <w:rFonts w:hint="default" w:ascii="Times New Roman" w:hAnsi="Times New Roman" w:cs="Times New Roman"/>
                <w:kern w:val="0"/>
                <w:sz w:val="20"/>
                <w:szCs w:val="20"/>
                <w:lang w:bidi="ar"/>
              </w:rPr>
              <w:br w:type="textWrapping"/>
            </w:r>
            <w:r>
              <w:rPr>
                <w:rFonts w:hint="default" w:ascii="Times New Roman" w:hAnsi="Times New Roman" w:cs="Times New Roman"/>
                <w:kern w:val="0"/>
                <w:sz w:val="20"/>
                <w:szCs w:val="20"/>
                <w:lang w:bidi="ar"/>
              </w:rPr>
              <w:t>制作数量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本年新</w:t>
            </w:r>
            <w:r>
              <w:rPr>
                <w:rFonts w:hint="default" w:ascii="Times New Roman" w:hAnsi="Times New Roman" w:cs="Times New Roman"/>
                <w:kern w:val="0"/>
                <w:sz w:val="20"/>
                <w:szCs w:val="20"/>
                <w:lang w:bidi="ar"/>
              </w:rPr>
              <w:br w:type="textWrapping"/>
            </w:r>
            <w:r>
              <w:rPr>
                <w:rFonts w:hint="default" w:ascii="Times New Roman" w:hAnsi="Times New Roman" w:cs="Times New Roman"/>
                <w:kern w:val="0"/>
                <w:sz w:val="20"/>
                <w:szCs w:val="20"/>
                <w:lang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271"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271"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jc w:val="center"/>
              <w:rPr>
                <w:rFonts w:hint="default" w:ascii="Times New Roman" w:hAnsi="Times New Roman" w:cs="Times New Roman"/>
                <w:sz w:val="24"/>
              </w:rPr>
            </w:pPr>
            <w:r>
              <w:rPr>
                <w:rFonts w:hint="default" w:ascii="Times New Roman" w:hAnsi="Times New Roman" w:cs="Times New Roman"/>
                <w:sz w:val="24"/>
              </w:rPr>
              <w:t>0</w:t>
            </w:r>
          </w:p>
        </w:tc>
      </w:tr>
    </w:tbl>
    <w:p>
      <w:pPr>
        <w:pStyle w:val="4"/>
        <w:widowControl/>
        <w:shd w:val="clear" w:color="auto" w:fill="FFFFFF"/>
        <w:spacing w:before="0" w:beforeAutospacing="0" w:after="0" w:afterAutospacing="0" w:line="590" w:lineRule="exact"/>
        <w:ind w:firstLine="420"/>
        <w:jc w:val="both"/>
        <w:rPr>
          <w:rFonts w:hint="default" w:ascii="Times New Roman" w:hAnsi="Times New Roman" w:eastAsia="黑体" w:cs="Times New Roman"/>
          <w:b/>
          <w:sz w:val="32"/>
          <w:szCs w:val="32"/>
          <w:shd w:val="clear" w:color="auto" w:fill="FFFFFF"/>
        </w:rPr>
      </w:pPr>
    </w:p>
    <w:p>
      <w:pPr>
        <w:pStyle w:val="4"/>
        <w:widowControl/>
        <w:shd w:val="clear" w:color="auto" w:fill="FFFFFF"/>
        <w:spacing w:before="0" w:beforeAutospacing="0" w:line="590" w:lineRule="exact"/>
        <w:ind w:firstLine="640" w:firstLineChars="200"/>
        <w:jc w:val="both"/>
        <w:rPr>
          <w:rFonts w:hint="default" w:ascii="Times New Roman" w:hAnsi="Times New Roman" w:eastAsia="黑体" w:cs="Times New Roman"/>
          <w:b/>
          <w:sz w:val="32"/>
          <w:szCs w:val="32"/>
          <w:shd w:val="clear" w:color="auto" w:fill="FFFFFF"/>
        </w:rPr>
      </w:pPr>
      <w:r>
        <w:rPr>
          <w:rFonts w:hint="default" w:ascii="Times New Roman" w:hAnsi="Times New Roman" w:eastAsia="黑体" w:cs="Times New Roman"/>
          <w:sz w:val="32"/>
          <w:szCs w:val="32"/>
          <w:shd w:val="clear" w:color="auto" w:fill="FFFFFF"/>
        </w:rPr>
        <w:t>三</w:t>
      </w:r>
      <w:r>
        <w:rPr>
          <w:rFonts w:hint="default" w:ascii="Times New Roman" w:hAnsi="Times New Roman" w:eastAsia="黑体" w:cs="Times New Roman"/>
          <w:b/>
          <w:sz w:val="32"/>
          <w:szCs w:val="32"/>
          <w:shd w:val="clear" w:color="auto" w:fill="FFFFFF"/>
        </w:rPr>
        <w:t>、</w:t>
      </w:r>
      <w:r>
        <w:rPr>
          <w:rFonts w:hint="default" w:ascii="Times New Roman" w:hAnsi="Times New Roman" w:eastAsia="黑体" w:cs="Times New Roman"/>
          <w:sz w:val="32"/>
          <w:szCs w:val="32"/>
          <w:shd w:val="clear" w:color="auto" w:fill="FFFFFF"/>
        </w:rPr>
        <w:t>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13"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自然人</w:t>
            </w:r>
          </w:p>
        </w:tc>
        <w:tc>
          <w:tcPr>
            <w:tcW w:w="400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法人或其他组织</w:t>
            </w:r>
          </w:p>
        </w:tc>
        <w:tc>
          <w:tcPr>
            <w:tcW w:w="69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13"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商业企业</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科研机构</w:t>
            </w:r>
          </w:p>
        </w:tc>
        <w:tc>
          <w:tcPr>
            <w:tcW w:w="813"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社会公益组织</w:t>
            </w:r>
          </w:p>
        </w:tc>
        <w:tc>
          <w:tcPr>
            <w:tcW w:w="973"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法律服务机构</w:t>
            </w:r>
          </w:p>
        </w:tc>
        <w:tc>
          <w:tcPr>
            <w:tcW w:w="711"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其他</w:t>
            </w:r>
          </w:p>
        </w:tc>
        <w:tc>
          <w:tcPr>
            <w:tcW w:w="695"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一、本年新收政府信息公开申请数量</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1</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1</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二、上年结转政府信息公开申请数量</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三、本年度办理结果</w:t>
            </w:r>
          </w:p>
        </w:tc>
        <w:tc>
          <w:tcPr>
            <w:tcW w:w="2940"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（一）予以公开</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940"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（二）部分公开（区分处理的，只计这一情形，不计其他情形）</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（三）不予公开</w:t>
            </w: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1.属于国家秘密</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2.其他法律行政法规禁止公开</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3.危及“三安全一稳定”</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4.保护第三方合法权益</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5.属于三类内部事务信息</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6.属于四类过程性信息</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7.属于行政执法案卷</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8.属于行政查询事项</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（四）无法提供</w:t>
            </w: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1.本机关不掌握相关政府信息</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2.没有现成信息需要另行制作</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3.补正后申请内容仍不明确</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（五）不予处理</w:t>
            </w: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1.信访举报投诉类申请</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2.重复申请</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3.要求提供公开出版物</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4.无正当理由大量反复申请</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85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086" w:type="dxa"/>
            <w:tcBorders>
              <w:top w:val="nil"/>
              <w:left w:val="nil"/>
              <w:bottom w:val="single" w:color="auto" w:sz="8" w:space="0"/>
              <w:right w:val="single" w:color="auto" w:sz="8" w:space="0"/>
            </w:tcBorders>
            <w:tcMar>
              <w:left w:w="108" w:type="dxa"/>
              <w:right w:w="108" w:type="dxa"/>
            </w:tcMar>
            <w:vAlign w:val="center"/>
          </w:tcPr>
          <w:p>
            <w:pPr>
              <w:widowControl/>
              <w:spacing w:after="180"/>
              <w:ind w:firstLine="400" w:firstLineChars="200"/>
              <w:jc w:val="left"/>
              <w:rPr>
                <w:rFonts w:hint="default" w:ascii="Times New Roman" w:hAnsi="Times New Roman" w:cs="Times New Roman"/>
              </w:rPr>
            </w:pPr>
            <w:r>
              <w:rPr>
                <w:rFonts w:hint="default" w:ascii="Times New Roman" w:hAnsi="Times New Roman" w:eastAsia="楷体" w:cs="Times New Roman"/>
                <w:kern w:val="0"/>
                <w:sz w:val="20"/>
                <w:szCs w:val="20"/>
                <w:lang w:bidi="ar"/>
              </w:rPr>
              <w:t>5.要求行政机关确认或重新出具已获取信息</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940"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（六）其他处理</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2940" w:type="dxa"/>
            <w:gridSpan w:val="2"/>
            <w:tcBorders>
              <w:top w:val="nil"/>
              <w:left w:val="nil"/>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eastAsia="楷体" w:cs="Times New Roman"/>
                <w:kern w:val="0"/>
                <w:sz w:val="20"/>
                <w:szCs w:val="20"/>
                <w:lang w:bidi="ar"/>
              </w:rPr>
              <w:t>（七）总计</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left"/>
              <w:rPr>
                <w:rFonts w:hint="default" w:ascii="Times New Roman" w:hAnsi="Times New Roman" w:cs="Times New Roman"/>
              </w:rPr>
            </w:pPr>
            <w:r>
              <w:rPr>
                <w:rFonts w:hint="default" w:ascii="Times New Roman" w:hAnsi="Times New Roman" w:cs="Times New Roman"/>
                <w:kern w:val="0"/>
                <w:sz w:val="20"/>
                <w:szCs w:val="20"/>
                <w:lang w:bidi="ar"/>
              </w:rPr>
              <w:t>四、结转下年度继续办理</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1</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1</w:t>
            </w:r>
          </w:p>
        </w:tc>
        <w:tc>
          <w:tcPr>
            <w:tcW w:w="75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81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0 </w:t>
            </w:r>
          </w:p>
        </w:tc>
        <w:tc>
          <w:tcPr>
            <w:tcW w:w="973"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711"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 0</w:t>
            </w:r>
          </w:p>
        </w:tc>
        <w:tc>
          <w:tcPr>
            <w:tcW w:w="695" w:type="dxa"/>
            <w:tcBorders>
              <w:top w:val="nil"/>
              <w:left w:val="nil"/>
              <w:bottom w:val="single" w:color="auto" w:sz="8" w:space="0"/>
              <w:right w:val="single" w:color="auto" w:sz="8" w:space="0"/>
            </w:tcBorders>
            <w:tcMar>
              <w:left w:w="108" w:type="dxa"/>
              <w:right w:w="108" w:type="dxa"/>
            </w:tcMar>
            <w:vAlign w:val="center"/>
          </w:tcPr>
          <w:p>
            <w:pPr>
              <w:jc w:val="center"/>
              <w:rPr>
                <w:rFonts w:hint="default" w:ascii="Times New Roman" w:hAnsi="Times New Roman" w:cs="Times New Roman"/>
                <w:sz w:val="24"/>
              </w:rPr>
            </w:pPr>
            <w:r>
              <w:rPr>
                <w:rFonts w:hint="default" w:ascii="Times New Roman" w:hAnsi="Times New Roman" w:cs="Times New Roman"/>
                <w:kern w:val="0"/>
                <w:sz w:val="20"/>
                <w:szCs w:val="20"/>
                <w:lang w:bidi="ar"/>
              </w:rPr>
              <w:t>2</w:t>
            </w:r>
          </w:p>
        </w:tc>
      </w:tr>
    </w:tbl>
    <w:p>
      <w:pPr>
        <w:pStyle w:val="4"/>
        <w:widowControl/>
        <w:shd w:val="clear" w:color="auto" w:fill="FFFFFF"/>
        <w:spacing w:before="0" w:beforeAutospacing="0" w:after="0" w:afterAutospacing="0" w:line="590"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四、政府信息公开行政复议、行政诉讼情况</w:t>
      </w:r>
    </w:p>
    <w:p>
      <w:pPr>
        <w:pStyle w:val="4"/>
        <w:widowControl/>
        <w:shd w:val="clear" w:color="auto" w:fill="FFFFFF"/>
        <w:spacing w:before="0" w:beforeAutospacing="0" w:after="0" w:afterAutospacing="0"/>
        <w:ind w:firstLine="420"/>
        <w:jc w:val="both"/>
        <w:rPr>
          <w:rFonts w:hint="default" w:ascii="Times New Roman" w:hAnsi="Times New Roman" w:cs="Times New Roman"/>
        </w:rPr>
      </w:pP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结果维持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default" w:ascii="Times New Roman" w:hAnsi="Times New Roman" w:cs="Times New Roman"/>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其他结果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尚未审结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其他结果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06" w:type="dxa"/>
            <w:tcBorders>
              <w:top w:val="nil"/>
              <w:left w:val="nil"/>
              <w:bottom w:val="single" w:color="auto" w:sz="8" w:space="0"/>
              <w:right w:val="single" w:color="auto" w:sz="8" w:space="0"/>
            </w:tcBorders>
            <w:tcMar>
              <w:left w:w="108" w:type="dxa"/>
              <w:right w:w="108" w:type="dxa"/>
            </w:tcMar>
            <w:vAlign w:val="center"/>
          </w:tcPr>
          <w:p>
            <w:pPr>
              <w:jc w:val="center"/>
              <w:rPr>
                <w:rFonts w:hint="default" w:ascii="Times New Roman" w:hAnsi="Times New Roman" w:cs="Times New Roman"/>
                <w:sz w:val="24"/>
              </w:rPr>
            </w:pPr>
            <w:r>
              <w:rPr>
                <w:rFonts w:hint="default" w:ascii="Times New Roman" w:hAnsi="Times New Roman" w:cs="Times New Roman"/>
                <w:sz w:val="24"/>
              </w:rPr>
              <w:t>0</w:t>
            </w:r>
          </w:p>
        </w:tc>
      </w:tr>
    </w:tbl>
    <w:p>
      <w:pPr>
        <w:widowControl/>
        <w:shd w:val="clear" w:color="auto" w:fill="FFFFFF"/>
        <w:rPr>
          <w:rFonts w:hint="default" w:ascii="Times New Roman" w:hAnsi="Times New Roman" w:cs="Times New Roman"/>
          <w:sz w:val="24"/>
        </w:rPr>
      </w:pPr>
    </w:p>
    <w:p>
      <w:pPr>
        <w:pStyle w:val="4"/>
        <w:widowControl/>
        <w:shd w:val="clear" w:color="auto" w:fill="FFFFFF"/>
        <w:spacing w:before="0" w:beforeAutospacing="0" w:after="0" w:afterAutospacing="0" w:line="590"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五、存在的主要问题及改进情况</w:t>
      </w:r>
    </w:p>
    <w:p>
      <w:pPr>
        <w:pStyle w:val="4"/>
        <w:widowControl/>
        <w:spacing w:before="0" w:beforeAutospacing="0" w:after="0" w:afterAutospacing="0" w:line="59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2020年，我局政府信息公开工作取得了一定成绩，但还存在一些问题，主要是政策解读形式不够丰富、信息公开业务水平有待提高。下一步我局将采取以下措施进行改进：</w:t>
      </w:r>
    </w:p>
    <w:p>
      <w:pPr>
        <w:pStyle w:val="4"/>
        <w:widowControl/>
        <w:spacing w:before="0" w:beforeAutospacing="0" w:after="0" w:afterAutospacing="0" w:line="59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（一）进一步丰富信息公开形式。利用新媒体技术，扩大信息公开的广度，充分发挥公众号作用，及时对重要政策、重点事项进展成效进行发布解读，积极主动向社会公开我区审计相关工作情况。</w:t>
      </w:r>
    </w:p>
    <w:p>
      <w:pPr>
        <w:pStyle w:val="4"/>
        <w:widowControl/>
        <w:spacing w:before="0" w:beforeAutospacing="0" w:after="0" w:afterAutospacing="0" w:line="59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（二）进一步加大信息公开工作力度。深入贯彻落实政务公开工作有关要求，对照我局政府信息公开目录要求，及时、准确、有效发布有关信息，做到应公开的信息全部向社会公开，切实满足群众的知情权。</w:t>
      </w:r>
    </w:p>
    <w:p>
      <w:pPr>
        <w:pStyle w:val="4"/>
        <w:widowControl/>
        <w:spacing w:before="0" w:beforeAutospacing="0" w:after="0" w:afterAutospacing="0" w:line="59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（三）进一步提升信息公开工作能力水平。不断充实壮大信息公开工作人员力量，定期组织相关人员进行政务信息公开培训，切实提高工作人员能力水平。</w:t>
      </w:r>
    </w:p>
    <w:p>
      <w:pPr>
        <w:pStyle w:val="4"/>
        <w:widowControl/>
        <w:shd w:val="clear" w:color="auto" w:fill="FFFFFF"/>
        <w:spacing w:before="0" w:beforeAutospacing="0" w:after="0" w:afterAutospacing="0" w:line="590" w:lineRule="exact"/>
        <w:ind w:firstLine="640" w:firstLineChars="200"/>
        <w:jc w:val="both"/>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六、其他需要报告的事项</w:t>
      </w:r>
    </w:p>
    <w:p>
      <w:pPr>
        <w:pStyle w:val="4"/>
        <w:widowControl/>
        <w:spacing w:before="0" w:beforeAutospacing="0" w:after="0" w:afterAutospacing="0" w:line="59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无其他需要报告的事项。</w:t>
      </w:r>
      <w:bookmarkStart w:id="0" w:name="_GoBack"/>
      <w:bookmarkEnd w:id="0"/>
    </w:p>
    <w:p>
      <w:pPr>
        <w:pStyle w:val="4"/>
        <w:widowControl/>
        <w:shd w:val="clear" w:color="auto" w:fill="FFFFFF"/>
        <w:spacing w:before="0" w:beforeAutospacing="0" w:after="0" w:afterAutospacing="0"/>
        <w:ind w:firstLine="420"/>
        <w:jc w:val="both"/>
        <w:rPr>
          <w:rFonts w:ascii="宋体" w:hAnsi="宋体" w:cs="宋体"/>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F6E33"/>
    <w:rsid w:val="001A2738"/>
    <w:rsid w:val="00287B3A"/>
    <w:rsid w:val="002C487E"/>
    <w:rsid w:val="0074209B"/>
    <w:rsid w:val="00A8109C"/>
    <w:rsid w:val="00B81CDD"/>
    <w:rsid w:val="00C55245"/>
    <w:rsid w:val="00CC397E"/>
    <w:rsid w:val="00F91F85"/>
    <w:rsid w:val="1B7F6E33"/>
    <w:rsid w:val="2BFD782E"/>
    <w:rsid w:val="2E2E5F94"/>
    <w:rsid w:val="44E87DF6"/>
    <w:rsid w:val="4CEF7B98"/>
    <w:rsid w:val="4F8075AF"/>
    <w:rsid w:val="6B6F69B4"/>
    <w:rsid w:val="6B9A5CBB"/>
    <w:rsid w:val="7168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Hyperlink"/>
    <w:basedOn w:val="6"/>
    <w:qFormat/>
    <w:uiPriority w:val="0"/>
    <w:rPr>
      <w:color w:val="0563C1" w:themeColor="hyperlink"/>
      <w:u w:val="single"/>
      <w14:textFill>
        <w14:solidFill>
          <w14:schemeClr w14:val="hlink"/>
        </w14:solidFill>
      </w14:textFill>
    </w:rPr>
  </w:style>
  <w:style w:type="character" w:customStyle="1" w:styleId="9">
    <w:name w:val="页眉 Char"/>
    <w:basedOn w:val="6"/>
    <w:link w:val="3"/>
    <w:qFormat/>
    <w:uiPriority w:val="0"/>
    <w:rPr>
      <w:rFonts w:ascii="Calibri" w:hAnsi="Calibri"/>
      <w:kern w:val="2"/>
      <w:sz w:val="18"/>
      <w:szCs w:val="18"/>
    </w:rPr>
  </w:style>
  <w:style w:type="character" w:customStyle="1" w:styleId="10">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2799</Characters>
  <Lines>23</Lines>
  <Paragraphs>6</Paragraphs>
  <TotalTime>133</TotalTime>
  <ScaleCrop>false</ScaleCrop>
  <LinksUpToDate>false</LinksUpToDate>
  <CharactersWithSpaces>3283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2021-01-22T09:08:00Z</dcterms:created>
  <dc:creator>Administrator</dc:creator>
  <cp:lastModifiedBy>张张张(:◎)≡</cp:lastModifiedBy>
  <cp:lastPrinted>2021-09-14T03:25:00Z</cp:lastPrinted>
  <dcterms:modified xsi:type="dcterms:W3CDTF">2022-03-14T03:46:45Z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449096394_cloud</vt:lpwstr>
  </property>
  <property fmtid="{D5CDD505-2E9C-101B-9397-08002B2CF9AE}" pid="4" name="ICV">
    <vt:lpwstr>6B6E335B04DD43A9A32A4BF81C7D5119</vt:lpwstr>
  </property>
</Properties>
</file>