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附件：</w:t>
      </w:r>
    </w:p>
    <w:p>
      <w:pPr>
        <w:spacing w:line="560" w:lineRule="exact"/>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2022年</w:t>
      </w:r>
      <w:r>
        <w:rPr>
          <w:rFonts w:hint="default" w:ascii="Times New Roman" w:hAnsi="Times New Roman" w:eastAsia="黑体" w:cs="Times New Roman"/>
          <w:b/>
          <w:bCs/>
          <w:sz w:val="36"/>
          <w:szCs w:val="36"/>
          <w:lang w:eastAsia="zh-CN"/>
        </w:rPr>
        <w:t>济宁市兖州区卫生类</w:t>
      </w:r>
      <w:r>
        <w:rPr>
          <w:rFonts w:hint="default" w:ascii="Times New Roman" w:hAnsi="Times New Roman" w:eastAsia="黑体" w:cs="Times New Roman"/>
          <w:b/>
          <w:bCs/>
          <w:sz w:val="36"/>
          <w:szCs w:val="36"/>
        </w:rPr>
        <w:t>事业单位公开招聘</w:t>
      </w:r>
    </w:p>
    <w:p>
      <w:pPr>
        <w:spacing w:line="560" w:lineRule="exact"/>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工作人员笔试疫情防控告知书</w:t>
      </w:r>
    </w:p>
    <w:p>
      <w:pPr>
        <w:spacing w:line="560" w:lineRule="exact"/>
        <w:ind w:firstLine="883" w:firstLineChars="200"/>
        <w:jc w:val="center"/>
        <w:rPr>
          <w:rFonts w:hint="default" w:ascii="Times New Roman" w:hAnsi="Times New Roman" w:eastAsia="方正小标宋简体" w:cs="Times New Roman"/>
          <w:b/>
          <w:bCs/>
          <w:sz w:val="44"/>
          <w:szCs w:val="44"/>
        </w:rPr>
      </w:pP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根据疫情防控工作需要，为确保广大考生身体健康，保障考试安全顺利进行，现将2022年</w:t>
      </w:r>
      <w:r>
        <w:rPr>
          <w:rFonts w:hint="default" w:ascii="Times New Roman" w:hAnsi="Times New Roman" w:eastAsia="仿宋_GB2312" w:cs="Times New Roman"/>
          <w:b/>
          <w:bCs/>
          <w:sz w:val="32"/>
          <w:szCs w:val="32"/>
          <w:lang w:eastAsia="zh-CN"/>
        </w:rPr>
        <w:t>济宁市兖州区卫生类</w:t>
      </w:r>
      <w:r>
        <w:rPr>
          <w:rFonts w:hint="default" w:ascii="Times New Roman" w:hAnsi="Times New Roman" w:eastAsia="仿宋_GB2312" w:cs="Times New Roman"/>
          <w:b/>
          <w:bCs/>
          <w:sz w:val="32"/>
          <w:szCs w:val="32"/>
        </w:rPr>
        <w:t>事业单位公开招聘工作人员笔试疫情防控有关要求和注意事项告知如下，请所有考生知悉并严格执行各项考试防疫措施和要求。</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小标宋简体" w:cs="Times New Roman"/>
          <w:b/>
          <w:bCs/>
          <w:sz w:val="32"/>
          <w:szCs w:val="32"/>
        </w:rPr>
      </w:pPr>
      <w:r>
        <w:rPr>
          <w:rFonts w:hint="default" w:ascii="Times New Roman" w:hAnsi="Times New Roman" w:eastAsia="方正小标宋简体" w:cs="Times New Roman"/>
          <w:b/>
          <w:bCs/>
          <w:sz w:val="32"/>
          <w:szCs w:val="32"/>
        </w:rPr>
        <w:t>一、考前防疫准备</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（一）为确保顺利参考，建议考生考前14天内非必要不离开济宁市。尚在外地（省外、省内其他市）的考生应主动了解济宁市疫情防控相关要求，按规定提前返回济宁（建议提前14天以上），以免耽误考试。</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（二）提前申领“山东省电子健康通行码”和“通信大数据行程卡”。</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color w:val="FF0000"/>
          <w:sz w:val="32"/>
          <w:szCs w:val="32"/>
        </w:rPr>
      </w:pPr>
      <w:r>
        <w:rPr>
          <w:rFonts w:hint="default" w:ascii="Times New Roman" w:hAnsi="Times New Roman" w:eastAsia="仿宋_GB2312" w:cs="Times New Roman"/>
          <w:b/>
          <w:bCs/>
          <w:sz w:val="32"/>
          <w:szCs w:val="32"/>
        </w:rPr>
        <w:t>（三）按规定准备相应数量的核酸检测阴性证明（纸质版）。核酸检测阴性证明纸质版（检测报告原件、复印件或打印“山东省电子健康通行码”显示的个人信息完整的核酸检测结果）须在进入考场时提交给监考人员。</w:t>
      </w:r>
      <w:r>
        <w:rPr>
          <w:rFonts w:hint="default" w:ascii="Times New Roman" w:hAnsi="Times New Roman" w:eastAsia="仿宋_GB2312" w:cs="Times New Roman"/>
          <w:b/>
          <w:bCs/>
          <w:color w:val="FF0000"/>
          <w:sz w:val="32"/>
          <w:szCs w:val="32"/>
        </w:rPr>
        <w:t>不能按要求提供规定的核酸检测阴性证明的，不得参加考试。</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（四）每日自觉进行体温测量、健康状况监测，考前主动减少外出、不必要的聚集和人员接触，确保考试时身体状况良好。</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小标宋简体" w:cs="Times New Roman"/>
          <w:b/>
          <w:bCs/>
          <w:sz w:val="32"/>
          <w:szCs w:val="32"/>
        </w:rPr>
      </w:pPr>
      <w:r>
        <w:rPr>
          <w:rFonts w:hint="default" w:ascii="Times New Roman" w:hAnsi="Times New Roman" w:eastAsia="方正小标宋简体" w:cs="Times New Roman"/>
          <w:b/>
          <w:bCs/>
          <w:sz w:val="32"/>
          <w:szCs w:val="32"/>
        </w:rPr>
        <w:t>二、省内考生管理要求</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color w:val="FF0000"/>
          <w:sz w:val="32"/>
          <w:szCs w:val="32"/>
        </w:rPr>
      </w:pPr>
      <w:r>
        <w:rPr>
          <w:rFonts w:hint="default" w:ascii="Times New Roman" w:hAnsi="Times New Roman" w:eastAsia="仿宋_GB2312" w:cs="Times New Roman"/>
          <w:b/>
          <w:bCs/>
          <w:color w:val="FF0000"/>
          <w:sz w:val="32"/>
          <w:szCs w:val="32"/>
        </w:rPr>
        <w:t>1.本市考生须持有考前48小时内核酸检测阴性证明。</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color w:val="FF0000"/>
          <w:sz w:val="32"/>
          <w:szCs w:val="32"/>
        </w:rPr>
      </w:pPr>
      <w:r>
        <w:rPr>
          <w:rFonts w:hint="default" w:ascii="Times New Roman" w:hAnsi="Times New Roman" w:eastAsia="仿宋_GB2312" w:cs="Times New Roman"/>
          <w:b/>
          <w:bCs/>
          <w:color w:val="FF0000"/>
          <w:sz w:val="32"/>
          <w:szCs w:val="32"/>
        </w:rPr>
        <w:t>2.省内跨市参加考试的考生，须提供启程前48小时内核酸检测阴性证明和抵达济宁后考前48小时内核酸检测阴性证明。</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小标宋简体" w:cs="Times New Roman"/>
          <w:b/>
          <w:bCs/>
          <w:sz w:val="32"/>
          <w:szCs w:val="32"/>
        </w:rPr>
      </w:pPr>
      <w:r>
        <w:rPr>
          <w:rFonts w:hint="default" w:ascii="Times New Roman" w:hAnsi="Times New Roman" w:eastAsia="方正小标宋简体" w:cs="Times New Roman"/>
          <w:b/>
          <w:bCs/>
          <w:sz w:val="32"/>
          <w:szCs w:val="32"/>
        </w:rPr>
        <w:t> 三、省外旅居史和特殊情形考生管理要求</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（一）对省外入鲁返鲁参加考试的考生，抵达济宁后须落实好下述各项疫情防控措施，参加考试时须提供规定次数的全部核酸检测阴性证明。</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1.省外低风险地区所在县（市、区）入鲁返鲁参加考试的考生，须提前3天到达济宁市，持启程前48小时内核酸检测阴性证明，</w:t>
      </w:r>
      <w:r>
        <w:rPr>
          <w:rFonts w:hint="default" w:ascii="Times New Roman" w:hAnsi="Times New Roman" w:eastAsia="仿宋_GB2312" w:cs="Times New Roman"/>
          <w:b/>
          <w:bCs/>
          <w:sz w:val="32"/>
          <w:szCs w:val="32"/>
          <w:lang w:val="en-US" w:eastAsia="zh-CN"/>
        </w:rPr>
        <w:t>抵达后进行3天自我健康监测，</w:t>
      </w:r>
      <w:r>
        <w:rPr>
          <w:rFonts w:hint="default" w:ascii="Times New Roman" w:hAnsi="Times New Roman" w:eastAsia="仿宋_GB2312" w:cs="Times New Roman"/>
          <w:b/>
          <w:bCs/>
          <w:sz w:val="32"/>
          <w:szCs w:val="32"/>
        </w:rPr>
        <w:t>抵达后第1天和第3天各进行1次核酸检测（其中一次为考前48小时内核酸检测阴性证明）。</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省外中风险地区所在县（市、区）入鲁返鲁参加考试的考生，须提前7天到达济宁市，持启程前48小时内核酸检测阴性证明，抵达后进行7天居家健康监测，在第1天、第3天和第7天各进行1次核酸检测（其中一次为考前48小时内核酸检测阴性证明）。</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省外高风险地区所在县（市、区）入鲁返鲁参加考试的考生，须提前14天到达济宁市，持启程前48小时内核酸检测阴性证明，抵达后进行7天集中隔离和7天居家健康监测，在集中隔离第1、4、7天和居家健康检测第7天各进行1次核酸检测（其中一次为考前48小时内核酸检测阴性证明）。</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4.对尚未公布中高风险地区但近期新增感染者较多、存在社区传播风险的其他疫情风险区域，参照中高风险地区所在县（市、区）执行。</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考前14天内从省外发生本土疫情省份入鲁返鲁参加考试的考生，应在相对独立的考场考试。中高风险地区所在县（市、区）及其他疫情风险区域、发生本土疫情省份以“山东疾控”微信公众号最新发布的《山东疾控近期疫情防控公众健康提示》为准。</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（二）存在以下情形的考生，参加考试时须持有考前48小时内和24小时内的两次核酸检测阴性证明，并在隔离考场考试：</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1.有中、高风险等疫情重点地区旅居史且离开上述地区已满14天但不满21天者；</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2.居住社区21天内发生疫情者；</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3.有境外旅居史且入境已满21天但不满28天者。</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（三）考前14天有发热、咳嗽等症状的，须提供医疗机构出具的诊断证明、考前48小时内和24小时内的两次核酸检测阴性证明，并在隔离考场考试。</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治愈出院满14天的确诊病例和无症状感染者，应持考前7天内的健康体检报告，体检正常、肺部影像学显示肺部病灶完全吸收、考前48小时内和24小时内的两次核酸检测（痰或鼻咽拭子）均为阴性的，可以在隔离考场参加考试。</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（五）存在以下情形的考生，不得参加考试：</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1.确诊病例、疑似病例、无症状感染者和尚在隔离观察期的密切接触者、次密接；</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2.考前14天内有发热、咳嗽等症状未痊愈且未排除传染病及身体不适者；</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3.有中、高风险等疫情重点地区旅居史且离开上述地区不满14天者；</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4.有境外旅居史且入境未满21天者；</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小标宋简体" w:cs="Times New Roman"/>
          <w:b/>
          <w:bCs/>
          <w:sz w:val="32"/>
          <w:szCs w:val="32"/>
        </w:rPr>
      </w:pPr>
      <w:r>
        <w:rPr>
          <w:rFonts w:hint="default" w:ascii="Times New Roman" w:hAnsi="Times New Roman" w:eastAsia="方正小标宋简体" w:cs="Times New Roman"/>
          <w:b/>
          <w:bCs/>
          <w:sz w:val="32"/>
          <w:szCs w:val="32"/>
        </w:rPr>
        <w:t>四、考试当天有关要求</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考生经现场检测体温正常（未超过37.3℃），携带准考证、有效居民身份证、符合规定要求和数量的核酸检测阴性证明(纸质版)，扫描考点场所码，出示山东省电子健康通行码绿码、通信大数据行程卡绿卡，方可参加考试。未携带的不得入场。</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（二）因考前防疫检查需要，请考生预留充足入场时间，建议至少提前1小时到达考点，以免影响考试。</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（三）考生参加考试时应自备一次性使用医用口罩或医用外科口罩，除接受身份核验时按要求摘下口罩外，进出考点以及考试期间应全程佩戴口罩。</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（四）考试期间，监考人员将组织全体考生签订《考生健康承诺书》（考点提供），请考生提前了解健康承诺书内容，按要求如实签订。</w:t>
      </w:r>
    </w:p>
    <w:p>
      <w:pPr>
        <w:keepNext w:val="0"/>
        <w:keepLines w:val="0"/>
        <w:pageBreakBefore w:val="0"/>
        <w:widowControl/>
        <w:shd w:val="clear" w:color="auto" w:fill="FFFFFF"/>
        <w:kinsoku/>
        <w:wordWrap/>
        <w:overflowPunct/>
        <w:topLinePunct w:val="0"/>
        <w:autoSpaceDE/>
        <w:autoSpaceDN/>
        <w:bidi w:val="0"/>
        <w:adjustRightInd/>
        <w:snapToGrid/>
        <w:spacing w:line="550" w:lineRule="exact"/>
        <w:ind w:firstLine="643" w:firstLineChars="200"/>
        <w:jc w:val="left"/>
        <w:textAlignment w:val="auto"/>
        <w:rPr>
          <w:rFonts w:hint="default" w:ascii="Times New Roman" w:hAnsi="Times New Roman" w:eastAsia="方正小标宋简体" w:cs="Times New Roman"/>
          <w:b/>
          <w:bCs/>
          <w:color w:val="000000"/>
          <w:kern w:val="0"/>
          <w:sz w:val="32"/>
          <w:szCs w:val="32"/>
        </w:rPr>
      </w:pPr>
      <w:r>
        <w:rPr>
          <w:rFonts w:hint="default" w:ascii="Times New Roman" w:hAnsi="Times New Roman" w:eastAsia="方正小标宋简体" w:cs="Times New Roman"/>
          <w:b/>
          <w:bCs/>
          <w:color w:val="000000"/>
          <w:kern w:val="0"/>
          <w:sz w:val="32"/>
          <w:szCs w:val="32"/>
        </w:rPr>
        <w:t>五、其他事项</w:t>
      </w:r>
    </w:p>
    <w:p>
      <w:pPr>
        <w:keepNext w:val="0"/>
        <w:keepLines w:val="0"/>
        <w:pageBreakBefore w:val="0"/>
        <w:widowControl/>
        <w:shd w:val="clear" w:color="auto" w:fill="FFFFFF"/>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b/>
          <w:bCs/>
          <w:color w:val="000000"/>
          <w:kern w:val="0"/>
          <w:sz w:val="32"/>
          <w:szCs w:val="32"/>
        </w:rPr>
      </w:pPr>
      <w:r>
        <w:rPr>
          <w:rFonts w:hint="default" w:ascii="Times New Roman" w:hAnsi="Times New Roman" w:eastAsia="仿宋_GB2312" w:cs="Times New Roman"/>
          <w:b/>
          <w:bCs/>
          <w:color w:val="000000"/>
          <w:kern w:val="0"/>
          <w:sz w:val="32"/>
          <w:szCs w:val="32"/>
          <w:lang w:eastAsia="zh-CN"/>
        </w:rPr>
        <w:t>济宁市兖州区</w:t>
      </w:r>
      <w:r>
        <w:rPr>
          <w:rFonts w:hint="default" w:ascii="Times New Roman" w:hAnsi="Times New Roman" w:eastAsia="仿宋_GB2312" w:cs="Times New Roman"/>
          <w:b/>
          <w:bCs/>
          <w:color w:val="000000"/>
          <w:kern w:val="0"/>
          <w:sz w:val="32"/>
          <w:szCs w:val="32"/>
        </w:rPr>
        <w:t>卫生健康局联系方式：0537-</w:t>
      </w:r>
      <w:r>
        <w:rPr>
          <w:rFonts w:hint="default" w:ascii="Times New Roman" w:hAnsi="Times New Roman" w:eastAsia="仿宋_GB2312" w:cs="Times New Roman"/>
          <w:b/>
          <w:bCs/>
          <w:color w:val="000000"/>
          <w:kern w:val="0"/>
          <w:sz w:val="32"/>
          <w:szCs w:val="32"/>
          <w:lang w:val="en-US" w:eastAsia="zh-CN"/>
        </w:rPr>
        <w:t>3498813</w:t>
      </w:r>
      <w:r>
        <w:rPr>
          <w:rFonts w:hint="default" w:ascii="Times New Roman" w:hAnsi="Times New Roman" w:eastAsia="仿宋_GB2312" w:cs="Times New Roman"/>
          <w:b/>
          <w:bCs/>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color w:val="000000"/>
          <w:kern w:val="0"/>
          <w:sz w:val="32"/>
          <w:szCs w:val="32"/>
          <w:lang w:eastAsia="zh-CN"/>
        </w:rPr>
        <w:t>济宁市兖州区</w:t>
      </w:r>
      <w:r>
        <w:rPr>
          <w:rFonts w:hint="default" w:ascii="Times New Roman" w:hAnsi="Times New Roman" w:eastAsia="仿宋_GB2312" w:cs="Times New Roman"/>
          <w:b/>
          <w:bCs/>
          <w:color w:val="000000"/>
          <w:kern w:val="0"/>
          <w:sz w:val="32"/>
          <w:szCs w:val="32"/>
        </w:rPr>
        <w:t>疫情防控部门联系方式：0537-</w:t>
      </w:r>
      <w:r>
        <w:rPr>
          <w:rFonts w:hint="default" w:ascii="Times New Roman" w:hAnsi="Times New Roman" w:eastAsia="仿宋_GB2312" w:cs="Times New Roman"/>
          <w:b/>
          <w:bCs/>
          <w:color w:val="000000"/>
          <w:kern w:val="0"/>
          <w:sz w:val="32"/>
          <w:szCs w:val="32"/>
          <w:lang w:val="en-US" w:eastAsia="zh-CN"/>
        </w:rPr>
        <w:t>3919922</w:t>
      </w:r>
      <w:r>
        <w:rPr>
          <w:rFonts w:hint="default" w:ascii="Times New Roman" w:hAnsi="Times New Roman" w:eastAsia="仿宋_GB2312" w:cs="Times New Roman"/>
          <w:b/>
          <w:bCs/>
          <w:color w:val="000000"/>
          <w:kern w:val="0"/>
          <w:sz w:val="32"/>
          <w:szCs w:val="32"/>
        </w:rPr>
        <w:t>。</w:t>
      </w:r>
    </w:p>
    <w:p>
      <w:pPr>
        <w:adjustRightInd w:val="0"/>
        <w:snapToGrid w:val="0"/>
        <w:spacing w:line="580" w:lineRule="exact"/>
        <w:jc w:val="center"/>
        <w:rPr>
          <w:rFonts w:hint="default" w:ascii="Times New Roman" w:hAnsi="Times New Roman" w:eastAsia="方正小标宋简体" w:cs="Times New Roman"/>
          <w:b/>
          <w:bCs/>
          <w:sz w:val="44"/>
          <w:szCs w:val="44"/>
        </w:rPr>
      </w:pPr>
    </w:p>
    <w:p>
      <w:pPr>
        <w:adjustRightInd w:val="0"/>
        <w:snapToGrid w:val="0"/>
        <w:spacing w:line="580" w:lineRule="exact"/>
        <w:jc w:val="center"/>
        <w:rPr>
          <w:rFonts w:hint="default" w:ascii="Times New Roman" w:hAnsi="Times New Roman" w:eastAsia="方正小标宋简体" w:cs="Times New Roman"/>
          <w:b/>
          <w:bCs/>
          <w:sz w:val="44"/>
          <w:szCs w:val="44"/>
        </w:rPr>
      </w:pPr>
    </w:p>
    <w:p>
      <w:pPr>
        <w:adjustRightInd w:val="0"/>
        <w:snapToGrid w:val="0"/>
        <w:spacing w:line="580" w:lineRule="exact"/>
        <w:jc w:val="center"/>
        <w:rPr>
          <w:rFonts w:hint="default" w:ascii="Times New Roman" w:hAnsi="Times New Roman" w:eastAsia="方正小标宋简体" w:cs="Times New Roman"/>
          <w:b/>
          <w:bCs/>
          <w:sz w:val="44"/>
          <w:szCs w:val="44"/>
        </w:rPr>
      </w:pPr>
    </w:p>
    <w:p>
      <w:pPr>
        <w:adjustRightInd w:val="0"/>
        <w:snapToGrid w:val="0"/>
        <w:spacing w:line="580" w:lineRule="exact"/>
        <w:jc w:val="center"/>
        <w:rPr>
          <w:rFonts w:hint="default" w:ascii="Times New Roman" w:hAnsi="Times New Roman" w:eastAsia="方正小标宋简体" w:cs="Times New Roman"/>
          <w:b/>
          <w:bCs/>
          <w:sz w:val="44"/>
          <w:szCs w:val="44"/>
        </w:rPr>
      </w:pPr>
    </w:p>
    <w:p>
      <w:pPr>
        <w:adjustRightInd w:val="0"/>
        <w:snapToGrid w:val="0"/>
        <w:spacing w:line="580" w:lineRule="exact"/>
        <w:jc w:val="center"/>
        <w:rPr>
          <w:rFonts w:hint="default" w:ascii="Times New Roman" w:hAnsi="Times New Roman" w:eastAsia="方正小标宋简体" w:cs="Times New Roman"/>
          <w:b/>
          <w:bCs/>
          <w:sz w:val="44"/>
          <w:szCs w:val="44"/>
        </w:rPr>
      </w:pPr>
      <w:bookmarkStart w:id="0" w:name="_GoBack"/>
      <w:bookmarkEnd w:id="0"/>
      <w:r>
        <w:rPr>
          <w:rFonts w:hint="default" w:ascii="Times New Roman" w:hAnsi="Times New Roman" w:eastAsia="方正小标宋简体" w:cs="Times New Roman"/>
          <w:b/>
          <w:bCs/>
          <w:sz w:val="44"/>
          <w:szCs w:val="44"/>
        </w:rPr>
        <w:t>2022年</w:t>
      </w:r>
      <w:r>
        <w:rPr>
          <w:rFonts w:hint="default" w:ascii="Times New Roman" w:hAnsi="Times New Roman" w:eastAsia="方正小标宋简体" w:cs="Times New Roman"/>
          <w:b/>
          <w:bCs/>
          <w:sz w:val="44"/>
          <w:szCs w:val="44"/>
          <w:lang w:eastAsia="zh-CN"/>
        </w:rPr>
        <w:t>济宁市兖州区卫生类</w:t>
      </w:r>
      <w:r>
        <w:rPr>
          <w:rFonts w:hint="default" w:ascii="Times New Roman" w:hAnsi="Times New Roman" w:eastAsia="方正小标宋简体" w:cs="Times New Roman"/>
          <w:b/>
          <w:bCs/>
          <w:sz w:val="44"/>
          <w:szCs w:val="44"/>
        </w:rPr>
        <w:t>事业单位公开招聘工作人员笔试考生健康承诺书</w:t>
      </w:r>
    </w:p>
    <w:tbl>
      <w:tblPr>
        <w:tblStyle w:val="8"/>
        <w:tblW w:w="5000" w:type="pct"/>
        <w:jc w:val="center"/>
        <w:tblLayout w:type="autofit"/>
        <w:tblCellMar>
          <w:top w:w="0" w:type="dxa"/>
          <w:left w:w="108" w:type="dxa"/>
          <w:bottom w:w="0" w:type="dxa"/>
          <w:right w:w="108" w:type="dxa"/>
        </w:tblCellMar>
      </w:tblPr>
      <w:tblGrid>
        <w:gridCol w:w="790"/>
        <w:gridCol w:w="1840"/>
        <w:gridCol w:w="1526"/>
        <w:gridCol w:w="490"/>
        <w:gridCol w:w="839"/>
        <w:gridCol w:w="1840"/>
        <w:gridCol w:w="1197"/>
      </w:tblGrid>
      <w:tr>
        <w:tblPrEx>
          <w:tblCellMar>
            <w:top w:w="0" w:type="dxa"/>
            <w:left w:w="108" w:type="dxa"/>
            <w:bottom w:w="0" w:type="dxa"/>
            <w:right w:w="108" w:type="dxa"/>
          </w:tblCellMar>
        </w:tblPrEx>
        <w:trPr>
          <w:cantSplit/>
          <w:trHeight w:val="397" w:hRule="exact"/>
          <w:jc w:val="center"/>
        </w:trPr>
        <w:tc>
          <w:tcPr>
            <w:tcW w:w="2702" w:type="pct"/>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both"/>
              <w:rPr>
                <w:rFonts w:hint="default" w:ascii="Times New Roman" w:hAnsi="Times New Roman" w:eastAsia="楷体" w:cs="Times New Roman"/>
                <w:b w:val="0"/>
                <w:bCs w:val="0"/>
                <w:kern w:val="0"/>
                <w:sz w:val="21"/>
                <w:szCs w:val="21"/>
              </w:rPr>
            </w:pPr>
            <w:r>
              <w:rPr>
                <w:rFonts w:hint="default" w:ascii="Times New Roman" w:hAnsi="Times New Roman" w:eastAsia="楷体" w:cs="Times New Roman"/>
                <w:b w:val="0"/>
                <w:bCs w:val="0"/>
                <w:kern w:val="0"/>
                <w:sz w:val="21"/>
                <w:szCs w:val="21"/>
              </w:rPr>
              <w:t>考点名称：</w:t>
            </w:r>
          </w:p>
        </w:tc>
        <w:tc>
          <w:tcPr>
            <w:tcW w:w="2298"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both"/>
              <w:rPr>
                <w:rFonts w:hint="default" w:ascii="Times New Roman" w:hAnsi="Times New Roman" w:eastAsia="楷体" w:cs="Times New Roman"/>
                <w:b w:val="0"/>
                <w:bCs w:val="0"/>
                <w:kern w:val="0"/>
                <w:sz w:val="21"/>
                <w:szCs w:val="21"/>
              </w:rPr>
            </w:pPr>
            <w:r>
              <w:rPr>
                <w:rFonts w:hint="default" w:ascii="Times New Roman" w:hAnsi="Times New Roman" w:eastAsia="楷体" w:cs="Times New Roman"/>
                <w:b w:val="0"/>
                <w:bCs w:val="0"/>
                <w:kern w:val="0"/>
                <w:sz w:val="21"/>
                <w:szCs w:val="21"/>
              </w:rPr>
              <w:t>考场号：</w:t>
            </w:r>
          </w:p>
        </w:tc>
      </w:tr>
      <w:tr>
        <w:tblPrEx>
          <w:tblCellMar>
            <w:top w:w="0" w:type="dxa"/>
            <w:left w:w="108" w:type="dxa"/>
            <w:bottom w:w="0" w:type="dxa"/>
            <w:right w:w="108" w:type="dxa"/>
          </w:tblCellMar>
        </w:tblPrEx>
        <w:trPr>
          <w:cantSplit/>
          <w:trHeight w:val="1107" w:hRule="atLeast"/>
          <w:jc w:val="center"/>
        </w:trPr>
        <w:tc>
          <w:tcPr>
            <w:tcW w:w="443" w:type="pct"/>
            <w:vMerge w:val="restart"/>
            <w:tcBorders>
              <w:top w:val="nil"/>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ind w:left="0" w:right="0"/>
              <w:jc w:val="both"/>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健康</w:t>
            </w:r>
          </w:p>
          <w:p>
            <w:pPr>
              <w:keepNext w:val="0"/>
              <w:keepLines w:val="0"/>
              <w:widowControl/>
              <w:suppressLineNumbers w:val="0"/>
              <w:adjustRightInd w:val="0"/>
              <w:snapToGrid w:val="0"/>
              <w:spacing w:before="0" w:beforeAutospacing="0" w:after="0" w:afterAutospacing="0"/>
              <w:ind w:left="0" w:right="0"/>
              <w:jc w:val="both"/>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申明</w:t>
            </w:r>
          </w:p>
        </w:tc>
        <w:tc>
          <w:tcPr>
            <w:tcW w:w="4557" w:type="pct"/>
            <w:gridSpan w:val="6"/>
            <w:tcBorders>
              <w:top w:val="single" w:color="auto" w:sz="4" w:space="0"/>
              <w:left w:val="nil"/>
              <w:bottom w:val="single" w:color="auto"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line="220" w:lineRule="exact"/>
              <w:ind w:left="0" w:right="0"/>
              <w:jc w:val="both"/>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1.是否有中、高风险等疫情重点地区旅居史且离开上述地区已满14天但不满21天？</w:t>
            </w:r>
            <w:r>
              <w:rPr>
                <w:rFonts w:hint="default" w:ascii="Times New Roman" w:hAnsi="Times New Roman" w:cs="Times New Roman"/>
                <w:b w:val="0"/>
                <w:bCs w:val="0"/>
                <w:kern w:val="0"/>
                <w:sz w:val="21"/>
                <w:szCs w:val="21"/>
              </w:rPr>
              <w:br w:type="textWrapping"/>
            </w:r>
            <w:r>
              <w:rPr>
                <w:rFonts w:hint="default" w:ascii="Times New Roman" w:hAnsi="Times New Roman" w:cs="Times New Roman"/>
                <w:b w:val="0"/>
                <w:bCs w:val="0"/>
                <w:kern w:val="0"/>
                <w:sz w:val="21"/>
                <w:szCs w:val="21"/>
              </w:rPr>
              <w:t>2.居住社区21天内是否发生疫情？</w:t>
            </w:r>
            <w:r>
              <w:rPr>
                <w:rFonts w:hint="default" w:ascii="Times New Roman" w:hAnsi="Times New Roman" w:cs="Times New Roman"/>
                <w:b w:val="0"/>
                <w:bCs w:val="0"/>
                <w:kern w:val="0"/>
                <w:sz w:val="21"/>
                <w:szCs w:val="21"/>
              </w:rPr>
              <w:br w:type="textWrapping"/>
            </w:r>
            <w:r>
              <w:rPr>
                <w:rFonts w:hint="default" w:ascii="Times New Roman" w:hAnsi="Times New Roman" w:cs="Times New Roman"/>
                <w:b w:val="0"/>
                <w:bCs w:val="0"/>
                <w:kern w:val="0"/>
                <w:sz w:val="21"/>
                <w:szCs w:val="21"/>
              </w:rPr>
              <w:t>3.是否有境外旅居史且入境已满21天但不满28天？</w:t>
            </w:r>
          </w:p>
          <w:p>
            <w:pPr>
              <w:keepNext w:val="0"/>
              <w:keepLines w:val="0"/>
              <w:suppressLineNumbers w:val="0"/>
              <w:adjustRightInd w:val="0"/>
              <w:snapToGrid w:val="0"/>
              <w:spacing w:before="0" w:beforeAutospacing="0" w:after="0" w:afterAutospacing="0" w:line="220" w:lineRule="exact"/>
              <w:ind w:left="0" w:right="0"/>
              <w:jc w:val="both"/>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4.是否属于治愈出院满14天的确诊病例和无症状感染者？</w:t>
            </w:r>
          </w:p>
        </w:tc>
      </w:tr>
      <w:tr>
        <w:tblPrEx>
          <w:tblCellMar>
            <w:top w:w="0" w:type="dxa"/>
            <w:left w:w="108" w:type="dxa"/>
            <w:bottom w:w="0" w:type="dxa"/>
            <w:right w:w="108" w:type="dxa"/>
          </w:tblCellMar>
        </w:tblPrEx>
        <w:trPr>
          <w:cantSplit/>
          <w:trHeight w:val="387" w:hRule="atLeast"/>
          <w:jc w:val="center"/>
        </w:trPr>
        <w:tc>
          <w:tcPr>
            <w:tcW w:w="443" w:type="pct"/>
            <w:vMerge w:val="continue"/>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both"/>
              <w:rPr>
                <w:rFonts w:hint="default" w:ascii="Times New Roman" w:hAnsi="Times New Roman" w:cs="Times New Roman"/>
                <w:b w:val="0"/>
                <w:bCs w:val="0"/>
                <w:sz w:val="21"/>
                <w:szCs w:val="21"/>
              </w:rPr>
            </w:pPr>
          </w:p>
        </w:tc>
        <w:tc>
          <w:tcPr>
            <w:tcW w:w="4557" w:type="pct"/>
            <w:gridSpan w:val="6"/>
            <w:tcBorders>
              <w:top w:val="single" w:color="auto" w:sz="4" w:space="0"/>
              <w:left w:val="nil"/>
              <w:bottom w:val="single" w:color="auto" w:sz="4" w:space="0"/>
              <w:right w:val="single" w:color="000000" w:sz="4" w:space="0"/>
            </w:tcBorders>
            <w:noWrap/>
          </w:tcPr>
          <w:p>
            <w:pPr>
              <w:keepNext w:val="0"/>
              <w:keepLines w:val="0"/>
              <w:suppressLineNumbers w:val="0"/>
              <w:adjustRightInd w:val="0"/>
              <w:snapToGrid w:val="0"/>
              <w:spacing w:before="0" w:beforeAutospacing="0" w:after="0" w:afterAutospacing="0" w:line="220" w:lineRule="exact"/>
              <w:ind w:left="0" w:right="0"/>
              <w:jc w:val="both"/>
              <w:rPr>
                <w:rFonts w:hint="default" w:ascii="Times New Roman" w:hAnsi="Times New Roman" w:cs="Times New Roman"/>
                <w:b w:val="0"/>
                <w:bCs w:val="0"/>
                <w:kern w:val="0"/>
                <w:sz w:val="21"/>
                <w:szCs w:val="21"/>
              </w:rPr>
            </w:pPr>
          </w:p>
          <w:p>
            <w:pPr>
              <w:keepNext w:val="0"/>
              <w:keepLines w:val="0"/>
              <w:suppressLineNumbers w:val="0"/>
              <w:adjustRightInd w:val="0"/>
              <w:snapToGrid w:val="0"/>
              <w:spacing w:before="0" w:beforeAutospacing="0" w:after="0" w:afterAutospacing="0" w:line="220" w:lineRule="exact"/>
              <w:ind w:left="0" w:right="0"/>
              <w:jc w:val="both"/>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5.是否考前14天内从省外发生本土疫情省份入鲁返鲁？</w:t>
            </w:r>
          </w:p>
        </w:tc>
      </w:tr>
      <w:tr>
        <w:tblPrEx>
          <w:tblCellMar>
            <w:top w:w="0" w:type="dxa"/>
            <w:left w:w="108" w:type="dxa"/>
            <w:bottom w:w="0" w:type="dxa"/>
            <w:right w:w="108" w:type="dxa"/>
          </w:tblCellMar>
        </w:tblPrEx>
        <w:trPr>
          <w:cantSplit/>
          <w:trHeight w:val="1404" w:hRule="atLeast"/>
          <w:jc w:val="center"/>
        </w:trPr>
        <w:tc>
          <w:tcPr>
            <w:tcW w:w="443" w:type="pct"/>
            <w:vMerge w:val="continue"/>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both"/>
              <w:rPr>
                <w:rFonts w:hint="default" w:ascii="Times New Roman" w:hAnsi="Times New Roman" w:cs="Times New Roman"/>
                <w:b w:val="0"/>
                <w:bCs w:val="0"/>
                <w:sz w:val="21"/>
                <w:szCs w:val="21"/>
              </w:rPr>
            </w:pPr>
          </w:p>
        </w:tc>
        <w:tc>
          <w:tcPr>
            <w:tcW w:w="4557" w:type="pct"/>
            <w:gridSpan w:val="6"/>
            <w:tcBorders>
              <w:top w:val="single" w:color="auto" w:sz="4" w:space="0"/>
              <w:left w:val="nil"/>
              <w:bottom w:val="single" w:color="auto" w:sz="4" w:space="0"/>
              <w:right w:val="single" w:color="000000" w:sz="4" w:space="0"/>
            </w:tcBorders>
            <w:noWrap/>
          </w:tcPr>
          <w:p>
            <w:pPr>
              <w:keepNext w:val="0"/>
              <w:keepLines w:val="0"/>
              <w:widowControl/>
              <w:suppressLineNumbers w:val="0"/>
              <w:adjustRightInd w:val="0"/>
              <w:snapToGrid w:val="0"/>
              <w:spacing w:before="0" w:beforeAutospacing="0" w:after="0" w:afterAutospacing="0" w:line="220" w:lineRule="exact"/>
              <w:ind w:left="0" w:right="0"/>
              <w:jc w:val="both"/>
              <w:rPr>
                <w:rFonts w:hint="default" w:ascii="Times New Roman" w:hAnsi="Times New Roman" w:cs="Times New Roman"/>
                <w:b w:val="0"/>
                <w:bCs w:val="0"/>
                <w:kern w:val="0"/>
                <w:sz w:val="21"/>
                <w:szCs w:val="21"/>
              </w:rPr>
            </w:pPr>
          </w:p>
          <w:p>
            <w:pPr>
              <w:keepNext w:val="0"/>
              <w:keepLines w:val="0"/>
              <w:widowControl/>
              <w:suppressLineNumbers w:val="0"/>
              <w:adjustRightInd w:val="0"/>
              <w:snapToGrid w:val="0"/>
              <w:spacing w:before="0" w:beforeAutospacing="0" w:after="0" w:afterAutospacing="0" w:line="220" w:lineRule="exact"/>
              <w:ind w:left="0" w:right="0"/>
              <w:jc w:val="both"/>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6.是否属于确诊病例、疑似病例、无症状感染者和尚在隔离观察期的密切接触者、次密接？</w:t>
            </w:r>
          </w:p>
          <w:p>
            <w:pPr>
              <w:keepNext w:val="0"/>
              <w:keepLines w:val="0"/>
              <w:suppressLineNumbers w:val="0"/>
              <w:adjustRightInd w:val="0"/>
              <w:snapToGrid w:val="0"/>
              <w:spacing w:before="0" w:beforeAutospacing="0" w:after="0" w:afterAutospacing="0" w:line="220" w:lineRule="exact"/>
              <w:ind w:left="0" w:right="0"/>
              <w:jc w:val="both"/>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7.考前14天内是否有发热、咳嗽等症状未痊愈且未排除传染病及身体不适？</w:t>
            </w:r>
            <w:r>
              <w:rPr>
                <w:rFonts w:hint="default" w:ascii="Times New Roman" w:hAnsi="Times New Roman" w:cs="Times New Roman"/>
                <w:b w:val="0"/>
                <w:bCs w:val="0"/>
                <w:kern w:val="0"/>
                <w:sz w:val="21"/>
                <w:szCs w:val="21"/>
              </w:rPr>
              <w:br w:type="textWrapping"/>
            </w:r>
            <w:r>
              <w:rPr>
                <w:rFonts w:hint="default" w:ascii="Times New Roman" w:hAnsi="Times New Roman" w:cs="Times New Roman"/>
                <w:b w:val="0"/>
                <w:bCs w:val="0"/>
                <w:kern w:val="0"/>
                <w:sz w:val="21"/>
                <w:szCs w:val="21"/>
              </w:rPr>
              <w:t>8.是否有中、高风险等疫情重点地区旅居史且离开上述地区不满14天？</w:t>
            </w:r>
            <w:r>
              <w:rPr>
                <w:rFonts w:hint="default" w:ascii="Times New Roman" w:hAnsi="Times New Roman" w:cs="Times New Roman"/>
                <w:b w:val="0"/>
                <w:bCs w:val="0"/>
                <w:kern w:val="0"/>
                <w:sz w:val="21"/>
                <w:szCs w:val="21"/>
              </w:rPr>
              <w:br w:type="textWrapping"/>
            </w:r>
            <w:r>
              <w:rPr>
                <w:rFonts w:hint="default" w:ascii="Times New Roman" w:hAnsi="Times New Roman" w:cs="Times New Roman"/>
                <w:b w:val="0"/>
                <w:bCs w:val="0"/>
                <w:kern w:val="0"/>
                <w:sz w:val="21"/>
                <w:szCs w:val="21"/>
              </w:rPr>
              <w:t>9.是否有境外旅居史且入境未满21天？</w:t>
            </w:r>
          </w:p>
        </w:tc>
      </w:tr>
      <w:tr>
        <w:tblPrEx>
          <w:tblCellMar>
            <w:top w:w="0" w:type="dxa"/>
            <w:left w:w="108" w:type="dxa"/>
            <w:bottom w:w="0" w:type="dxa"/>
            <w:right w:w="108" w:type="dxa"/>
          </w:tblCellMar>
        </w:tblPrEx>
        <w:trPr>
          <w:cantSplit/>
          <w:trHeight w:val="653" w:hRule="exact"/>
          <w:jc w:val="center"/>
        </w:trPr>
        <w:tc>
          <w:tcPr>
            <w:tcW w:w="443"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320" w:lineRule="exact"/>
              <w:ind w:left="0" w:right="0"/>
              <w:jc w:val="both"/>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考生</w:t>
            </w:r>
          </w:p>
          <w:p>
            <w:pPr>
              <w:keepNext w:val="0"/>
              <w:keepLines w:val="0"/>
              <w:widowControl/>
              <w:suppressLineNumbers w:val="0"/>
              <w:adjustRightInd w:val="0"/>
              <w:snapToGrid w:val="0"/>
              <w:spacing w:before="0" w:beforeAutospacing="0" w:after="0" w:afterAutospacing="0" w:line="320" w:lineRule="exact"/>
              <w:ind w:left="0" w:right="0"/>
              <w:jc w:val="both"/>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承诺</w:t>
            </w:r>
          </w:p>
        </w:tc>
        <w:tc>
          <w:tcPr>
            <w:tcW w:w="4557" w:type="pct"/>
            <w:gridSpan w:val="6"/>
            <w:tcBorders>
              <w:top w:val="single" w:color="auto" w:sz="4" w:space="0"/>
              <w:left w:val="nil"/>
              <w:bottom w:val="single" w:color="auto"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line="280" w:lineRule="exact"/>
              <w:ind w:left="0" w:right="0"/>
              <w:jc w:val="both"/>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本人如实填报健康申明，已提供规定期限内的核酸检测阴性证明。如因瞒报或虚假填报引起不良后果，本人愿承担相应的法律责任。</w:t>
            </w:r>
          </w:p>
        </w:tc>
      </w:tr>
      <w:tr>
        <w:tblPrEx>
          <w:tblCellMar>
            <w:top w:w="0" w:type="dxa"/>
            <w:left w:w="108" w:type="dxa"/>
            <w:bottom w:w="0" w:type="dxa"/>
            <w:right w:w="108" w:type="dxa"/>
          </w:tblCellMar>
        </w:tblPrEx>
        <w:trPr>
          <w:cantSplit/>
          <w:trHeight w:val="866" w:hRule="atLeast"/>
          <w:jc w:val="center"/>
        </w:trPr>
        <w:tc>
          <w:tcPr>
            <w:tcW w:w="443" w:type="pct"/>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both"/>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座位号</w:t>
            </w:r>
          </w:p>
        </w:tc>
        <w:tc>
          <w:tcPr>
            <w:tcW w:w="1067"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00" w:lineRule="exact"/>
              <w:ind w:left="0" w:right="0"/>
              <w:jc w:val="both"/>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是否存在健康申明的情形？（填“是”或“否”。如“是”，请详细列明）</w:t>
            </w:r>
          </w:p>
        </w:tc>
        <w:tc>
          <w:tcPr>
            <w:tcW w:w="960"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both"/>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考生承诺签字</w:t>
            </w:r>
          </w:p>
        </w:tc>
        <w:tc>
          <w:tcPr>
            <w:tcW w:w="232" w:type="pct"/>
            <w:vMerge w:val="restart"/>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both"/>
              <w:rPr>
                <w:rFonts w:hint="default" w:ascii="Times New Roman" w:hAnsi="Times New Roman" w:eastAsia="黑体" w:cs="Times New Roman"/>
                <w:b w:val="0"/>
                <w:bCs w:val="0"/>
                <w:kern w:val="0"/>
                <w:sz w:val="21"/>
                <w:szCs w:val="21"/>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both"/>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座位号</w:t>
            </w:r>
          </w:p>
        </w:tc>
        <w:tc>
          <w:tcPr>
            <w:tcW w:w="1092"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00" w:lineRule="exact"/>
              <w:ind w:left="0" w:right="0"/>
              <w:jc w:val="both"/>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是否存在健康申明的情形？（填“是”或“否”。如“是”，请详细列明）</w:t>
            </w:r>
          </w:p>
        </w:tc>
        <w:tc>
          <w:tcPr>
            <w:tcW w:w="728"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both"/>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考生承诺签字</w:t>
            </w:r>
          </w:p>
        </w:tc>
      </w:tr>
      <w:tr>
        <w:tblPrEx>
          <w:tblCellMar>
            <w:top w:w="0" w:type="dxa"/>
            <w:left w:w="108" w:type="dxa"/>
            <w:bottom w:w="0" w:type="dxa"/>
            <w:right w:w="108" w:type="dxa"/>
          </w:tblCellMar>
        </w:tblPrEx>
        <w:trPr>
          <w:cantSplit/>
          <w:trHeight w:val="340" w:hRule="atLeast"/>
          <w:jc w:val="center"/>
        </w:trPr>
        <w:tc>
          <w:tcPr>
            <w:tcW w:w="44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01</w:t>
            </w:r>
          </w:p>
        </w:tc>
        <w:tc>
          <w:tcPr>
            <w:tcW w:w="1067" w:type="pct"/>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960"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232" w:type="pct"/>
            <w:vMerge w:val="continue"/>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val="0"/>
                <w:bCs w:val="0"/>
                <w:sz w:val="21"/>
                <w:szCs w:val="21"/>
              </w:rPr>
            </w:pPr>
          </w:p>
        </w:tc>
        <w:tc>
          <w:tcPr>
            <w:tcW w:w="477"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16</w:t>
            </w:r>
          </w:p>
        </w:tc>
        <w:tc>
          <w:tcPr>
            <w:tcW w:w="1092" w:type="pct"/>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c>
          <w:tcPr>
            <w:tcW w:w="728"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r>
      <w:tr>
        <w:tblPrEx>
          <w:tblCellMar>
            <w:top w:w="0" w:type="dxa"/>
            <w:left w:w="108" w:type="dxa"/>
            <w:bottom w:w="0" w:type="dxa"/>
            <w:right w:w="108" w:type="dxa"/>
          </w:tblCellMar>
        </w:tblPrEx>
        <w:trPr>
          <w:cantSplit/>
          <w:trHeight w:val="340" w:hRule="atLeast"/>
          <w:jc w:val="center"/>
        </w:trPr>
        <w:tc>
          <w:tcPr>
            <w:tcW w:w="443" w:type="pct"/>
            <w:tcBorders>
              <w:top w:val="single" w:color="auto" w:sz="4" w:space="0"/>
              <w:left w:val="single" w:color="auto" w:sz="4" w:space="0"/>
              <w:bottom w:val="nil"/>
              <w:right w:val="single" w:color="000000"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02</w:t>
            </w:r>
          </w:p>
        </w:tc>
        <w:tc>
          <w:tcPr>
            <w:tcW w:w="1067" w:type="pct"/>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960"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232" w:type="pct"/>
            <w:vMerge w:val="continue"/>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val="0"/>
                <w:bCs w:val="0"/>
                <w:sz w:val="21"/>
                <w:szCs w:val="21"/>
              </w:rPr>
            </w:pPr>
          </w:p>
        </w:tc>
        <w:tc>
          <w:tcPr>
            <w:tcW w:w="477"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17</w:t>
            </w:r>
          </w:p>
        </w:tc>
        <w:tc>
          <w:tcPr>
            <w:tcW w:w="1092" w:type="pct"/>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c>
          <w:tcPr>
            <w:tcW w:w="728"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r>
      <w:tr>
        <w:tblPrEx>
          <w:tblCellMar>
            <w:top w:w="0" w:type="dxa"/>
            <w:left w:w="108" w:type="dxa"/>
            <w:bottom w:w="0" w:type="dxa"/>
            <w:right w:w="108" w:type="dxa"/>
          </w:tblCellMar>
        </w:tblPrEx>
        <w:trPr>
          <w:cantSplit/>
          <w:trHeight w:val="340" w:hRule="atLeast"/>
          <w:jc w:val="center"/>
        </w:trPr>
        <w:tc>
          <w:tcPr>
            <w:tcW w:w="443" w:type="pct"/>
            <w:tcBorders>
              <w:top w:val="single" w:color="auto" w:sz="4" w:space="0"/>
              <w:left w:val="single" w:color="auto" w:sz="4" w:space="0"/>
              <w:bottom w:val="nil"/>
              <w:right w:val="single" w:color="000000"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03</w:t>
            </w:r>
          </w:p>
        </w:tc>
        <w:tc>
          <w:tcPr>
            <w:tcW w:w="1067" w:type="pct"/>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960"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232" w:type="pct"/>
            <w:vMerge w:val="continue"/>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val="0"/>
                <w:bCs w:val="0"/>
                <w:sz w:val="21"/>
                <w:szCs w:val="21"/>
              </w:rPr>
            </w:pPr>
          </w:p>
        </w:tc>
        <w:tc>
          <w:tcPr>
            <w:tcW w:w="477"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18</w:t>
            </w:r>
          </w:p>
        </w:tc>
        <w:tc>
          <w:tcPr>
            <w:tcW w:w="1092" w:type="pct"/>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c>
          <w:tcPr>
            <w:tcW w:w="728"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r>
      <w:tr>
        <w:tblPrEx>
          <w:tblCellMar>
            <w:top w:w="0" w:type="dxa"/>
            <w:left w:w="108" w:type="dxa"/>
            <w:bottom w:w="0" w:type="dxa"/>
            <w:right w:w="108" w:type="dxa"/>
          </w:tblCellMar>
        </w:tblPrEx>
        <w:trPr>
          <w:cantSplit/>
          <w:trHeight w:val="340" w:hRule="atLeast"/>
          <w:jc w:val="center"/>
        </w:trPr>
        <w:tc>
          <w:tcPr>
            <w:tcW w:w="44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04</w:t>
            </w:r>
          </w:p>
        </w:tc>
        <w:tc>
          <w:tcPr>
            <w:tcW w:w="1067" w:type="pct"/>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960"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232" w:type="pct"/>
            <w:vMerge w:val="continue"/>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val="0"/>
                <w:bCs w:val="0"/>
                <w:sz w:val="21"/>
                <w:szCs w:val="21"/>
              </w:rPr>
            </w:pPr>
          </w:p>
        </w:tc>
        <w:tc>
          <w:tcPr>
            <w:tcW w:w="477"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19</w:t>
            </w:r>
          </w:p>
        </w:tc>
        <w:tc>
          <w:tcPr>
            <w:tcW w:w="1092" w:type="pct"/>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c>
          <w:tcPr>
            <w:tcW w:w="728"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r>
      <w:tr>
        <w:tblPrEx>
          <w:tblCellMar>
            <w:top w:w="0" w:type="dxa"/>
            <w:left w:w="108" w:type="dxa"/>
            <w:bottom w:w="0" w:type="dxa"/>
            <w:right w:w="108" w:type="dxa"/>
          </w:tblCellMar>
        </w:tblPrEx>
        <w:trPr>
          <w:cantSplit/>
          <w:trHeight w:val="340" w:hRule="atLeast"/>
          <w:jc w:val="center"/>
        </w:trPr>
        <w:tc>
          <w:tcPr>
            <w:tcW w:w="44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05</w:t>
            </w:r>
          </w:p>
        </w:tc>
        <w:tc>
          <w:tcPr>
            <w:tcW w:w="1067" w:type="pct"/>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960"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232" w:type="pct"/>
            <w:vMerge w:val="continue"/>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val="0"/>
                <w:bCs w:val="0"/>
                <w:sz w:val="21"/>
                <w:szCs w:val="21"/>
              </w:rPr>
            </w:pPr>
          </w:p>
        </w:tc>
        <w:tc>
          <w:tcPr>
            <w:tcW w:w="477"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20</w:t>
            </w:r>
          </w:p>
        </w:tc>
        <w:tc>
          <w:tcPr>
            <w:tcW w:w="1092" w:type="pct"/>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c>
          <w:tcPr>
            <w:tcW w:w="728"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r>
      <w:tr>
        <w:tblPrEx>
          <w:tblCellMar>
            <w:top w:w="0" w:type="dxa"/>
            <w:left w:w="108" w:type="dxa"/>
            <w:bottom w:w="0" w:type="dxa"/>
            <w:right w:w="108" w:type="dxa"/>
          </w:tblCellMar>
        </w:tblPrEx>
        <w:trPr>
          <w:cantSplit/>
          <w:trHeight w:val="340" w:hRule="atLeast"/>
          <w:jc w:val="center"/>
        </w:trPr>
        <w:tc>
          <w:tcPr>
            <w:tcW w:w="44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06</w:t>
            </w:r>
          </w:p>
        </w:tc>
        <w:tc>
          <w:tcPr>
            <w:tcW w:w="1067" w:type="pct"/>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960"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232" w:type="pct"/>
            <w:vMerge w:val="continue"/>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val="0"/>
                <w:bCs w:val="0"/>
                <w:sz w:val="21"/>
                <w:szCs w:val="21"/>
              </w:rPr>
            </w:pPr>
          </w:p>
        </w:tc>
        <w:tc>
          <w:tcPr>
            <w:tcW w:w="477"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21</w:t>
            </w:r>
          </w:p>
        </w:tc>
        <w:tc>
          <w:tcPr>
            <w:tcW w:w="1092" w:type="pct"/>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c>
          <w:tcPr>
            <w:tcW w:w="728"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r>
      <w:tr>
        <w:tblPrEx>
          <w:tblCellMar>
            <w:top w:w="0" w:type="dxa"/>
            <w:left w:w="108" w:type="dxa"/>
            <w:bottom w:w="0" w:type="dxa"/>
            <w:right w:w="108" w:type="dxa"/>
          </w:tblCellMar>
        </w:tblPrEx>
        <w:trPr>
          <w:cantSplit/>
          <w:trHeight w:val="340" w:hRule="atLeast"/>
          <w:jc w:val="center"/>
        </w:trPr>
        <w:tc>
          <w:tcPr>
            <w:tcW w:w="44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07</w:t>
            </w:r>
          </w:p>
        </w:tc>
        <w:tc>
          <w:tcPr>
            <w:tcW w:w="1067" w:type="pct"/>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960"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232" w:type="pct"/>
            <w:vMerge w:val="continue"/>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val="0"/>
                <w:bCs w:val="0"/>
                <w:sz w:val="21"/>
                <w:szCs w:val="21"/>
              </w:rPr>
            </w:pPr>
          </w:p>
        </w:tc>
        <w:tc>
          <w:tcPr>
            <w:tcW w:w="477"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22</w:t>
            </w:r>
          </w:p>
        </w:tc>
        <w:tc>
          <w:tcPr>
            <w:tcW w:w="1092" w:type="pct"/>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c>
          <w:tcPr>
            <w:tcW w:w="728"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r>
      <w:tr>
        <w:tblPrEx>
          <w:tblCellMar>
            <w:top w:w="0" w:type="dxa"/>
            <w:left w:w="108" w:type="dxa"/>
            <w:bottom w:w="0" w:type="dxa"/>
            <w:right w:w="108" w:type="dxa"/>
          </w:tblCellMar>
        </w:tblPrEx>
        <w:trPr>
          <w:cantSplit/>
          <w:trHeight w:val="340" w:hRule="atLeast"/>
          <w:jc w:val="center"/>
        </w:trPr>
        <w:tc>
          <w:tcPr>
            <w:tcW w:w="44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08</w:t>
            </w:r>
          </w:p>
        </w:tc>
        <w:tc>
          <w:tcPr>
            <w:tcW w:w="1067" w:type="pct"/>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960"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232" w:type="pct"/>
            <w:vMerge w:val="continue"/>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val="0"/>
                <w:bCs w:val="0"/>
                <w:sz w:val="21"/>
                <w:szCs w:val="21"/>
              </w:rPr>
            </w:pPr>
          </w:p>
        </w:tc>
        <w:tc>
          <w:tcPr>
            <w:tcW w:w="477"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23</w:t>
            </w:r>
          </w:p>
        </w:tc>
        <w:tc>
          <w:tcPr>
            <w:tcW w:w="1092" w:type="pct"/>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c>
          <w:tcPr>
            <w:tcW w:w="728"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r>
      <w:tr>
        <w:tblPrEx>
          <w:tblCellMar>
            <w:top w:w="0" w:type="dxa"/>
            <w:left w:w="108" w:type="dxa"/>
            <w:bottom w:w="0" w:type="dxa"/>
            <w:right w:w="108" w:type="dxa"/>
          </w:tblCellMar>
        </w:tblPrEx>
        <w:trPr>
          <w:cantSplit/>
          <w:trHeight w:val="340" w:hRule="atLeast"/>
          <w:jc w:val="center"/>
        </w:trPr>
        <w:tc>
          <w:tcPr>
            <w:tcW w:w="44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09</w:t>
            </w:r>
          </w:p>
        </w:tc>
        <w:tc>
          <w:tcPr>
            <w:tcW w:w="1067" w:type="pct"/>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960"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232" w:type="pct"/>
            <w:vMerge w:val="continue"/>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val="0"/>
                <w:bCs w:val="0"/>
                <w:sz w:val="21"/>
                <w:szCs w:val="21"/>
              </w:rPr>
            </w:pPr>
          </w:p>
        </w:tc>
        <w:tc>
          <w:tcPr>
            <w:tcW w:w="477"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24</w:t>
            </w:r>
          </w:p>
        </w:tc>
        <w:tc>
          <w:tcPr>
            <w:tcW w:w="1092" w:type="pct"/>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c>
          <w:tcPr>
            <w:tcW w:w="728"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r>
      <w:tr>
        <w:tblPrEx>
          <w:tblCellMar>
            <w:top w:w="0" w:type="dxa"/>
            <w:left w:w="108" w:type="dxa"/>
            <w:bottom w:w="0" w:type="dxa"/>
            <w:right w:w="108" w:type="dxa"/>
          </w:tblCellMar>
        </w:tblPrEx>
        <w:trPr>
          <w:cantSplit/>
          <w:trHeight w:val="340" w:hRule="atLeast"/>
          <w:jc w:val="center"/>
        </w:trPr>
        <w:tc>
          <w:tcPr>
            <w:tcW w:w="44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10</w:t>
            </w:r>
          </w:p>
        </w:tc>
        <w:tc>
          <w:tcPr>
            <w:tcW w:w="1067" w:type="pct"/>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960"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232" w:type="pct"/>
            <w:vMerge w:val="continue"/>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val="0"/>
                <w:bCs w:val="0"/>
                <w:sz w:val="21"/>
                <w:szCs w:val="21"/>
              </w:rPr>
            </w:pPr>
          </w:p>
        </w:tc>
        <w:tc>
          <w:tcPr>
            <w:tcW w:w="477"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25</w:t>
            </w:r>
          </w:p>
        </w:tc>
        <w:tc>
          <w:tcPr>
            <w:tcW w:w="1092" w:type="pct"/>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c>
          <w:tcPr>
            <w:tcW w:w="728"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r>
      <w:tr>
        <w:tblPrEx>
          <w:tblCellMar>
            <w:top w:w="0" w:type="dxa"/>
            <w:left w:w="108" w:type="dxa"/>
            <w:bottom w:w="0" w:type="dxa"/>
            <w:right w:w="108" w:type="dxa"/>
          </w:tblCellMar>
        </w:tblPrEx>
        <w:trPr>
          <w:cantSplit/>
          <w:trHeight w:val="340" w:hRule="atLeast"/>
          <w:jc w:val="center"/>
        </w:trPr>
        <w:tc>
          <w:tcPr>
            <w:tcW w:w="44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11</w:t>
            </w:r>
          </w:p>
        </w:tc>
        <w:tc>
          <w:tcPr>
            <w:tcW w:w="1067" w:type="pct"/>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960"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232" w:type="pct"/>
            <w:vMerge w:val="continue"/>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val="0"/>
                <w:bCs w:val="0"/>
                <w:sz w:val="21"/>
                <w:szCs w:val="21"/>
              </w:rPr>
            </w:pPr>
          </w:p>
        </w:tc>
        <w:tc>
          <w:tcPr>
            <w:tcW w:w="477"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26</w:t>
            </w:r>
          </w:p>
        </w:tc>
        <w:tc>
          <w:tcPr>
            <w:tcW w:w="1092" w:type="pct"/>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c>
          <w:tcPr>
            <w:tcW w:w="728"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r>
      <w:tr>
        <w:tblPrEx>
          <w:tblCellMar>
            <w:top w:w="0" w:type="dxa"/>
            <w:left w:w="108" w:type="dxa"/>
            <w:bottom w:w="0" w:type="dxa"/>
            <w:right w:w="108" w:type="dxa"/>
          </w:tblCellMar>
        </w:tblPrEx>
        <w:trPr>
          <w:cantSplit/>
          <w:trHeight w:val="340" w:hRule="atLeast"/>
          <w:jc w:val="center"/>
        </w:trPr>
        <w:tc>
          <w:tcPr>
            <w:tcW w:w="44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12</w:t>
            </w:r>
          </w:p>
        </w:tc>
        <w:tc>
          <w:tcPr>
            <w:tcW w:w="1067" w:type="pct"/>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960"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232" w:type="pct"/>
            <w:vMerge w:val="continue"/>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val="0"/>
                <w:bCs w:val="0"/>
                <w:sz w:val="21"/>
                <w:szCs w:val="21"/>
              </w:rPr>
            </w:pPr>
          </w:p>
        </w:tc>
        <w:tc>
          <w:tcPr>
            <w:tcW w:w="477"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27</w:t>
            </w:r>
          </w:p>
        </w:tc>
        <w:tc>
          <w:tcPr>
            <w:tcW w:w="1092" w:type="pct"/>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c>
          <w:tcPr>
            <w:tcW w:w="728"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r>
      <w:tr>
        <w:tblPrEx>
          <w:tblCellMar>
            <w:top w:w="0" w:type="dxa"/>
            <w:left w:w="108" w:type="dxa"/>
            <w:bottom w:w="0" w:type="dxa"/>
            <w:right w:w="108" w:type="dxa"/>
          </w:tblCellMar>
        </w:tblPrEx>
        <w:trPr>
          <w:cantSplit/>
          <w:trHeight w:val="340" w:hRule="atLeast"/>
          <w:jc w:val="center"/>
        </w:trPr>
        <w:tc>
          <w:tcPr>
            <w:tcW w:w="44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13</w:t>
            </w:r>
          </w:p>
        </w:tc>
        <w:tc>
          <w:tcPr>
            <w:tcW w:w="1067" w:type="pct"/>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960"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232" w:type="pct"/>
            <w:vMerge w:val="continue"/>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val="0"/>
                <w:bCs w:val="0"/>
                <w:sz w:val="21"/>
                <w:szCs w:val="21"/>
              </w:rPr>
            </w:pPr>
          </w:p>
        </w:tc>
        <w:tc>
          <w:tcPr>
            <w:tcW w:w="477"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28</w:t>
            </w:r>
          </w:p>
        </w:tc>
        <w:tc>
          <w:tcPr>
            <w:tcW w:w="1092" w:type="pct"/>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c>
          <w:tcPr>
            <w:tcW w:w="728"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r>
      <w:tr>
        <w:tblPrEx>
          <w:tblCellMar>
            <w:top w:w="0" w:type="dxa"/>
            <w:left w:w="108" w:type="dxa"/>
            <w:bottom w:w="0" w:type="dxa"/>
            <w:right w:w="108" w:type="dxa"/>
          </w:tblCellMar>
        </w:tblPrEx>
        <w:trPr>
          <w:cantSplit/>
          <w:trHeight w:val="340" w:hRule="atLeast"/>
          <w:jc w:val="center"/>
        </w:trPr>
        <w:tc>
          <w:tcPr>
            <w:tcW w:w="44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14</w:t>
            </w:r>
          </w:p>
        </w:tc>
        <w:tc>
          <w:tcPr>
            <w:tcW w:w="1067" w:type="pct"/>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960"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232" w:type="pct"/>
            <w:vMerge w:val="continue"/>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val="0"/>
                <w:bCs w:val="0"/>
                <w:sz w:val="21"/>
                <w:szCs w:val="21"/>
              </w:rPr>
            </w:pPr>
          </w:p>
        </w:tc>
        <w:tc>
          <w:tcPr>
            <w:tcW w:w="477"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29</w:t>
            </w:r>
          </w:p>
        </w:tc>
        <w:tc>
          <w:tcPr>
            <w:tcW w:w="1092" w:type="pct"/>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c>
          <w:tcPr>
            <w:tcW w:w="728"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r>
      <w:tr>
        <w:tblPrEx>
          <w:tblCellMar>
            <w:top w:w="0" w:type="dxa"/>
            <w:left w:w="108" w:type="dxa"/>
            <w:bottom w:w="0" w:type="dxa"/>
            <w:right w:w="108" w:type="dxa"/>
          </w:tblCellMar>
        </w:tblPrEx>
        <w:trPr>
          <w:cantSplit/>
          <w:trHeight w:val="340" w:hRule="atLeast"/>
          <w:jc w:val="center"/>
        </w:trPr>
        <w:tc>
          <w:tcPr>
            <w:tcW w:w="44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15</w:t>
            </w:r>
          </w:p>
        </w:tc>
        <w:tc>
          <w:tcPr>
            <w:tcW w:w="1067" w:type="pct"/>
            <w:tcBorders>
              <w:top w:val="nil"/>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960"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p>
        </w:tc>
        <w:tc>
          <w:tcPr>
            <w:tcW w:w="232" w:type="pct"/>
            <w:vMerge w:val="continue"/>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val="0"/>
                <w:bCs w:val="0"/>
                <w:sz w:val="21"/>
                <w:szCs w:val="21"/>
              </w:rPr>
            </w:pPr>
          </w:p>
        </w:tc>
        <w:tc>
          <w:tcPr>
            <w:tcW w:w="477"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30</w:t>
            </w:r>
          </w:p>
        </w:tc>
        <w:tc>
          <w:tcPr>
            <w:tcW w:w="1092" w:type="pct"/>
            <w:tcBorders>
              <w:top w:val="nil"/>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c>
          <w:tcPr>
            <w:tcW w:w="728" w:type="pct"/>
            <w:tcBorders>
              <w:top w:val="nil"/>
              <w:left w:val="nil"/>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0" w:afterAutospacing="0" w:line="240" w:lineRule="exact"/>
              <w:ind w:left="0" w:right="0"/>
              <w:jc w:val="both"/>
              <w:rPr>
                <w:rFonts w:hint="default" w:ascii="Times New Roman" w:hAnsi="Times New Roman" w:cs="Times New Roman"/>
                <w:b w:val="0"/>
                <w:bCs w:val="0"/>
                <w:kern w:val="0"/>
                <w:sz w:val="21"/>
                <w:szCs w:val="21"/>
              </w:rPr>
            </w:pPr>
          </w:p>
        </w:tc>
      </w:tr>
      <w:tr>
        <w:tblPrEx>
          <w:tblCellMar>
            <w:top w:w="0" w:type="dxa"/>
            <w:left w:w="108" w:type="dxa"/>
            <w:bottom w:w="0" w:type="dxa"/>
            <w:right w:w="108" w:type="dxa"/>
          </w:tblCellMar>
        </w:tblPrEx>
        <w:trPr>
          <w:cantSplit/>
          <w:trHeight w:val="919" w:hRule="atLeast"/>
          <w:jc w:val="center"/>
        </w:trPr>
        <w:tc>
          <w:tcPr>
            <w:tcW w:w="5000" w:type="pct"/>
            <w:gridSpan w:val="7"/>
            <w:tcBorders>
              <w:top w:val="single" w:color="auto" w:sz="4" w:space="0"/>
              <w:left w:val="nil"/>
              <w:bottom w:val="nil"/>
              <w:right w:val="nil"/>
            </w:tcBorders>
            <w:noWrap/>
          </w:tcPr>
          <w:p>
            <w:pPr>
              <w:keepNext w:val="0"/>
              <w:keepLines w:val="0"/>
              <w:widowControl/>
              <w:suppressLineNumbers w:val="0"/>
              <w:adjustRightInd w:val="0"/>
              <w:snapToGrid w:val="0"/>
              <w:spacing w:before="0" w:beforeAutospacing="0" w:after="0" w:afterAutospacing="0" w:line="280" w:lineRule="exact"/>
              <w:ind w:left="0" w:right="0"/>
              <w:jc w:val="both"/>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注：“健康申明”中1-4项为“是”的，考生须向济宁市</w:t>
            </w:r>
            <w:r>
              <w:rPr>
                <w:rFonts w:hint="eastAsia" w:ascii="Times New Roman" w:hAnsi="Times New Roman" w:cs="Times New Roman"/>
                <w:b w:val="0"/>
                <w:bCs w:val="0"/>
                <w:kern w:val="0"/>
                <w:sz w:val="21"/>
                <w:szCs w:val="21"/>
                <w:lang w:eastAsia="zh-CN"/>
              </w:rPr>
              <w:t>兖州区</w:t>
            </w:r>
            <w:r>
              <w:rPr>
                <w:rFonts w:hint="default" w:ascii="Times New Roman" w:hAnsi="Times New Roman" w:cs="Times New Roman"/>
                <w:b w:val="0"/>
                <w:bCs w:val="0"/>
                <w:kern w:val="0"/>
                <w:sz w:val="21"/>
                <w:szCs w:val="21"/>
              </w:rPr>
              <w:t>人事考试中心申报，并携带规定的健康证明，在隔离考场考试；“健康申明”中第5项为“是”的，考生须向济宁市</w:t>
            </w:r>
            <w:r>
              <w:rPr>
                <w:rFonts w:hint="eastAsia" w:ascii="Times New Roman" w:hAnsi="Times New Roman" w:cs="Times New Roman"/>
                <w:b w:val="0"/>
                <w:bCs w:val="0"/>
                <w:kern w:val="0"/>
                <w:sz w:val="21"/>
                <w:szCs w:val="21"/>
                <w:lang w:eastAsia="zh-CN"/>
              </w:rPr>
              <w:t>兖州区</w:t>
            </w:r>
            <w:r>
              <w:rPr>
                <w:rFonts w:hint="default" w:ascii="Times New Roman" w:hAnsi="Times New Roman" w:cs="Times New Roman"/>
                <w:b w:val="0"/>
                <w:bCs w:val="0"/>
                <w:kern w:val="0"/>
                <w:sz w:val="21"/>
                <w:szCs w:val="21"/>
              </w:rPr>
              <w:t>人事考试中心申报，并携带规定的健康证明，在相对独立的考场考试；“健康申明”中6-9项为“是”的，不得参加考试。</w:t>
            </w:r>
          </w:p>
        </w:tc>
      </w:tr>
    </w:tbl>
    <w:p>
      <w:pPr>
        <w:spacing w:line="560" w:lineRule="exact"/>
        <w:rPr>
          <w:rFonts w:ascii="Times New Roman" w:hAnsi="Times New Roman" w:eastAsia="方正仿宋简体" w:cs="Times New Roman"/>
          <w:b/>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TJkMzRjMGFhYTkzNTg5NTI2MjFjM2VhMTI2YzRlM2MifQ=="/>
  </w:docVars>
  <w:rsids>
    <w:rsidRoot w:val="00D90F25"/>
    <w:rsid w:val="0000585A"/>
    <w:rsid w:val="001208FA"/>
    <w:rsid w:val="001460A3"/>
    <w:rsid w:val="001743A0"/>
    <w:rsid w:val="001F7AA4"/>
    <w:rsid w:val="00224C1C"/>
    <w:rsid w:val="00233F4A"/>
    <w:rsid w:val="00295E91"/>
    <w:rsid w:val="002E7C92"/>
    <w:rsid w:val="003D79C0"/>
    <w:rsid w:val="003E48B4"/>
    <w:rsid w:val="004C4055"/>
    <w:rsid w:val="004E4F25"/>
    <w:rsid w:val="00544C38"/>
    <w:rsid w:val="005B2E74"/>
    <w:rsid w:val="0066351B"/>
    <w:rsid w:val="006F339F"/>
    <w:rsid w:val="00736FE1"/>
    <w:rsid w:val="007D234F"/>
    <w:rsid w:val="00A3320A"/>
    <w:rsid w:val="00C57367"/>
    <w:rsid w:val="00D90F25"/>
    <w:rsid w:val="00DA620B"/>
    <w:rsid w:val="00DE01F1"/>
    <w:rsid w:val="00DE2C76"/>
    <w:rsid w:val="00EE0F56"/>
    <w:rsid w:val="00F45153"/>
    <w:rsid w:val="00F617C7"/>
    <w:rsid w:val="00FF5F23"/>
    <w:rsid w:val="02D523F9"/>
    <w:rsid w:val="0617312A"/>
    <w:rsid w:val="06E90C58"/>
    <w:rsid w:val="0C46236D"/>
    <w:rsid w:val="0CEE1ED1"/>
    <w:rsid w:val="28CC3A83"/>
    <w:rsid w:val="30DA396A"/>
    <w:rsid w:val="33B45D0C"/>
    <w:rsid w:val="34652D42"/>
    <w:rsid w:val="34820207"/>
    <w:rsid w:val="35215FB6"/>
    <w:rsid w:val="373A7AF6"/>
    <w:rsid w:val="37510DCC"/>
    <w:rsid w:val="42BE6BA7"/>
    <w:rsid w:val="43254D0C"/>
    <w:rsid w:val="44557A02"/>
    <w:rsid w:val="48266E21"/>
    <w:rsid w:val="4C7D48E6"/>
    <w:rsid w:val="583F58F4"/>
    <w:rsid w:val="60B30CD1"/>
    <w:rsid w:val="61ED1868"/>
    <w:rsid w:val="636F5D76"/>
    <w:rsid w:val="64633457"/>
    <w:rsid w:val="74E767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next w:val="4"/>
    <w:link w:val="14"/>
    <w:unhideWhenUsed/>
    <w:qFormat/>
    <w:uiPriority w:val="99"/>
    <w:pPr>
      <w:spacing w:after="120"/>
      <w:ind w:firstLine="420" w:firstLineChars="200"/>
    </w:pPr>
    <w:rPr>
      <w:rFonts w:ascii="Times New Roman" w:hAnsi="Times New Roman" w:eastAsia="宋体" w:cs="Times New Roman"/>
      <w:sz w:val="32"/>
      <w:szCs w:val="32"/>
    </w:rPr>
  </w:style>
  <w:style w:type="paragraph" w:styleId="3">
    <w:name w:val="Body Text Indent"/>
    <w:basedOn w:val="1"/>
    <w:link w:val="13"/>
    <w:unhideWhenUsed/>
    <w:qFormat/>
    <w:uiPriority w:val="99"/>
    <w:pPr>
      <w:ind w:left="420" w:leftChars="200"/>
    </w:pPr>
  </w:style>
  <w:style w:type="paragraph" w:customStyle="1" w:styleId="4">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paragraph" w:styleId="5">
    <w:name w:val="Balloon Text"/>
    <w:basedOn w:val="1"/>
    <w:link w:val="12"/>
    <w:qFormat/>
    <w:uiPriority w:val="0"/>
    <w:rPr>
      <w:sz w:val="18"/>
      <w:szCs w:val="18"/>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kern w:val="2"/>
      <w:sz w:val="18"/>
      <w:szCs w:val="18"/>
    </w:rPr>
  </w:style>
  <w:style w:type="character" w:customStyle="1" w:styleId="11">
    <w:name w:val="页脚 Char"/>
    <w:basedOn w:val="9"/>
    <w:link w:val="6"/>
    <w:qFormat/>
    <w:uiPriority w:val="0"/>
    <w:rPr>
      <w:kern w:val="2"/>
      <w:sz w:val="18"/>
      <w:szCs w:val="18"/>
    </w:rPr>
  </w:style>
  <w:style w:type="character" w:customStyle="1" w:styleId="12">
    <w:name w:val="批注框文本 Char"/>
    <w:basedOn w:val="9"/>
    <w:link w:val="5"/>
    <w:qFormat/>
    <w:uiPriority w:val="0"/>
    <w:rPr>
      <w:kern w:val="2"/>
      <w:sz w:val="18"/>
      <w:szCs w:val="18"/>
    </w:rPr>
  </w:style>
  <w:style w:type="character" w:customStyle="1" w:styleId="13">
    <w:name w:val="正文文本缩进 Char"/>
    <w:basedOn w:val="9"/>
    <w:link w:val="3"/>
    <w:qFormat/>
    <w:uiPriority w:val="0"/>
    <w:rPr>
      <w:rFonts w:hint="default" w:ascii="Calibri" w:hAnsi="Calibri" w:eastAsia="宋体" w:cs="Times New Roman"/>
      <w:kern w:val="2"/>
      <w:sz w:val="21"/>
      <w:szCs w:val="24"/>
    </w:rPr>
  </w:style>
  <w:style w:type="character" w:customStyle="1" w:styleId="14">
    <w:name w:val="正文首行缩进 2 Char"/>
    <w:basedOn w:val="13"/>
    <w:link w:val="2"/>
    <w:qFormat/>
    <w:uiPriority w:val="0"/>
    <w:rPr>
      <w:rFonts w:hint="default"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2489</Words>
  <Characters>2619</Characters>
  <Lines>20</Lines>
  <Paragraphs>5</Paragraphs>
  <TotalTime>138</TotalTime>
  <ScaleCrop>false</ScaleCrop>
  <LinksUpToDate>false</LinksUpToDate>
  <CharactersWithSpaces>2620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2022-05-31T08:30:00Z</dcterms:created>
  <dc:creator>Administrator</dc:creator>
  <cp:lastModifiedBy>冷血</cp:lastModifiedBy>
  <cp:lastPrinted>2022-06-23T03:59:00Z</cp:lastPrinted>
  <dcterms:modified xsi:type="dcterms:W3CDTF">2022-06-27T01:52:53Z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6342B1B23EE141A9A22AAC5C79878C93</vt:lpwstr>
  </property>
</Properties>
</file>