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eastAsia="方正小标宋简体"/>
          <w:b/>
          <w:color w:val="000000"/>
          <w:sz w:val="44"/>
          <w:szCs w:val="44"/>
          <w:lang w:val="en-US" w:eastAsia="zh-CN"/>
        </w:rPr>
      </w:pPr>
      <w:r>
        <w:rPr>
          <w:rFonts w:hint="eastAsia" w:eastAsia="方正小标宋简体"/>
          <w:b/>
          <w:color w:val="000000"/>
          <w:sz w:val="44"/>
          <w:szCs w:val="44"/>
        </w:rPr>
        <w:t>济宁市兖州区</w:t>
      </w:r>
      <w:r>
        <w:rPr>
          <w:rFonts w:hint="eastAsia" w:eastAsia="方正小标宋简体"/>
          <w:b/>
          <w:color w:val="000000"/>
          <w:sz w:val="44"/>
          <w:szCs w:val="44"/>
          <w:highlight w:val="none"/>
          <w:lang w:val="en-US" w:eastAsia="zh-CN"/>
        </w:rPr>
        <w:t>教育和体育局</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lang w:val="en-US" w:eastAsia="zh-CN"/>
        </w:rPr>
        <w:t>4</w:t>
      </w:r>
      <w:r>
        <w:rPr>
          <w:rFonts w:eastAsia="方正小标宋简体"/>
          <w:b/>
          <w:color w:val="000000"/>
          <w:sz w:val="44"/>
          <w:szCs w:val="44"/>
        </w:rPr>
        <w:t>年政府信息公开工作年度报告</w:t>
      </w:r>
    </w:p>
    <w:p>
      <w:pPr>
        <w:spacing w:line="590" w:lineRule="exact"/>
        <w:ind w:right="-105" w:rightChars="-50" w:firstLine="643" w:firstLineChars="200"/>
        <w:rPr>
          <w:rFonts w:eastAsia="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本报告由济宁市兖州区</w:t>
      </w:r>
      <w:r>
        <w:rPr>
          <w:rFonts w:hint="eastAsia" w:eastAsia="方正仿宋简体"/>
          <w:b/>
          <w:color w:val="000000"/>
          <w:sz w:val="32"/>
          <w:szCs w:val="32"/>
          <w:lang w:val="en-US" w:eastAsia="zh-CN"/>
        </w:rPr>
        <w:t>教育和体育局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4</w:t>
      </w:r>
      <w:r>
        <w:rPr>
          <w:rFonts w:eastAsia="方正仿宋简体"/>
          <w:b/>
          <w:color w:val="000000"/>
          <w:sz w:val="32"/>
          <w:szCs w:val="32"/>
        </w:rPr>
        <w:t>年1月1日起至202</w:t>
      </w:r>
      <w:r>
        <w:rPr>
          <w:rFonts w:hint="eastAsia" w:eastAsia="方正仿宋简体"/>
          <w:b/>
          <w:color w:val="000000"/>
          <w:sz w:val="32"/>
          <w:szCs w:val="32"/>
          <w:lang w:val="en-US" w:eastAsia="zh-CN"/>
        </w:rPr>
        <w:t>4</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”政府门户网站（www.yanzhou.gov.cn）查阅或下载。如对本报告有疑问，请与济宁市兖州区</w:t>
      </w:r>
      <w:r>
        <w:rPr>
          <w:rFonts w:hint="eastAsia" w:eastAsia="方正仿宋简体"/>
          <w:b/>
          <w:color w:val="000000"/>
          <w:sz w:val="32"/>
          <w:szCs w:val="32"/>
          <w:lang w:val="en-US" w:eastAsia="zh-CN"/>
        </w:rPr>
        <w:t>教育和体育局</w:t>
      </w:r>
      <w:r>
        <w:rPr>
          <w:rFonts w:eastAsia="方正仿宋简体"/>
          <w:b/>
          <w:color w:val="000000"/>
          <w:sz w:val="32"/>
          <w:szCs w:val="32"/>
        </w:rPr>
        <w:t>联系（地址：济宁市兖州区</w:t>
      </w:r>
      <w:r>
        <w:rPr>
          <w:rFonts w:hint="eastAsia" w:eastAsia="方正仿宋简体"/>
          <w:b/>
          <w:color w:val="000000"/>
          <w:sz w:val="32"/>
          <w:szCs w:val="32"/>
          <w:lang w:val="en-US" w:eastAsia="zh-CN"/>
        </w:rPr>
        <w:t>九州中路96号</w:t>
      </w:r>
      <w:r>
        <w:rPr>
          <w:rFonts w:eastAsia="方正仿宋简体"/>
          <w:b/>
          <w:color w:val="000000"/>
          <w:sz w:val="32"/>
          <w:szCs w:val="32"/>
        </w:rPr>
        <w:t>，联系电话：0537</w:t>
      </w:r>
      <w:r>
        <w:rPr>
          <w:rFonts w:hint="eastAsia" w:eastAsia="方正仿宋简体"/>
          <w:b/>
          <w:color w:val="000000"/>
          <w:sz w:val="32"/>
          <w:szCs w:val="32"/>
        </w:rPr>
        <w:t>—</w:t>
      </w:r>
      <w:r>
        <w:rPr>
          <w:rFonts w:hint="eastAsia" w:eastAsia="方正仿宋简体"/>
          <w:b/>
          <w:color w:val="000000"/>
          <w:sz w:val="32"/>
          <w:szCs w:val="32"/>
          <w:lang w:val="en-US" w:eastAsia="zh-CN"/>
        </w:rPr>
        <w:t>3413653</w:t>
      </w:r>
      <w:r>
        <w:rPr>
          <w:rFonts w:eastAsia="方正仿宋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2024年，济宁市兖州区教育和体育局认真贯彻落实省、市、区政府关于全面推进政务公开工作的系列部署，严格贯彻落实《中华人民共和国政府信息公开条例》，按照“公开为原则，不公开为例外”的政府信息公开原则，从严从实做好主动公开、依申请公开</w:t>
      </w:r>
      <w:bookmarkStart w:id="1" w:name="_GoBack"/>
      <w:bookmarkEnd w:id="1"/>
      <w:r>
        <w:rPr>
          <w:rFonts w:hint="eastAsia" w:eastAsia="方正仿宋简体"/>
          <w:b/>
          <w:color w:val="000000"/>
          <w:sz w:val="32"/>
          <w:szCs w:val="32"/>
          <w:lang w:val="en-US" w:eastAsia="zh-CN"/>
        </w:rPr>
        <w:t>、政府信息管理、平台建设、监督保障等工作。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lang w:val="en-US" w:eastAsia="zh-CN"/>
        </w:rPr>
      </w:pPr>
      <w:r>
        <w:rPr>
          <w:rFonts w:eastAsia="方正楷体简体"/>
          <w:b/>
          <w:color w:val="000000"/>
          <w:sz w:val="32"/>
          <w:szCs w:val="32"/>
        </w:rPr>
        <w:t>（一）</w:t>
      </w:r>
      <w:r>
        <w:rPr>
          <w:rFonts w:hint="eastAsia" w:eastAsia="方正楷体简体"/>
          <w:b/>
          <w:color w:val="000000"/>
          <w:sz w:val="32"/>
          <w:szCs w:val="32"/>
          <w:lang w:val="en-US" w:eastAsia="zh-CN"/>
        </w:rPr>
        <w:t>主动</w:t>
      </w:r>
      <w:r>
        <w:rPr>
          <w:rFonts w:eastAsia="方正楷体简体"/>
          <w:b/>
          <w:color w:val="000000"/>
          <w:sz w:val="32"/>
          <w:szCs w:val="32"/>
        </w:rPr>
        <w:t>公开</w:t>
      </w:r>
      <w:r>
        <w:rPr>
          <w:rFonts w:hint="eastAsia" w:eastAsia="方正楷体简体"/>
          <w:b/>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rPr>
        <w:t>202</w:t>
      </w:r>
      <w:r>
        <w:rPr>
          <w:rFonts w:hint="eastAsia" w:eastAsia="方正仿宋简体"/>
          <w:b/>
          <w:color w:val="000000"/>
          <w:sz w:val="32"/>
          <w:szCs w:val="32"/>
          <w:lang w:val="en-US" w:eastAsia="zh-CN"/>
        </w:rPr>
        <w:t>4</w:t>
      </w:r>
      <w:r>
        <w:rPr>
          <w:rFonts w:hint="eastAsia" w:eastAsia="方正仿宋简体"/>
          <w:b/>
          <w:color w:val="000000"/>
          <w:sz w:val="32"/>
          <w:szCs w:val="32"/>
        </w:rPr>
        <w:t>年度，通过兖州区政府门户网站主动公开信息</w:t>
      </w:r>
      <w:r>
        <w:rPr>
          <w:rFonts w:hint="eastAsia" w:eastAsia="方正仿宋简体"/>
          <w:b/>
          <w:color w:val="000000"/>
          <w:sz w:val="32"/>
          <w:szCs w:val="32"/>
          <w:lang w:val="en-US" w:eastAsia="zh-CN"/>
        </w:rPr>
        <w:t>419</w:t>
      </w:r>
      <w:r>
        <w:rPr>
          <w:rFonts w:hint="eastAsia" w:eastAsia="方正仿宋简体"/>
          <w:b/>
          <w:color w:val="000000"/>
          <w:sz w:val="32"/>
          <w:szCs w:val="32"/>
        </w:rPr>
        <w:t>条</w:t>
      </w:r>
      <w:r>
        <w:rPr>
          <w:rFonts w:hint="eastAsia" w:eastAsia="方正仿宋简体"/>
          <w:b/>
          <w:color w:val="000000"/>
          <w:sz w:val="32"/>
          <w:szCs w:val="32"/>
          <w:lang w:eastAsia="zh-CN"/>
        </w:rPr>
        <w:t>。</w:t>
      </w:r>
      <w:r>
        <w:rPr>
          <w:rFonts w:hint="eastAsia" w:eastAsia="方正仿宋简体"/>
          <w:b/>
          <w:color w:val="000000"/>
          <w:sz w:val="32"/>
          <w:szCs w:val="32"/>
          <w:lang w:val="en-US" w:eastAsia="zh-CN"/>
        </w:rPr>
        <w:t>聚焦义务教育领域，公开公众关注的义务教育类信息57条；围绕重点领域，着力推进执行公开，共公开行政执法类信息25条；严格公开法定公开内容，定期更新部门机构职能信息，按时公布区教育和体育局2023年度部门决算、2024年度部门预算信息，及时主动公开区教育和体育局2023年度政府信息公开工作年报等，做到政府信息应公开、尽公开。“兖州教育”微信公众号全年发布信息1466条，总阅读次数达87.4万次。</w:t>
      </w:r>
      <w:r>
        <w:rPr>
          <w:rFonts w:hint="eastAsia" w:eastAsia="方正仿宋简体"/>
          <w:b/>
          <w:color w:val="000000"/>
          <w:sz w:val="32"/>
          <w:szCs w:val="32"/>
          <w:lang w:eastAsia="zh-CN"/>
        </w:rPr>
        <w:t>《</w:t>
      </w:r>
      <w:r>
        <w:rPr>
          <w:rFonts w:hint="eastAsia" w:eastAsia="方正仿宋简体"/>
          <w:b/>
          <w:color w:val="000000"/>
          <w:sz w:val="32"/>
          <w:szCs w:val="32"/>
          <w:lang w:val="en-US" w:eastAsia="zh-CN"/>
        </w:rPr>
        <w:t>兖州教育新闻</w:t>
      </w:r>
      <w:r>
        <w:rPr>
          <w:rFonts w:hint="eastAsia" w:eastAsia="方正仿宋简体"/>
          <w:b/>
          <w:color w:val="000000"/>
          <w:sz w:val="32"/>
          <w:szCs w:val="32"/>
          <w:lang w:eastAsia="zh-CN"/>
        </w:rPr>
        <w:t>》</w:t>
      </w:r>
      <w:r>
        <w:rPr>
          <w:rFonts w:hint="eastAsia" w:eastAsia="方正仿宋简体"/>
          <w:b/>
          <w:color w:val="000000"/>
          <w:sz w:val="32"/>
          <w:szCs w:val="32"/>
          <w:lang w:val="en-US" w:eastAsia="zh-CN"/>
        </w:rPr>
        <w:t>共发布52期。参加区级新闻发布会议3次。</w:t>
      </w:r>
    </w:p>
    <w:p/>
    <w:p>
      <w:pPr>
        <w:rPr>
          <w:rFonts w:hint="eastAsia"/>
          <w:lang w:val="en-US" w:eastAsia="zh-CN"/>
        </w:rPr>
      </w:pPr>
      <w:r>
        <w:drawing>
          <wp:inline distT="0" distB="0" distL="114300" distR="114300">
            <wp:extent cx="5473700" cy="2790825"/>
            <wp:effectExtent l="4445" t="4445" r="8255" b="5080"/>
            <wp:docPr id="3" name="图表 1"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lang w:eastAsia="zh-CN"/>
        </w:rPr>
      </w:pPr>
      <w:r>
        <w:rPr>
          <w:rFonts w:eastAsia="方正楷体简体"/>
          <w:b/>
          <w:color w:val="000000"/>
          <w:sz w:val="32"/>
          <w:szCs w:val="32"/>
        </w:rPr>
        <w:t>（二）依申请公开</w:t>
      </w:r>
      <w:r>
        <w:rPr>
          <w:rFonts w:hint="eastAsia" w:eastAsia="方正楷体简体"/>
          <w:b/>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畅通网页、信函等多种依申请公开受理渠道。严格办理流程，严把事实关、法律关、程序关，切实做到事前加强沟通，事中规范办理，事后解释和回访以及案卷归档工作。2024年，我局接到政府信息公开申请1件，依法依规按时答复2024年政府信息公开申请1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2024年没有依申请公开收费情况。未发生因依申请公开为由提起的行政复议和行政诉讼。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20" w:firstLineChars="200"/>
        <w:textAlignment w:val="auto"/>
        <w:rPr>
          <w:rFonts w:hint="eastAsia" w:eastAsia="方正仿宋简体"/>
          <w:b/>
          <w:color w:val="000000"/>
          <w:sz w:val="32"/>
          <w:szCs w:val="32"/>
          <w:lang w:val="en-US" w:eastAsia="zh-CN"/>
        </w:rPr>
      </w:pPr>
      <w:r>
        <w:drawing>
          <wp:anchor distT="0" distB="0" distL="114300" distR="114300" simplePos="0" relativeHeight="251659264" behindDoc="1" locked="0" layoutInCell="1" allowOverlap="1">
            <wp:simplePos x="0" y="0"/>
            <wp:positionH relativeFrom="column">
              <wp:posOffset>328295</wp:posOffset>
            </wp:positionH>
            <wp:positionV relativeFrom="paragraph">
              <wp:posOffset>50800</wp:posOffset>
            </wp:positionV>
            <wp:extent cx="5558790" cy="2794635"/>
            <wp:effectExtent l="4445" t="4445" r="18415" b="2032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lang w:val="en-US" w:eastAsia="zh-CN"/>
        </w:rPr>
      </w:pPr>
      <w:r>
        <w:rPr>
          <w:rFonts w:eastAsia="方正楷体简体"/>
          <w:b/>
          <w:color w:val="000000"/>
          <w:sz w:val="32"/>
          <w:szCs w:val="32"/>
        </w:rPr>
        <w:t>（三）</w:t>
      </w:r>
      <w:r>
        <w:rPr>
          <w:rFonts w:hint="eastAsia" w:eastAsia="方正楷体简体"/>
          <w:b/>
          <w:color w:val="000000"/>
          <w:sz w:val="32"/>
          <w:szCs w:val="32"/>
        </w:rPr>
        <w:t>政府信息管理</w:t>
      </w:r>
      <w:r>
        <w:rPr>
          <w:rFonts w:hint="eastAsia" w:eastAsia="方正楷体简体"/>
          <w:b/>
          <w:color w:val="000000"/>
          <w:sz w:val="32"/>
          <w:szCs w:val="32"/>
          <w:lang w:eastAsia="zh-CN"/>
        </w:rPr>
        <w:t>情况</w:t>
      </w:r>
    </w:p>
    <w:p>
      <w:pPr>
        <w:spacing w:line="640" w:lineRule="exact"/>
        <w:jc w:val="left"/>
        <w:outlineLvl w:val="0"/>
        <w:rPr>
          <w:rFonts w:hint="eastAsia" w:eastAsia="方正仿宋简体"/>
          <w:b/>
          <w:color w:val="000000"/>
          <w:sz w:val="32"/>
          <w:szCs w:val="32"/>
          <w:lang w:val="en-US" w:eastAsia="zh-CN"/>
        </w:rPr>
      </w:pPr>
      <w:r>
        <w:rPr>
          <w:rFonts w:hint="eastAsia" w:eastAsia="方正仿宋简体" w:cs="Times New Roman"/>
          <w:b/>
          <w:color w:val="000000"/>
          <w:sz w:val="32"/>
          <w:szCs w:val="32"/>
          <w:lang w:val="en-US" w:eastAsia="zh-CN"/>
        </w:rPr>
        <w:t xml:space="preserve">  </w:t>
      </w:r>
      <w:r>
        <w:rPr>
          <w:rFonts w:hint="eastAsia" w:eastAsia="方正仿宋简体"/>
          <w:b/>
          <w:color w:val="000000"/>
          <w:sz w:val="32"/>
          <w:szCs w:val="32"/>
          <w:lang w:val="en-US" w:eastAsia="zh-CN"/>
        </w:rPr>
        <w:t xml:space="preserve">  出台《济宁市兖州区教育和体育局2024年政务公开工作实施方案》，进一步完善政府信息常态化管理机制，及时动态调整信息。按照“谁发布、谁审核、谁负责”的原则，严格执行“一事一审”制度，对发布的政府信息严格进行审核。网站安全保密工作情况良好，全年无失密泄密事件发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lang w:eastAsia="zh-CN"/>
        </w:rPr>
      </w:pPr>
      <w:r>
        <w:rPr>
          <w:rFonts w:eastAsia="方正楷体简体"/>
          <w:b/>
          <w:color w:val="000000"/>
          <w:sz w:val="32"/>
          <w:szCs w:val="32"/>
        </w:rPr>
        <w:t>（四）政府信息公开平台建设</w:t>
      </w:r>
      <w:r>
        <w:rPr>
          <w:rFonts w:hint="eastAsia" w:eastAsia="方正楷体简体"/>
          <w:b/>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认真做好本部门政府门户网站板块和政务新媒体账号管理维护工作，在门户网站政府信息公开专栏及时更新信息；规范政务新媒体的日常运行，丰富政务公开方式，增强信息公开辐射面，“兖州教育”微信公众号订阅用户数7万余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lang w:eastAsia="zh-CN"/>
        </w:rPr>
      </w:pPr>
      <w:r>
        <w:rPr>
          <w:rFonts w:eastAsia="方正楷体简体"/>
          <w:b/>
          <w:color w:val="000000"/>
          <w:sz w:val="32"/>
          <w:szCs w:val="32"/>
        </w:rPr>
        <w:t>（五）监督保障</w:t>
      </w:r>
      <w:r>
        <w:rPr>
          <w:rFonts w:hint="eastAsia" w:eastAsia="方正楷体简体"/>
          <w:b/>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着眼于建立政务公开长效机制，将政府信息公开工作目标任务分解下达给机关各科室，把政务公开工作纳入年度目标责任制考核范围，为全力做好政府信息公开工作提供制度保障，确保政务公开工作取得实效。加大培训力度，年初制定政务公开专题业务培训计划，并按计划实施，提高了全区教育系统政务公开工作水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二、主动公开政府信息情况</w:t>
      </w:r>
    </w:p>
    <w:tbl>
      <w:tblPr>
        <w:tblStyle w:val="5"/>
        <w:tblW w:w="4999" w:type="pct"/>
        <w:tblInd w:w="0" w:type="dxa"/>
        <w:tblLayout w:type="autofit"/>
        <w:tblCellMar>
          <w:top w:w="0" w:type="dxa"/>
          <w:left w:w="108" w:type="dxa"/>
          <w:bottom w:w="0" w:type="dxa"/>
          <w:right w:w="108" w:type="dxa"/>
        </w:tblCellMar>
      </w:tblPr>
      <w:tblGrid>
        <w:gridCol w:w="2238"/>
        <w:gridCol w:w="2240"/>
        <w:gridCol w:w="2240"/>
        <w:gridCol w:w="2250"/>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4584.81</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方正黑体简体"/>
          <w:b/>
          <w:color w:val="000000"/>
          <w:sz w:val="32"/>
          <w:szCs w:val="32"/>
        </w:rPr>
      </w:pPr>
      <w:r>
        <w:rPr>
          <w:rFonts w:eastAsia="方正黑体简体"/>
          <w:b/>
          <w:color w:val="000000"/>
          <w:sz w:val="32"/>
          <w:szCs w:val="32"/>
        </w:rPr>
        <w:t>三、收到和处理政府信息公开申请情况</w:t>
      </w:r>
    </w:p>
    <w:tbl>
      <w:tblPr>
        <w:tblStyle w:val="5"/>
        <w:tblpPr w:leftFromText="180" w:rightFromText="180" w:vertAnchor="text" w:horzAnchor="page" w:tblpX="1092" w:tblpY="2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pPr>
              <w:widowControl/>
              <w:jc w:val="center"/>
              <w:rPr>
                <w:rFonts w:ascii="Times New Roman" w:hAnsi="Times New Roman" w:eastAsia="楷体_GB2312"/>
                <w:color w:val="000000"/>
                <w:kern w:val="0"/>
                <w:szCs w:val="21"/>
              </w:rPr>
            </w:pPr>
            <w:r>
              <w:rPr>
                <w:rFonts w:hint="eastAsia" w:ascii="Times New Roman" w:hAnsi="Times New Roman" w:eastAsia="楷体_GB2312"/>
                <w:color w:val="000000"/>
                <w:kern w:val="0"/>
                <w:szCs w:val="21"/>
              </w:rPr>
              <w:t>（本列数据的勾稽关系为：第一项加第二项之和，</w:t>
            </w:r>
          </w:p>
          <w:p>
            <w:pPr>
              <w:widowControl/>
              <w:jc w:val="center"/>
              <w:rPr>
                <w:rFonts w:ascii="Times New Roman" w:hAnsi="Times New Roman" w:eastAsia="仿宋_GB2312"/>
                <w:color w:val="000000"/>
                <w:szCs w:val="21"/>
              </w:rPr>
            </w:pPr>
            <w:r>
              <w:rPr>
                <w:rFonts w:hint="eastAsia" w:ascii="Times New Roman" w:hAnsi="Times New Roman" w:eastAsia="楷体_GB2312"/>
                <w:color w:val="000000"/>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Times New Roman" w:hAnsi="Times New Roman" w:eastAsia="黑体"/>
                <w:color w:val="000000"/>
                <w:szCs w:val="21"/>
              </w:rPr>
            </w:pPr>
            <w:r>
              <w:rPr>
                <w:rFonts w:hint="eastAsia" w:ascii="Times New Roman" w:hAnsi="Times New Roman" w:eastAsia="黑体"/>
                <w:color w:val="000000"/>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pPr>
              <w:jc w:val="center"/>
              <w:rPr>
                <w:rFonts w:ascii="Times New Roman" w:hAnsi="Times New Roman" w:eastAsia="仿宋_GB2312"/>
                <w:color w:val="000000"/>
                <w:szCs w:val="21"/>
              </w:rPr>
            </w:pPr>
          </w:p>
        </w:tc>
        <w:tc>
          <w:tcPr>
            <w:tcW w:w="829" w:type="dxa"/>
            <w:vMerge w:val="restart"/>
            <w:noWrap w:val="0"/>
            <w:tcMar>
              <w:left w:w="108" w:type="dxa"/>
              <w:right w:w="108" w:type="dxa"/>
            </w:tcMar>
            <w:vAlign w:val="center"/>
          </w:tcPr>
          <w:p>
            <w:pPr>
              <w:widowControl/>
              <w:jc w:val="center"/>
              <w:rPr>
                <w:rFonts w:ascii="Times New Roman" w:hAnsi="Times New Roman" w:eastAsia="黑体"/>
                <w:color w:val="000000"/>
                <w:szCs w:val="21"/>
              </w:rPr>
            </w:pPr>
            <w:r>
              <w:rPr>
                <w:rFonts w:hint="eastAsia" w:ascii="Times New Roman" w:hAnsi="Times New Roman" w:eastAsia="黑体"/>
                <w:color w:val="000000"/>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Times New Roman" w:hAnsi="Times New Roman" w:eastAsia="黑体"/>
                <w:color w:val="000000"/>
                <w:szCs w:val="21"/>
              </w:rPr>
            </w:pPr>
            <w:r>
              <w:rPr>
                <w:rFonts w:hint="eastAsia" w:ascii="Times New Roman" w:hAnsi="Times New Roman" w:eastAsia="黑体"/>
                <w:color w:val="000000"/>
                <w:kern w:val="0"/>
                <w:szCs w:val="21"/>
              </w:rPr>
              <w:t>法人或其他组织</w:t>
            </w:r>
          </w:p>
        </w:tc>
        <w:tc>
          <w:tcPr>
            <w:tcW w:w="851" w:type="dxa"/>
            <w:vMerge w:val="restart"/>
            <w:noWrap w:val="0"/>
            <w:tcMar>
              <w:left w:w="108" w:type="dxa"/>
              <w:right w:w="108" w:type="dxa"/>
            </w:tcMar>
            <w:vAlign w:val="center"/>
          </w:tcPr>
          <w:p>
            <w:pPr>
              <w:widowControl/>
              <w:jc w:val="center"/>
              <w:rPr>
                <w:rFonts w:ascii="Times New Roman" w:hAnsi="Times New Roman" w:eastAsia="黑体"/>
                <w:color w:val="000000"/>
                <w:szCs w:val="21"/>
              </w:rPr>
            </w:pPr>
            <w:r>
              <w:rPr>
                <w:rFonts w:hint="eastAsia" w:ascii="Times New Roman" w:hAnsi="Times New Roman" w:eastAsia="黑体"/>
                <w:color w:val="000000"/>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pPr>
              <w:jc w:val="center"/>
              <w:rPr>
                <w:rFonts w:ascii="Times New Roman" w:hAnsi="Times New Roman" w:eastAsia="仿宋_GB2312"/>
                <w:color w:val="000000"/>
                <w:szCs w:val="21"/>
              </w:rPr>
            </w:pPr>
          </w:p>
        </w:tc>
        <w:tc>
          <w:tcPr>
            <w:tcW w:w="829" w:type="dxa"/>
            <w:vMerge w:val="continue"/>
            <w:noWrap w:val="0"/>
            <w:tcMar>
              <w:left w:w="108" w:type="dxa"/>
              <w:right w:w="108" w:type="dxa"/>
            </w:tcMar>
            <w:vAlign w:val="center"/>
          </w:tcPr>
          <w:p>
            <w:pPr>
              <w:jc w:val="center"/>
              <w:rPr>
                <w:rFonts w:ascii="Times New Roman" w:hAnsi="Times New Roman" w:eastAsia="黑体"/>
                <w:color w:val="000000"/>
                <w:szCs w:val="21"/>
              </w:rPr>
            </w:pPr>
          </w:p>
        </w:tc>
        <w:tc>
          <w:tcPr>
            <w:tcW w:w="567" w:type="dxa"/>
            <w:noWrap w:val="0"/>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color w:val="000000"/>
                <w:szCs w:val="21"/>
              </w:rPr>
            </w:pPr>
            <w:r>
              <w:rPr>
                <w:rFonts w:hint="eastAsia" w:ascii="Times New Roman" w:hAnsi="Times New Roman" w:eastAsia="黑体"/>
                <w:color w:val="000000"/>
                <w:kern w:val="0"/>
                <w:szCs w:val="21"/>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ascii="Times New Roman" w:hAnsi="Times New Roman" w:eastAsia="黑体"/>
                <w:color w:val="000000"/>
                <w:szCs w:val="21"/>
              </w:rPr>
            </w:pPr>
            <w:r>
              <w:rPr>
                <w:rFonts w:hint="eastAsia" w:ascii="Times New Roman" w:hAnsi="Times New Roman" w:eastAsia="黑体"/>
                <w:color w:val="000000"/>
                <w:kern w:val="0"/>
                <w:szCs w:val="21"/>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ascii="Times New Roman" w:hAnsi="Times New Roman" w:eastAsia="黑体"/>
                <w:color w:val="000000"/>
                <w:szCs w:val="21"/>
              </w:rPr>
            </w:pPr>
            <w:r>
              <w:rPr>
                <w:rFonts w:hint="eastAsia" w:ascii="Times New Roman" w:hAnsi="Times New Roman" w:eastAsia="黑体"/>
                <w:color w:val="000000"/>
                <w:kern w:val="0"/>
                <w:szCs w:val="21"/>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color w:val="000000"/>
                <w:szCs w:val="21"/>
              </w:rPr>
            </w:pPr>
            <w:r>
              <w:rPr>
                <w:rFonts w:hint="eastAsia" w:ascii="Times New Roman" w:hAnsi="Times New Roman" w:eastAsia="黑体"/>
                <w:color w:val="000000"/>
                <w:kern w:val="0"/>
                <w:szCs w:val="21"/>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ascii="Times New Roman" w:hAnsi="Times New Roman" w:eastAsia="黑体"/>
                <w:color w:val="000000"/>
                <w:szCs w:val="21"/>
              </w:rPr>
            </w:pPr>
            <w:r>
              <w:rPr>
                <w:rFonts w:hint="eastAsia" w:ascii="Times New Roman" w:hAnsi="Times New Roman" w:eastAsia="黑体"/>
                <w:color w:val="000000"/>
                <w:kern w:val="0"/>
                <w:szCs w:val="21"/>
              </w:rPr>
              <w:t>其他</w:t>
            </w:r>
          </w:p>
        </w:tc>
        <w:tc>
          <w:tcPr>
            <w:tcW w:w="851" w:type="dxa"/>
            <w:vMerge w:val="continue"/>
            <w:noWrap w:val="0"/>
            <w:tcMar>
              <w:left w:w="108" w:type="dxa"/>
              <w:right w:w="108" w:type="dxa"/>
            </w:tcMar>
            <w:vAlign w:val="center"/>
          </w:tcPr>
          <w:p>
            <w:pPr>
              <w:jc w:val="center"/>
              <w:rPr>
                <w:rFonts w:ascii="Times New Roman" w:hAnsi="Times New Roman"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widowControl/>
              <w:rPr>
                <w:rFonts w:ascii="Times New Roman" w:hAnsi="Times New Roman" w:eastAsia="黑体"/>
                <w:color w:val="000000"/>
                <w:szCs w:val="21"/>
              </w:rPr>
            </w:pPr>
            <w:r>
              <w:rPr>
                <w:rFonts w:hint="eastAsia" w:ascii="Times New Roman" w:hAnsi="Times New Roman" w:eastAsia="黑体"/>
                <w:color w:val="000000"/>
                <w:kern w:val="0"/>
                <w:szCs w:val="21"/>
              </w:rPr>
              <w:t>一、本年新收政府信息公开申请数量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widowControl/>
              <w:rPr>
                <w:rFonts w:ascii="Times New Roman" w:hAnsi="Times New Roman" w:eastAsia="黑体"/>
                <w:color w:val="000000"/>
                <w:szCs w:val="21"/>
              </w:rPr>
            </w:pPr>
            <w:r>
              <w:rPr>
                <w:rFonts w:hint="eastAsia" w:ascii="Times New Roman" w:hAnsi="Times New Roman" w:eastAsia="黑体"/>
                <w:color w:val="000000"/>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pPr>
              <w:widowControl/>
              <w:spacing w:after="180"/>
              <w:rPr>
                <w:rFonts w:ascii="Times New Roman" w:hAnsi="Times New Roman" w:eastAsia="黑体"/>
                <w:color w:val="000000"/>
                <w:szCs w:val="21"/>
              </w:rPr>
            </w:pPr>
            <w:r>
              <w:rPr>
                <w:rFonts w:hint="eastAsia" w:ascii="Times New Roman" w:hAnsi="Times New Roman" w:eastAsia="黑体"/>
                <w:color w:val="000000"/>
                <w:kern w:val="0"/>
                <w:szCs w:val="21"/>
              </w:rPr>
              <w:t>三、本年度办理结果</w:t>
            </w:r>
          </w:p>
        </w:tc>
        <w:tc>
          <w:tcPr>
            <w:tcW w:w="4677" w:type="dxa"/>
            <w:gridSpan w:val="2"/>
            <w:noWrap w:val="0"/>
            <w:tcMar>
              <w:left w:w="108" w:type="dxa"/>
              <w:right w:w="108" w:type="dxa"/>
            </w:tcMar>
            <w:vAlign w:val="center"/>
          </w:tcPr>
          <w:p>
            <w:pPr>
              <w:widowControl/>
              <w:rPr>
                <w:rFonts w:ascii="Times New Roman" w:hAnsi="Times New Roman" w:eastAsia="黑体"/>
                <w:color w:val="000000"/>
                <w:szCs w:val="21"/>
              </w:rPr>
            </w:pPr>
            <w:r>
              <w:rPr>
                <w:rFonts w:hint="eastAsia" w:ascii="Times New Roman" w:hAnsi="Times New Roman" w:eastAsia="黑体"/>
                <w:color w:val="000000"/>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4677" w:type="dxa"/>
            <w:gridSpan w:val="2"/>
            <w:noWrap w:val="0"/>
            <w:tcMar>
              <w:left w:w="108" w:type="dxa"/>
              <w:right w:w="108" w:type="dxa"/>
            </w:tcMar>
            <w:vAlign w:val="center"/>
          </w:tcPr>
          <w:p>
            <w:pPr>
              <w:widowControl/>
              <w:rPr>
                <w:rFonts w:ascii="Times New Roman" w:hAnsi="Times New Roman" w:eastAsia="黑体"/>
                <w:color w:val="000000"/>
                <w:szCs w:val="21"/>
              </w:rPr>
            </w:pPr>
            <w:r>
              <w:rPr>
                <w:rFonts w:hint="eastAsia" w:ascii="Times New Roman" w:hAnsi="Times New Roman" w:eastAsia="黑体"/>
                <w:color w:val="000000"/>
                <w:kern w:val="0"/>
                <w:szCs w:val="21"/>
              </w:rPr>
              <w:t>（二）部分公开（区分处理的，只计这一情形，不计其他情形）</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2.其他法律行政法规禁止公开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4.保护第三方合法权益</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6.属于四类过程性信息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8.属于行政查询事项</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2.没有现成信息需要另行制作</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3.补正后申请内容仍不明确</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color w:val="000000"/>
                <w:szCs w:val="21"/>
              </w:rPr>
            </w:pPr>
            <w:r>
              <w:rPr>
                <w:rFonts w:hint="eastAsia" w:ascii="Times New Roman" w:hAnsi="Times New Roman" w:eastAsia="黑体"/>
                <w:color w:val="000000"/>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1.信访举报投诉类申请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color w:val="000000"/>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szCs w:val="21"/>
              </w:rPr>
            </w:pPr>
            <w:r>
              <w:rPr>
                <w:rFonts w:hint="eastAsia" w:ascii="Times New Roman" w:hAnsi="Times New Roman" w:eastAsia="仿宋_GB2312"/>
                <w:color w:val="000000"/>
                <w:kern w:val="0"/>
                <w:szCs w:val="21"/>
              </w:rPr>
              <w:t>5.要求行政机关确认或重新出具已获取信息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color w:val="000000"/>
                <w:kern w:val="0"/>
                <w:szCs w:val="21"/>
              </w:rPr>
            </w:pPr>
            <w:r>
              <w:rPr>
                <w:rFonts w:hint="eastAsia" w:ascii="Times New Roman" w:hAnsi="Times New Roman" w:eastAsia="黑体"/>
                <w:color w:val="000000"/>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rPr>
            </w:pPr>
            <w:r>
              <w:rPr>
                <w:rFonts w:hint="eastAsia" w:ascii="Times New Roman" w:hAnsi="Times New Roman" w:eastAsia="仿宋_GB2312"/>
                <w:color w:val="000000"/>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widowControl/>
              <w:spacing w:line="300" w:lineRule="exact"/>
              <w:rPr>
                <w:rFonts w:ascii="Times New Roman" w:hAnsi="Times New Roman" w:eastAsia="黑体"/>
                <w:color w:val="000000"/>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1701" w:type="dxa"/>
            <w:vMerge w:val="continue"/>
            <w:noWrap w:val="0"/>
            <w:tcMar>
              <w:left w:w="108" w:type="dxa"/>
              <w:right w:w="108" w:type="dxa"/>
            </w:tcMar>
            <w:vAlign w:val="center"/>
          </w:tcPr>
          <w:p>
            <w:pPr>
              <w:widowControl/>
              <w:spacing w:line="300" w:lineRule="exact"/>
              <w:rPr>
                <w:rFonts w:ascii="Times New Roman" w:hAnsi="Times New Roman" w:eastAsia="黑体"/>
                <w:color w:val="000000"/>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color w:val="000000"/>
                <w:kern w:val="0"/>
                <w:szCs w:val="21"/>
              </w:rPr>
            </w:pPr>
            <w:r>
              <w:rPr>
                <w:rFonts w:hint="eastAsia" w:ascii="Times New Roman" w:hAnsi="Times New Roman" w:eastAsia="仿宋_GB2312"/>
                <w:color w:val="000000"/>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color w:val="000000"/>
                <w:szCs w:val="21"/>
              </w:rPr>
            </w:pPr>
          </w:p>
        </w:tc>
        <w:tc>
          <w:tcPr>
            <w:tcW w:w="4677" w:type="dxa"/>
            <w:gridSpan w:val="2"/>
            <w:noWrap w:val="0"/>
            <w:tcMar>
              <w:left w:w="108" w:type="dxa"/>
              <w:right w:w="108" w:type="dxa"/>
            </w:tcMar>
            <w:vAlign w:val="center"/>
          </w:tcPr>
          <w:p>
            <w:pPr>
              <w:widowControl/>
              <w:spacing w:line="300" w:lineRule="exact"/>
              <w:rPr>
                <w:rFonts w:ascii="Times New Roman" w:hAnsi="Times New Roman" w:eastAsia="黑体"/>
                <w:color w:val="000000"/>
                <w:kern w:val="0"/>
                <w:szCs w:val="21"/>
              </w:rPr>
            </w:pPr>
            <w:r>
              <w:rPr>
                <w:rFonts w:hint="eastAsia" w:ascii="Times New Roman" w:hAnsi="Times New Roman" w:eastAsia="黑体"/>
                <w:color w:val="000000"/>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eastAsia="仿宋_GB2312"/>
                <w:color w:val="000000"/>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pPr>
              <w:widowControl/>
              <w:spacing w:line="300" w:lineRule="exact"/>
              <w:rPr>
                <w:rFonts w:ascii="Times New Roman" w:hAnsi="Times New Roman" w:eastAsia="黑体"/>
                <w:color w:val="000000"/>
                <w:kern w:val="0"/>
                <w:szCs w:val="21"/>
              </w:rPr>
            </w:pPr>
            <w:r>
              <w:rPr>
                <w:rFonts w:hint="eastAsia" w:ascii="Times New Roman" w:hAnsi="Times New Roman" w:eastAsia="黑体"/>
                <w:color w:val="000000"/>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黑体简体" w:cs="Times New Roman"/>
          <w:b w:val="0"/>
          <w:bCs/>
          <w:i/>
          <w:iCs/>
          <w:color w:val="000000"/>
          <w:sz w:val="32"/>
          <w:szCs w:val="32"/>
          <w:lang w:eastAsia="zh-CN"/>
        </w:rPr>
      </w:pPr>
      <w:r>
        <w:rPr>
          <w:rFonts w:eastAsia="方正黑体简体"/>
          <w:b/>
          <w:color w:val="000000"/>
          <w:sz w:val="32"/>
          <w:szCs w:val="32"/>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color w:val="000000"/>
                <w:kern w:val="0"/>
                <w:sz w:val="20"/>
                <w:szCs w:val="20"/>
              </w:rPr>
            </w:pPr>
            <w:r>
              <w:rPr>
                <w:rFonts w:ascii="黑体" w:hAnsi="黑体" w:eastAsia="黑体"/>
                <w:color w:val="000000"/>
                <w:kern w:val="0"/>
                <w:sz w:val="20"/>
                <w:szCs w:val="20"/>
              </w:rPr>
              <w:t>结果</w:t>
            </w:r>
          </w:p>
          <w:p>
            <w:pPr>
              <w:widowControl/>
              <w:ind w:left="-149" w:leftChars="-71" w:right="-170" w:rightChars="-81"/>
              <w:jc w:val="center"/>
              <w:rPr>
                <w:rFonts w:ascii="黑体" w:hAnsi="黑体" w:eastAsia="黑体"/>
                <w:color w:val="000000"/>
              </w:rPr>
            </w:pPr>
            <w:r>
              <w:rPr>
                <w:rFonts w:ascii="黑体" w:hAnsi="黑体" w:eastAsia="黑体"/>
                <w:color w:val="000000"/>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color w:val="000000"/>
              </w:rPr>
            </w:pPr>
            <w:r>
              <w:rPr>
                <w:rFonts w:ascii="黑体" w:hAnsi="黑体" w:eastAsia="黑体"/>
                <w:color w:val="00000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color w:val="000000"/>
              </w:rPr>
            </w:pPr>
            <w:r>
              <w:rPr>
                <w:rFonts w:ascii="黑体" w:hAnsi="黑体" w:eastAsia="黑体"/>
                <w:color w:val="00000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color w:val="000000"/>
                <w:kern w:val="0"/>
                <w:sz w:val="20"/>
                <w:szCs w:val="20"/>
              </w:rPr>
            </w:pPr>
            <w:r>
              <w:rPr>
                <w:rFonts w:ascii="黑体" w:hAnsi="黑体" w:eastAsia="黑体"/>
                <w:color w:val="000000"/>
                <w:kern w:val="0"/>
                <w:sz w:val="20"/>
                <w:szCs w:val="20"/>
              </w:rPr>
              <w:t>尚未</w:t>
            </w:r>
          </w:p>
          <w:p>
            <w:pPr>
              <w:widowControl/>
              <w:ind w:left="-118" w:leftChars="-56" w:right="-118" w:rightChars="-56"/>
              <w:jc w:val="center"/>
              <w:rPr>
                <w:rFonts w:ascii="黑体" w:hAnsi="黑体" w:eastAsia="黑体"/>
                <w:color w:val="000000"/>
              </w:rPr>
            </w:pPr>
            <w:r>
              <w:rPr>
                <w:rFonts w:ascii="黑体" w:hAnsi="黑体" w:eastAsia="黑体"/>
                <w:color w:val="000000"/>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color w:val="000000"/>
                <w:kern w:val="0"/>
                <w:sz w:val="20"/>
                <w:szCs w:val="20"/>
              </w:rPr>
            </w:pPr>
            <w:r>
              <w:rPr>
                <w:rFonts w:ascii="黑体" w:hAnsi="黑体" w:eastAsia="黑体"/>
                <w:color w:val="000000"/>
                <w:kern w:val="0"/>
                <w:sz w:val="20"/>
                <w:szCs w:val="20"/>
              </w:rPr>
              <w:t>总</w:t>
            </w:r>
          </w:p>
          <w:p>
            <w:pPr>
              <w:widowControl/>
              <w:spacing w:line="320" w:lineRule="exact"/>
              <w:jc w:val="center"/>
              <w:rPr>
                <w:rFonts w:ascii="黑体" w:hAnsi="黑体" w:eastAsia="黑体"/>
                <w:color w:val="000000"/>
              </w:rPr>
            </w:pPr>
            <w:r>
              <w:rPr>
                <w:rFonts w:ascii="黑体" w:hAnsi="黑体" w:eastAsia="黑体"/>
                <w:color w:val="000000"/>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rPr>
            </w:pPr>
            <w:bookmarkStart w:id="0" w:name="_Hlk67039688"/>
            <w:r>
              <w:rPr>
                <w:rFonts w:ascii="黑体" w:hAnsi="黑体" w:eastAsia="黑体"/>
                <w:color w:val="000000"/>
                <w:kern w:val="0"/>
                <w:sz w:val="20"/>
                <w:szCs w:val="20"/>
              </w:rPr>
              <w:t>复议后起诉</w:t>
            </w:r>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color w:val="000000"/>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0000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0000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00000"/>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color w:val="000000"/>
                <w:sz w:val="24"/>
              </w:rPr>
            </w:pPr>
          </w:p>
        </w:tc>
        <w:tc>
          <w:tcPr>
            <w:tcW w:w="5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color w:val="000000"/>
              </w:rPr>
            </w:pPr>
            <w:r>
              <w:rPr>
                <w:rFonts w:ascii="黑体" w:hAnsi="黑体" w:eastAsia="黑体"/>
                <w:color w:val="000000"/>
                <w:kern w:val="0"/>
                <w:sz w:val="20"/>
                <w:szCs w:val="20"/>
              </w:rPr>
              <w:t>结果维持</w:t>
            </w:r>
          </w:p>
        </w:tc>
        <w:tc>
          <w:tcPr>
            <w:tcW w:w="60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color w:val="000000"/>
              </w:rPr>
            </w:pPr>
            <w:r>
              <w:rPr>
                <w:rFonts w:ascii="黑体" w:hAnsi="黑体" w:eastAsia="黑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color w:val="000000"/>
                <w:kern w:val="0"/>
                <w:sz w:val="20"/>
                <w:szCs w:val="20"/>
              </w:rPr>
            </w:pPr>
            <w:r>
              <w:rPr>
                <w:rFonts w:ascii="黑体" w:hAnsi="黑体" w:eastAsia="黑体"/>
                <w:color w:val="000000"/>
                <w:kern w:val="0"/>
                <w:sz w:val="20"/>
                <w:szCs w:val="20"/>
              </w:rPr>
              <w:t>其他</w:t>
            </w:r>
          </w:p>
          <w:p>
            <w:pPr>
              <w:widowControl/>
              <w:ind w:left="-126" w:leftChars="-60" w:right="-136" w:rightChars="-65"/>
              <w:jc w:val="center"/>
              <w:rPr>
                <w:rFonts w:ascii="黑体" w:hAnsi="黑体" w:eastAsia="黑体"/>
                <w:color w:val="000000"/>
              </w:rPr>
            </w:pPr>
            <w:r>
              <w:rPr>
                <w:rFonts w:ascii="黑体" w:hAnsi="黑体" w:eastAsia="黑体"/>
                <w:color w:val="000000"/>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color w:val="000000"/>
                <w:kern w:val="0"/>
                <w:sz w:val="20"/>
                <w:szCs w:val="20"/>
              </w:rPr>
            </w:pPr>
            <w:r>
              <w:rPr>
                <w:rFonts w:ascii="黑体" w:hAnsi="黑体" w:eastAsia="黑体"/>
                <w:color w:val="000000"/>
                <w:kern w:val="0"/>
                <w:sz w:val="20"/>
                <w:szCs w:val="20"/>
              </w:rPr>
              <w:t>尚未</w:t>
            </w:r>
          </w:p>
          <w:p>
            <w:pPr>
              <w:widowControl/>
              <w:ind w:left="-164" w:leftChars="-78" w:right="-153" w:rightChars="-73"/>
              <w:jc w:val="center"/>
              <w:rPr>
                <w:rFonts w:ascii="黑体" w:hAnsi="黑体" w:eastAsia="黑体"/>
                <w:color w:val="000000"/>
              </w:rPr>
            </w:pPr>
            <w:r>
              <w:rPr>
                <w:rFonts w:ascii="黑体" w:hAnsi="黑体" w:eastAsia="黑体"/>
                <w:color w:val="000000"/>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color w:val="000000"/>
              </w:rPr>
            </w:pPr>
            <w:r>
              <w:rPr>
                <w:rFonts w:ascii="黑体" w:hAnsi="黑体" w:eastAsia="黑体"/>
                <w:color w:val="000000"/>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color w:val="000000"/>
                <w:kern w:val="0"/>
                <w:sz w:val="20"/>
                <w:szCs w:val="20"/>
              </w:rPr>
            </w:pPr>
            <w:r>
              <w:rPr>
                <w:rFonts w:ascii="黑体" w:hAnsi="黑体" w:eastAsia="黑体"/>
                <w:color w:val="000000"/>
                <w:kern w:val="0"/>
                <w:sz w:val="20"/>
                <w:szCs w:val="20"/>
              </w:rPr>
              <w:t>结果</w:t>
            </w:r>
          </w:p>
          <w:p>
            <w:pPr>
              <w:widowControl/>
              <w:ind w:left="-136" w:leftChars="-65" w:right="-124" w:rightChars="-59"/>
              <w:jc w:val="center"/>
              <w:rPr>
                <w:rFonts w:ascii="黑体" w:hAnsi="黑体" w:eastAsia="黑体"/>
                <w:color w:val="000000"/>
              </w:rPr>
            </w:pPr>
            <w:r>
              <w:rPr>
                <w:rFonts w:ascii="黑体" w:hAnsi="黑体" w:eastAsia="黑体"/>
                <w:color w:val="000000"/>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color w:val="000000"/>
                <w:kern w:val="0"/>
                <w:sz w:val="20"/>
                <w:szCs w:val="20"/>
              </w:rPr>
            </w:pPr>
            <w:r>
              <w:rPr>
                <w:rFonts w:ascii="黑体" w:hAnsi="黑体" w:eastAsia="黑体"/>
                <w:color w:val="000000"/>
                <w:kern w:val="0"/>
                <w:sz w:val="20"/>
                <w:szCs w:val="20"/>
              </w:rPr>
              <w:t>其他</w:t>
            </w:r>
          </w:p>
          <w:p>
            <w:pPr>
              <w:widowControl/>
              <w:ind w:left="-173" w:leftChars="-83" w:right="-134" w:rightChars="-64" w:hanging="1"/>
              <w:jc w:val="center"/>
              <w:rPr>
                <w:rFonts w:ascii="黑体" w:hAnsi="黑体" w:eastAsia="黑体"/>
                <w:color w:val="000000"/>
              </w:rPr>
            </w:pPr>
            <w:r>
              <w:rPr>
                <w:rFonts w:ascii="黑体" w:hAnsi="黑体" w:eastAsia="黑体"/>
                <w:color w:val="000000"/>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color w:val="000000"/>
              </w:rPr>
            </w:pPr>
            <w:r>
              <w:rPr>
                <w:rFonts w:ascii="黑体" w:hAnsi="黑体" w:eastAsia="黑体"/>
                <w:color w:val="000000"/>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55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一是在主动公开文件的审查机制优化方面仍然存在提升空间。随着政务公开标准化工作的深入推进，主动公开领域的业务内容越来越广泛和专业，部分学校信息发布前的审查程序未能及时同步完善；二是政务公开培训工作质效有待增强，学校信息公开工作人员业务水平参差不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针对存在的问题，2025年区教育和体育局将从以下几个方面重点改进：一是督促指导各学校健全完善主动公开工作的审查机制，科学合理确定主动公开文件的审查工作的职责权限与任务分工；二是加强业务指导。组织教育系统各单位政府信息公开工作人员开展专题业务培训，持续提高工作人员对政府信息公开工作的思想认识，提升工作人员业务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（一）依据《政府信息公开信息处理费管理办法》收取信息处理费的情况</w:t>
      </w:r>
      <w:r>
        <w:rPr>
          <w:rFonts w:hint="eastAsia" w:eastAsia="方正楷体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rPr>
      </w:pPr>
      <w:r>
        <w:rPr>
          <w:rFonts w:hint="eastAsia" w:eastAsia="方正仿宋简体"/>
          <w:b/>
          <w:color w:val="000000"/>
          <w:sz w:val="32"/>
          <w:szCs w:val="32"/>
        </w:rPr>
        <w:t>按照《国务院办公厅关于印发&lt;政府信息公开信息处理费管理办法&gt;的通知》（国办函〔2020〕109号）和《山东省人民政府办公厅关于做好政府信息公开信息处理费管理工作有关事项的通知》（鲁政办字〔2020〕179号）规定的按件、按量收费标准收取信息处理费。本年度未产生信息公开处理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r>
        <w:rPr>
          <w:rFonts w:hint="eastAsia" w:eastAsia="方正楷体简体"/>
          <w:b/>
          <w:color w:val="000000"/>
          <w:sz w:val="32"/>
          <w:szCs w:val="32"/>
        </w:rPr>
        <w:t>（二）</w:t>
      </w:r>
      <w:r>
        <w:rPr>
          <w:rFonts w:eastAsia="方正楷体简体"/>
          <w:b/>
          <w:color w:val="000000"/>
          <w:sz w:val="32"/>
          <w:szCs w:val="32"/>
        </w:rPr>
        <w:t>本行政机关落实上级年度政务公开工作要点情况</w:t>
      </w:r>
      <w:r>
        <w:rPr>
          <w:rFonts w:hint="eastAsia" w:eastAsia="方正楷体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200"/>
        <w:textAlignment w:val="auto"/>
        <w:rPr>
          <w:rFonts w:hint="eastAsia" w:eastAsia="方正仿宋简体"/>
          <w:b/>
          <w:color w:val="000000"/>
          <w:sz w:val="32"/>
          <w:szCs w:val="32"/>
        </w:rPr>
      </w:pPr>
      <w:r>
        <w:rPr>
          <w:rFonts w:ascii="微软雅黑" w:hAnsi="微软雅黑" w:eastAsia="微软雅黑" w:cs="微软雅黑"/>
          <w:i w:val="0"/>
          <w:iCs w:val="0"/>
          <w:caps w:val="0"/>
          <w:color w:val="333333"/>
          <w:spacing w:val="0"/>
          <w:sz w:val="24"/>
          <w:szCs w:val="24"/>
          <w:shd w:val="clear" w:fill="FFFFFF"/>
        </w:rPr>
        <w:t>  </w:t>
      </w:r>
      <w:r>
        <w:rPr>
          <w:rFonts w:hint="eastAsia" w:eastAsia="方正仿宋简体"/>
          <w:b/>
          <w:color w:val="000000"/>
          <w:sz w:val="32"/>
          <w:szCs w:val="32"/>
        </w:rPr>
        <w:t>根据省、市</w:t>
      </w:r>
      <w:r>
        <w:rPr>
          <w:rFonts w:hint="eastAsia" w:eastAsia="方正仿宋简体"/>
          <w:b/>
          <w:color w:val="000000"/>
          <w:sz w:val="32"/>
          <w:szCs w:val="32"/>
          <w:lang w:eastAsia="zh-CN"/>
        </w:rPr>
        <w:t>、</w:t>
      </w:r>
      <w:r>
        <w:rPr>
          <w:rFonts w:hint="eastAsia" w:eastAsia="方正仿宋简体"/>
          <w:b/>
          <w:color w:val="000000"/>
          <w:sz w:val="32"/>
          <w:szCs w:val="32"/>
          <w:lang w:val="en-US" w:eastAsia="zh-CN"/>
        </w:rPr>
        <w:t>区</w:t>
      </w:r>
      <w:r>
        <w:rPr>
          <w:rFonts w:hint="eastAsia" w:eastAsia="方正仿宋简体"/>
          <w:b/>
          <w:color w:val="000000"/>
          <w:sz w:val="32"/>
          <w:szCs w:val="32"/>
        </w:rPr>
        <w:t>政务公开工作要点要求，</w:t>
      </w:r>
      <w:r>
        <w:rPr>
          <w:rFonts w:hint="eastAsia" w:eastAsia="方正仿宋简体"/>
          <w:b/>
          <w:color w:val="000000"/>
          <w:sz w:val="32"/>
          <w:szCs w:val="32"/>
          <w:lang w:val="en-US" w:eastAsia="zh-CN"/>
        </w:rPr>
        <w:t>区教育和体育局</w:t>
      </w:r>
      <w:r>
        <w:rPr>
          <w:rFonts w:hint="eastAsia" w:eastAsia="方正仿宋简体"/>
          <w:b/>
          <w:color w:val="000000"/>
          <w:sz w:val="32"/>
          <w:szCs w:val="32"/>
        </w:rPr>
        <w:t>持续做好贯彻落实工作，做好政务公开重点工作任务分工，根据任务分工将全年的政务公开工作落实到位。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（三）人大代表建议和政协提案办理结果公开情况</w:t>
      </w:r>
      <w:r>
        <w:rPr>
          <w:rFonts w:hint="eastAsia" w:eastAsia="方正楷体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rPr>
      </w:pPr>
      <w:r>
        <w:rPr>
          <w:rFonts w:hint="eastAsia" w:eastAsia="方正仿宋简体"/>
          <w:b/>
          <w:color w:val="000000"/>
          <w:sz w:val="32"/>
          <w:szCs w:val="32"/>
        </w:rPr>
        <w:t>202</w:t>
      </w:r>
      <w:r>
        <w:rPr>
          <w:rFonts w:hint="eastAsia" w:eastAsia="方正仿宋简体"/>
          <w:b/>
          <w:color w:val="000000"/>
          <w:sz w:val="32"/>
          <w:szCs w:val="32"/>
          <w:lang w:val="en-US" w:eastAsia="zh-CN"/>
        </w:rPr>
        <w:t>4</w:t>
      </w:r>
      <w:r>
        <w:rPr>
          <w:rFonts w:hint="eastAsia" w:eastAsia="方正仿宋简体"/>
          <w:b/>
          <w:color w:val="000000"/>
          <w:sz w:val="32"/>
          <w:szCs w:val="32"/>
        </w:rPr>
        <w:t>年</w:t>
      </w:r>
      <w:r>
        <w:rPr>
          <w:rFonts w:hint="eastAsia" w:eastAsia="方正仿宋简体"/>
          <w:b/>
          <w:color w:val="000000"/>
          <w:sz w:val="32"/>
          <w:szCs w:val="32"/>
          <w:lang w:eastAsia="zh-CN"/>
        </w:rPr>
        <w:t>，</w:t>
      </w:r>
      <w:r>
        <w:rPr>
          <w:rFonts w:hint="eastAsia" w:eastAsia="方正仿宋简体"/>
          <w:b/>
          <w:color w:val="000000"/>
          <w:sz w:val="32"/>
          <w:szCs w:val="32"/>
        </w:rPr>
        <w:t>本机关共承办人大代表议案、建议</w:t>
      </w:r>
      <w:r>
        <w:rPr>
          <w:rFonts w:hint="eastAsia" w:eastAsia="方正仿宋简体"/>
          <w:b/>
          <w:color w:val="000000"/>
          <w:sz w:val="32"/>
          <w:szCs w:val="32"/>
          <w:lang w:val="en-US" w:eastAsia="zh-CN"/>
        </w:rPr>
        <w:t>28</w:t>
      </w:r>
      <w:r>
        <w:rPr>
          <w:rFonts w:hint="eastAsia" w:eastAsia="方正仿宋简体"/>
          <w:b/>
          <w:color w:val="000000"/>
          <w:sz w:val="32"/>
          <w:szCs w:val="32"/>
        </w:rPr>
        <w:t>件，其中政协提案1</w:t>
      </w:r>
      <w:r>
        <w:rPr>
          <w:rFonts w:hint="eastAsia" w:eastAsia="方正仿宋简体"/>
          <w:b/>
          <w:color w:val="000000"/>
          <w:sz w:val="32"/>
          <w:szCs w:val="32"/>
          <w:lang w:val="en-US" w:eastAsia="zh-CN"/>
        </w:rPr>
        <w:t>7</w:t>
      </w:r>
      <w:r>
        <w:rPr>
          <w:rFonts w:hint="eastAsia" w:eastAsia="方正仿宋简体"/>
          <w:b/>
          <w:color w:val="000000"/>
          <w:sz w:val="32"/>
          <w:szCs w:val="32"/>
        </w:rPr>
        <w:t>件</w:t>
      </w:r>
      <w:r>
        <w:rPr>
          <w:rFonts w:hint="eastAsia" w:eastAsia="方正仿宋简体"/>
          <w:b/>
          <w:color w:val="000000"/>
          <w:sz w:val="32"/>
          <w:szCs w:val="32"/>
          <w:lang w:eastAsia="zh-CN"/>
        </w:rPr>
        <w:t>，</w:t>
      </w:r>
      <w:r>
        <w:rPr>
          <w:rFonts w:hint="eastAsia" w:eastAsia="方正仿宋简体"/>
          <w:b/>
          <w:color w:val="000000"/>
          <w:sz w:val="32"/>
          <w:szCs w:val="32"/>
        </w:rPr>
        <w:t>人大交办的议案建议1</w:t>
      </w:r>
      <w:r>
        <w:rPr>
          <w:rFonts w:hint="eastAsia" w:eastAsia="方正仿宋简体"/>
          <w:b/>
          <w:color w:val="000000"/>
          <w:sz w:val="32"/>
          <w:szCs w:val="32"/>
          <w:lang w:val="en-US" w:eastAsia="zh-CN"/>
        </w:rPr>
        <w:t>1</w:t>
      </w:r>
      <w:r>
        <w:rPr>
          <w:rFonts w:hint="eastAsia" w:eastAsia="方正仿宋简体"/>
          <w:b/>
          <w:color w:val="000000"/>
          <w:sz w:val="32"/>
          <w:szCs w:val="32"/>
        </w:rPr>
        <w:t>件</w:t>
      </w:r>
      <w:r>
        <w:rPr>
          <w:rFonts w:hint="eastAsia" w:eastAsia="方正仿宋简体"/>
          <w:b/>
          <w:color w:val="000000"/>
          <w:sz w:val="32"/>
          <w:szCs w:val="32"/>
          <w:lang w:eastAsia="zh-CN"/>
        </w:rPr>
        <w:t>，</w:t>
      </w:r>
      <w:r>
        <w:rPr>
          <w:rFonts w:hint="eastAsia" w:eastAsia="方正仿宋简体"/>
          <w:b/>
          <w:color w:val="000000"/>
          <w:sz w:val="32"/>
          <w:szCs w:val="32"/>
        </w:rPr>
        <w:t>办结率100%。通过区政府门户网站建议提案办理结果公开专栏发布相关办理情况。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（四）本行政机关年度政务公开工作创新情况</w:t>
      </w:r>
      <w:r>
        <w:rPr>
          <w:rFonts w:hint="eastAsia" w:eastAsia="方正楷体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rPr>
      </w:pPr>
      <w:r>
        <w:rPr>
          <w:rFonts w:hint="eastAsia" w:eastAsia="方正仿宋简体"/>
          <w:b/>
          <w:color w:val="000000"/>
          <w:sz w:val="32"/>
          <w:szCs w:val="32"/>
        </w:rPr>
        <w:t>深入推进了公共企事业单位的公开力度，建立行业领域的统一信息披露平台，避免了单位信息的公开碎片化。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eastAsia="方正楷体简体"/>
          <w:b/>
          <w:color w:val="000000"/>
          <w:sz w:val="32"/>
          <w:szCs w:val="32"/>
        </w:rPr>
        <w:t>（五）本行政机关政府信息公开工作年度报告数据统计需要说明的事项</w:t>
      </w:r>
      <w:r>
        <w:rPr>
          <w:rFonts w:hint="eastAsia" w:eastAsia="方正楷体简体"/>
          <w:b/>
          <w:color w:val="000000"/>
          <w:sz w:val="32"/>
          <w:szCs w:val="32"/>
        </w:rPr>
        <w:t>：</w:t>
      </w:r>
      <w:r>
        <w:rPr>
          <w:rFonts w:hint="eastAsia" w:eastAsia="方正仿宋简体"/>
          <w:b/>
          <w:color w:val="00000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rPr>
      </w:pPr>
      <w:r>
        <w:rPr>
          <w:rFonts w:eastAsia="方正楷体简体"/>
          <w:b/>
          <w:color w:val="000000"/>
          <w:sz w:val="32"/>
          <w:szCs w:val="32"/>
        </w:rPr>
        <w:t>（六）本行政机关认为需要报告的其他事项</w:t>
      </w:r>
      <w:r>
        <w:rPr>
          <w:rFonts w:hint="eastAsia" w:eastAsia="方正楷体简体"/>
          <w:b/>
          <w:color w:val="000000"/>
          <w:sz w:val="32"/>
          <w:szCs w:val="32"/>
        </w:rPr>
        <w:t>：</w:t>
      </w:r>
      <w:r>
        <w:rPr>
          <w:rFonts w:hint="eastAsia" w:eastAsia="方正仿宋简体"/>
          <w:b/>
          <w:color w:val="000000"/>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rPr>
      </w:pPr>
      <w:r>
        <w:rPr>
          <w:rFonts w:eastAsia="方正楷体简体"/>
          <w:b/>
          <w:color w:val="000000"/>
          <w:sz w:val="32"/>
          <w:szCs w:val="32"/>
        </w:rPr>
        <w:t>（七）其他有关文件专门要求通过政府信息公开工作年度报告予以报告的事项</w:t>
      </w:r>
      <w:r>
        <w:rPr>
          <w:rFonts w:hint="eastAsia" w:eastAsia="方正楷体简体"/>
          <w:b/>
          <w:color w:val="000000"/>
          <w:sz w:val="32"/>
          <w:szCs w:val="32"/>
        </w:rPr>
        <w:t>：</w:t>
      </w:r>
      <w:r>
        <w:rPr>
          <w:rFonts w:hint="eastAsia" w:eastAsia="方正仿宋简体"/>
          <w:b/>
          <w:color w:val="000000"/>
          <w:sz w:val="32"/>
          <w:szCs w:val="32"/>
        </w:rPr>
        <w:t>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方正仿宋简体" w:cs="Times New Roman"/>
          <w:b w:val="0"/>
          <w:bCs w:val="0"/>
          <w:color w:val="000000"/>
          <w:sz w:val="30"/>
          <w:szCs w:val="30"/>
          <w:lang w:val="en-US" w:eastAsia="zh-CN"/>
        </w:rPr>
      </w:pPr>
    </w:p>
    <w:p/>
    <w:sectPr>
      <w:footerReference r:id="rId3" w:type="default"/>
      <w:pgSz w:w="11906" w:h="16838"/>
      <w:pgMar w:top="1383" w:right="1576" w:bottom="1383" w:left="1576" w:header="851" w:footer="992" w:gutter="0"/>
      <w:pgBorders>
        <w:top w:val="none" w:sz="0" w:space="0"/>
        <w:left w:val="none" w:sz="0" w:space="0"/>
        <w:bottom w:val="none" w:sz="0" w:space="0"/>
        <w:right w:val="none" w:sz="0" w:space="0"/>
      </w:pgBorders>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2</w:t>
                          </w:r>
                          <w:r>
                            <w:rPr>
                              <w:rFonts w:hint="default" w:ascii="Times New Roman" w:hAnsi="Times New Roman" w:eastAsia="方正仿宋简体" w:cs="Times New Roman"/>
                              <w:sz w:val="28"/>
                              <w:szCs w:val="28"/>
                            </w:rPr>
                            <w:fldChar w:fldCharType="end"/>
                          </w:r>
                          <w:r>
                            <w:rPr>
                              <w:rFonts w:hint="default" w:ascii="Times New Roman" w:hAnsi="Times New Roman" w:eastAsia="方正仿宋简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3"/>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2</w:t>
                    </w:r>
                    <w:r>
                      <w:rPr>
                        <w:rFonts w:hint="default" w:ascii="Times New Roman" w:hAnsi="Times New Roman" w:eastAsia="方正仿宋简体" w:cs="Times New Roman"/>
                        <w:sz w:val="28"/>
                        <w:szCs w:val="28"/>
                      </w:rPr>
                      <w:fldChar w:fldCharType="end"/>
                    </w:r>
                    <w:r>
                      <w:rPr>
                        <w:rFonts w:hint="default" w:ascii="Times New Roman" w:hAnsi="Times New Roman" w:eastAsia="方正仿宋简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64a4ba45-1f30-4e60-8d9b-34a8f842d6ea"/>
  </w:docVars>
  <w:rsids>
    <w:rsidRoot w:val="7F3311D5"/>
    <w:rsid w:val="06C67D23"/>
    <w:rsid w:val="10D37C80"/>
    <w:rsid w:val="159B5FE3"/>
    <w:rsid w:val="349101CE"/>
    <w:rsid w:val="34C208FD"/>
    <w:rsid w:val="3F077524"/>
    <w:rsid w:val="3FF669DA"/>
    <w:rsid w:val="4C1018EB"/>
    <w:rsid w:val="51AE7722"/>
    <w:rsid w:val="5F4E105B"/>
    <w:rsid w:val="66B06F4D"/>
    <w:rsid w:val="707662D5"/>
    <w:rsid w:val="7F33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eastAsia="宋体" w:cs="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defRPr>
            </a:pPr>
            <a:r>
              <a:rPr lang="zh-CN" altLang="en-US">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rPr>
              <a:t>济宁市兖州区教育和体育局</a:t>
            </a:r>
            <a:r>
              <a:rPr lang="en-US" altLang="zh-CN">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rPr>
              <a:t>2024</a:t>
            </a:r>
            <a:r>
              <a:rPr altLang="en-US">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rPr>
              <a:t>年</a:t>
            </a:r>
            <a:r>
              <a:rPr lang="zh-CN" altLang="en-US">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rPr>
              <a:t>信息公开情况</a:t>
            </a:r>
            <a:endParaRPr>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multiLvlStrRef>
              <c:f>[工作簿1]Sheet2!$A$1:$D$2</c:f>
              <c:multiLvlStrCache>
                <c:ptCount val="4"/>
                <c:lvl>
                  <c:pt idx="0">
                    <c:v>政府门户网站公开信息</c:v>
                  </c:pt>
                  <c:pt idx="1">
                    <c:v>微信公众号发布信息</c:v>
                  </c:pt>
                  <c:pt idx="2">
                    <c:v>兖州教育新闻发布新闻</c:v>
                  </c:pt>
                  <c:pt idx="3">
                    <c:v>新闻发布会</c:v>
                  </c:pt>
                </c:lvl>
                <c:lvl/>
              </c:multiLvlStrCache>
            </c:multiLvlStrRef>
          </c:cat>
          <c:val>
            <c:numRef>
              <c:f>[工作簿1]Sheet2!$A$3:$D$3</c:f>
              <c:numCache>
                <c:formatCode>General</c:formatCode>
                <c:ptCount val="4"/>
                <c:pt idx="0">
                  <c:v>419</c:v>
                </c:pt>
                <c:pt idx="1">
                  <c:v>1466</c:v>
                </c:pt>
                <c:pt idx="2">
                  <c:v>52</c:v>
                </c:pt>
                <c:pt idx="3">
                  <c:v>3</c:v>
                </c:pt>
              </c:numCache>
            </c:numRef>
          </c:val>
        </c:ser>
        <c:dLbls>
          <c:showLegendKey val="0"/>
          <c:showVal val="1"/>
          <c:showCatName val="0"/>
          <c:showSerName val="0"/>
          <c:showPercent val="0"/>
          <c:showBubbleSize val="0"/>
        </c:dLbls>
        <c:gapWidth val="150"/>
        <c:overlap val="-25"/>
        <c:axId val="280049762"/>
        <c:axId val="318505418"/>
      </c:barChart>
      <c:catAx>
        <c:axId val="280049762"/>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defRPr>
            </a:pPr>
          </a:p>
        </c:txPr>
        <c:crossAx val="318505418"/>
        <c:crosses val="autoZero"/>
        <c:auto val="1"/>
        <c:lblAlgn val="ctr"/>
        <c:lblOffset val="100"/>
        <c:noMultiLvlLbl val="0"/>
      </c:catAx>
      <c:valAx>
        <c:axId val="31850541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defRPr>
            </a:pPr>
          </a:p>
        </c:txPr>
        <c:crossAx val="280049762"/>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方正小标宋_GBK" panose="03000509000000000000" charset="-122"/>
          <a:ea typeface="方正小标宋_GBK" panose="03000509000000000000" charset="-122"/>
          <a:cs typeface="方正小标宋_GBK" panose="03000509000000000000" charset="-122"/>
          <a:sym typeface="方正小标宋_GBK" panose="03000509000000000000"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济宁市兖州区教育和体育局近三年依申请信息公开情况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sz="1200">
                        <a:latin typeface="黑体" panose="02010609060101010101" charset="-122"/>
                        <a:ea typeface="黑体" panose="02010609060101010101" charset="-122"/>
                        <a:cs typeface="黑体" panose="02010609060101010101" charset="-122"/>
                        <a:sym typeface="黑体" panose="02010609060101010101" charset="-122"/>
                      </a:rPr>
                      <a:t>3件</a:t>
                    </a:r>
                    <a:endParaRPr sz="1200">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169300225733634"/>
                  <c:y val="-0.00336775931746744"/>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sz="1200">
                        <a:latin typeface="黑体" panose="02010609060101010101" charset="-122"/>
                        <a:ea typeface="黑体" panose="02010609060101010101" charset="-122"/>
                        <a:cs typeface="黑体" panose="02010609060101010101" charset="-122"/>
                        <a:sym typeface="黑体" panose="02010609060101010101" charset="-122"/>
                      </a:rPr>
                      <a:t>1件</a:t>
                    </a:r>
                    <a:endParaRPr sz="1200">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sz="1200">
                        <a:latin typeface="黑体" panose="02010609060101010101" charset="-122"/>
                        <a:ea typeface="黑体" panose="02010609060101010101" charset="-122"/>
                        <a:cs typeface="黑体" panose="02010609060101010101" charset="-122"/>
                        <a:sym typeface="黑体" panose="02010609060101010101" charset="-122"/>
                      </a:rPr>
                      <a:t>1件</a:t>
                    </a:r>
                    <a:endParaRPr sz="1200">
                      <a:latin typeface="黑体" panose="02010609060101010101" charset="-122"/>
                      <a:ea typeface="黑体" panose="02010609060101010101" charset="-122"/>
                      <a:cs typeface="黑体" panose="02010609060101010101" charset="-122"/>
                      <a:sym typeface="黑体" panose="02010609060101010101" charset="-122"/>
                    </a:endParaRP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[工作簿1]Sheet1!$A$1:$C$2</c:f>
              <c:multiLvlStrCache>
                <c:ptCount val="3"/>
                <c:lvl>
                  <c:pt idx="0">
                    <c:v>2022年</c:v>
                  </c:pt>
                  <c:pt idx="1">
                    <c:v>2023年</c:v>
                  </c:pt>
                  <c:pt idx="2">
                    <c:v>2024年</c:v>
                  </c:pt>
                </c:lvl>
                <c:lvl/>
              </c:multiLvlStrCache>
            </c:multiLvlStrRef>
          </c:cat>
          <c:val>
            <c:numRef>
              <c:f>[工作簿1]Sheet1!$A$3:$C$3</c:f>
              <c:numCache>
                <c:formatCode>General</c:formatCode>
                <c:ptCount val="3"/>
                <c:pt idx="0">
                  <c:v>3</c:v>
                </c:pt>
                <c:pt idx="1">
                  <c:v>1</c:v>
                </c:pt>
                <c:pt idx="2">
                  <c:v>1</c:v>
                </c:pt>
              </c:numCache>
            </c:numRef>
          </c:val>
        </c:ser>
        <c:dLbls>
          <c:showLegendKey val="0"/>
          <c:showVal val="1"/>
          <c:showCatName val="0"/>
          <c:showSerName val="0"/>
          <c:showPercent val="0"/>
          <c:showBubbleSize val="0"/>
        </c:dLbls>
        <c:gapWidth val="150"/>
        <c:overlap val="-25"/>
        <c:axId val="684636007"/>
        <c:axId val="759596030"/>
      </c:barChart>
      <c:catAx>
        <c:axId val="68463600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p>
        </c:txPr>
        <c:crossAx val="759596030"/>
        <c:crosses val="autoZero"/>
        <c:auto val="1"/>
        <c:lblAlgn val="ctr"/>
        <c:lblOffset val="100"/>
        <c:noMultiLvlLbl val="0"/>
      </c:catAx>
      <c:valAx>
        <c:axId val="759596030"/>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4636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2987</Words>
  <Characters>3115</Characters>
  <Lines>0</Lines>
  <Paragraphs>0</Paragraphs>
  <TotalTime>54</TotalTime>
  <ScaleCrop>false</ScaleCrop>
  <LinksUpToDate>false</LinksUpToDate>
  <CharactersWithSpaces>3119</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2025-01-06T00:59:00Z</dcterms:created>
  <dc:creator>樊孝华</dc:creator>
  <cp:lastModifiedBy>Administrator</cp:lastModifiedBy>
  <dcterms:modified xsi:type="dcterms:W3CDTF">2025-01-17T02:56:17Z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C5FDD5F413494BF9A643234F0986A1C9_13</vt:lpwstr>
  </property>
  <property fmtid="{D5CDD505-2E9C-101B-9397-08002B2CF9AE}" pid="4" name="KSOTemplateDocerSaveRecord">
    <vt:lpwstr>eyJoZGlkIjoiZjk3NzUyY2E4YjQyMTFkZWJjNTViZmIxYWJjYTAzOWYiLCJ1c2VySWQiOiIzMTM1NDA3NzMifQ==</vt:lpwstr>
  </property>
</Properties>
</file>