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580" w:lineRule="exact"/>
        <w:rPr>
          <w:rFonts w:ascii="方正小标宋简体" w:hAnsi="方正小标宋简体" w:eastAsia="方正小标宋简体" w:cs="方正小标宋简体"/>
          <w:b w:val="0"/>
          <w:bCs/>
          <w:color w:val="000000"/>
        </w:rPr>
      </w:pPr>
      <w:bookmarkStart w:id="1" w:name="_GoBack"/>
      <w:bookmarkEnd w:id="1"/>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济宁市兖州区“十四五”民政事业</w:t>
      </w: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发展规划</w:t>
      </w:r>
    </w:p>
    <w:p>
      <w:pPr>
        <w:pageBreakBefore w:val="0"/>
        <w:kinsoku/>
        <w:wordWrap/>
        <w:topLinePunct w:val="0"/>
        <w:autoSpaceDE/>
        <w:autoSpaceDN/>
        <w:bidi w:val="0"/>
        <w:adjustRightInd/>
        <w:snapToGrid/>
        <w:spacing w:line="580" w:lineRule="exact"/>
        <w:jc w:val="left"/>
        <w:textAlignment w:val="auto"/>
        <w:outlineLvl w:val="0"/>
        <w:rPr>
          <w:rFonts w:ascii="Times New Roman" w:hAnsi="Times New Roman" w:eastAsia="仿宋_GB2312"/>
          <w:bCs/>
          <w:color w:val="000000"/>
          <w:sz w:val="32"/>
          <w:szCs w:val="32"/>
        </w:rPr>
      </w:pPr>
    </w:p>
    <w:p>
      <w:pPr>
        <w:pageBreakBefore w:val="0"/>
        <w:kinsoku/>
        <w:wordWrap/>
        <w:topLinePunct w:val="0"/>
        <w:autoSpaceDE/>
        <w:autoSpaceDN/>
        <w:bidi w:val="0"/>
        <w:adjustRightInd/>
        <w:snapToGrid/>
        <w:spacing w:line="580" w:lineRule="exact"/>
        <w:ind w:firstLine="640" w:firstLineChars="200"/>
        <w:jc w:val="left"/>
        <w:textAlignment w:val="auto"/>
        <w:outlineLvl w:val="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十四五”时期，是兖州区由全面建成小康社会向全面开启社会主义现代化建设新征程的重要机遇期。为增强发展动力，破解发展难题，厚植发展优势，积极开创民政事业发展新局面，根根据民政部、国家发展改革委《民政事业发展第十四个五年规划》、《山东省“十四五”民政事业发展规划》和</w:t>
      </w:r>
      <w:bookmarkStart w:id="0" w:name="_Toc762"/>
      <w:r>
        <w:rPr>
          <w:rFonts w:hint="eastAsia" w:ascii="Times New Roman" w:hAnsi="Times New Roman" w:eastAsia="仿宋_GB2312"/>
          <w:bCs/>
          <w:color w:val="000000"/>
          <w:sz w:val="32"/>
          <w:szCs w:val="32"/>
        </w:rPr>
        <w:t>《济宁市“十四五”民政事业发展规划》</w:t>
      </w:r>
      <w:bookmarkEnd w:id="0"/>
      <w:r>
        <w:rPr>
          <w:rFonts w:hint="eastAsia" w:ascii="Times New Roman" w:hAnsi="Times New Roman" w:eastAsia="仿宋_GB2312"/>
          <w:bCs/>
          <w:color w:val="000000"/>
          <w:sz w:val="32"/>
          <w:szCs w:val="32"/>
        </w:rPr>
        <w:t>，结合我区民政事业发展实际，制定本规划。</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规划期限：</w:t>
      </w:r>
      <w:r>
        <w:rPr>
          <w:rFonts w:ascii="仿宋_GB2312" w:hAnsi="仿宋_GB2312" w:eastAsia="仿宋_GB2312" w:cs="仿宋_GB2312"/>
          <w:b w:val="0"/>
          <w:bCs/>
          <w:color w:val="000000"/>
          <w:spacing w:val="0"/>
          <w:sz w:val="32"/>
          <w:szCs w:val="32"/>
        </w:rPr>
        <w:t>2021—2025</w:t>
      </w:r>
      <w:r>
        <w:rPr>
          <w:rFonts w:hint="eastAsia" w:ascii="仿宋_GB2312" w:hAnsi="仿宋_GB2312" w:eastAsia="仿宋_GB2312" w:cs="仿宋_GB2312"/>
          <w:b w:val="0"/>
          <w:bCs/>
          <w:color w:val="000000"/>
          <w:spacing w:val="0"/>
          <w:sz w:val="32"/>
          <w:szCs w:val="32"/>
        </w:rPr>
        <w:t>年</w:t>
      </w:r>
    </w:p>
    <w:p>
      <w:pPr>
        <w:pStyle w:val="22"/>
        <w:pageBreakBefore w:val="0"/>
        <w:kinsoku/>
        <w:wordWrap/>
        <w:topLinePunct w:val="0"/>
        <w:autoSpaceDE/>
        <w:autoSpaceDN/>
        <w:bidi w:val="0"/>
        <w:adjustRightInd/>
        <w:snapToGrid/>
        <w:spacing w:line="580" w:lineRule="exact"/>
        <w:textAlignment w:val="auto"/>
        <w:rPr>
          <w:rFonts w:ascii="Times New Roman"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Cs/>
          <w:color w:val="000000"/>
          <w:spacing w:val="0"/>
          <w:sz w:val="32"/>
          <w:szCs w:val="32"/>
        </w:rPr>
      </w:pPr>
      <w:r>
        <w:rPr>
          <w:rFonts w:hint="eastAsia" w:ascii="方正小标宋简体" w:hAnsi="方正小标宋简体" w:eastAsia="方正小标宋简体" w:cs="方正小标宋简体"/>
          <w:bCs/>
          <w:color w:val="000000"/>
          <w:spacing w:val="0"/>
          <w:sz w:val="32"/>
          <w:szCs w:val="32"/>
        </w:rPr>
        <w:t>第一章</w:t>
      </w:r>
      <w:r>
        <w:rPr>
          <w:rFonts w:ascii="方正小标宋简体" w:hAnsi="方正小标宋简体" w:eastAsia="方正小标宋简体" w:cs="方正小标宋简体"/>
          <w:bCs/>
          <w:color w:val="000000"/>
          <w:spacing w:val="0"/>
          <w:sz w:val="32"/>
          <w:szCs w:val="32"/>
        </w:rPr>
        <w:t xml:space="preserve"> </w:t>
      </w:r>
      <w:r>
        <w:rPr>
          <w:rFonts w:hint="eastAsia" w:ascii="方正小标宋简体" w:hAnsi="方正小标宋简体" w:eastAsia="方正小标宋简体" w:cs="方正小标宋简体"/>
          <w:bCs/>
          <w:color w:val="000000"/>
          <w:spacing w:val="0"/>
          <w:sz w:val="32"/>
          <w:szCs w:val="32"/>
        </w:rPr>
        <w:t>规划背景</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Style w:val="22"/>
        <w:pageBreakBefore w:val="0"/>
        <w:numPr>
          <w:ilvl w:val="0"/>
          <w:numId w:val="1"/>
        </w:numPr>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shd w:val="clear" w:color="auto" w:fill="FFFFFF"/>
        </w:rPr>
      </w:pPr>
      <w:r>
        <w:rPr>
          <w:rFonts w:hint="eastAsia" w:ascii="黑体" w:hAnsi="黑体" w:eastAsia="黑体" w:cs="黑体"/>
          <w:bCs/>
          <w:color w:val="000000"/>
          <w:spacing w:val="0"/>
          <w:sz w:val="32"/>
          <w:szCs w:val="32"/>
          <w:shd w:val="clear" w:color="auto" w:fill="FFFFFF"/>
        </w:rPr>
        <w:t>现实基础</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5"/>
        <w:jc w:val="both"/>
        <w:textAlignment w:val="auto"/>
        <w:rPr>
          <w:rFonts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rPr>
        <w:t>“十三五”期间，兖州区民政局紧紧围绕服务全区经济社会发展大局，牢牢把握以民为本，全面推动民政事业创新发展，在保障基本民生、增强社会活力、优化社会服务等方面取得显著成绩，为加快经济文化强区建设作出了积极贡献。</w:t>
      </w:r>
      <w:r>
        <w:rPr>
          <w:rFonts w:hint="eastAsia" w:ascii="仿宋_GB2312" w:hAnsi="仿宋_GB2312" w:eastAsia="仿宋_GB2312" w:cs="仿宋_GB2312"/>
          <w:b w:val="0"/>
          <w:bCs/>
          <w:color w:val="000000"/>
          <w:sz w:val="32"/>
          <w:szCs w:val="32"/>
        </w:rPr>
        <w:t>先后荣获济宁市文明单位</w:t>
      </w:r>
      <w:r>
        <w:rPr>
          <w:rFonts w:hint="eastAsia" w:ascii="仿宋_GB2312" w:hAnsi="仿宋_GB2312" w:eastAsia="仿宋_GB2312" w:cs="仿宋_GB2312"/>
          <w:b w:val="0"/>
          <w:bCs/>
          <w:color w:val="000000"/>
          <w:spacing w:val="0"/>
          <w:sz w:val="32"/>
          <w:szCs w:val="32"/>
        </w:rPr>
        <w:t>、全市民政工作先进集体等荣誉称号，婚姻登记处被全国妇联授予“全国三八红旗集体”，区社会福利中心改革成果被国家民政部、发改委评为公办养老机构改革优秀案例。我区民政工作在济宁市历次年度考核中均名列前茅。</w:t>
      </w:r>
    </w:p>
    <w:p>
      <w:pPr>
        <w:pStyle w:val="7"/>
        <w:pageBreakBefore w:val="0"/>
        <w:kinsoku/>
        <w:wordWrap/>
        <w:topLinePunct w:val="0"/>
        <w:autoSpaceDE/>
        <w:autoSpaceDN/>
        <w:bidi w:val="0"/>
        <w:adjustRightInd/>
        <w:snapToGrid/>
        <w:spacing w:after="0" w:line="580" w:lineRule="exact"/>
        <w:ind w:left="0" w:leftChars="0" w:firstLine="643"/>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shd w:val="clear" w:color="auto" w:fill="FFFFFF"/>
        </w:rPr>
        <w:t>一、社会救助</w:t>
      </w:r>
      <w:r>
        <w:rPr>
          <w:rFonts w:hint="eastAsia" w:ascii="楷体_GB2312" w:hAnsi="楷体_GB2312" w:eastAsia="楷体_GB2312" w:cs="楷体_GB2312"/>
          <w:b/>
          <w:bCs/>
          <w:color w:val="000000"/>
          <w:sz w:val="32"/>
          <w:szCs w:val="32"/>
        </w:rPr>
        <w:t>体系进一步完善</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困难群众基本生活保障更有力度</w:t>
      </w:r>
    </w:p>
    <w:p>
      <w:pPr>
        <w:pStyle w:val="7"/>
        <w:pageBreakBefore w:val="0"/>
        <w:kinsoku/>
        <w:wordWrap/>
        <w:topLinePunct w:val="0"/>
        <w:autoSpaceDE/>
        <w:autoSpaceDN/>
        <w:bidi w:val="0"/>
        <w:adjustRightInd/>
        <w:snapToGrid/>
        <w:spacing w:after="0" w:line="58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加强农村低保制度与扶贫政策衔接，开展社会救助兜底脱贫等系列行动，出台《关于进一步严明社会救助工作纪律全面落实监督管理主体责任的通知》和《关于进一步加强和规范低保管理工作的通知》等文件，规范动态管理机制、低保渐退期、重病重残“单人保”、救助主动告知等制度，落实城乡低保和特困人员供养标准自</w:t>
      </w:r>
      <w:r>
        <w:rPr>
          <w:rFonts w:hint="eastAsia" w:ascii="仿宋_GB2312" w:hAnsi="仿宋_GB2312" w:eastAsia="仿宋_GB2312" w:cs="仿宋_GB2312"/>
          <w:color w:val="000000"/>
          <w:kern w:val="0"/>
          <w:sz w:val="32"/>
          <w:szCs w:val="32"/>
        </w:rPr>
        <w:t>然增长机制。城镇农村低保人均月保障标准由</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年的</w:t>
      </w:r>
      <w:r>
        <w:rPr>
          <w:rFonts w:ascii="仿宋_GB2312" w:hAnsi="仿宋_GB2312" w:eastAsia="仿宋_GB2312" w:cs="仿宋_GB2312"/>
          <w:color w:val="000000"/>
          <w:kern w:val="0"/>
          <w:sz w:val="32"/>
          <w:szCs w:val="32"/>
        </w:rPr>
        <w:t>520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305</w:t>
      </w:r>
      <w:r>
        <w:rPr>
          <w:rFonts w:hint="eastAsia" w:ascii="仿宋_GB2312" w:hAnsi="仿宋_GB2312" w:eastAsia="仿宋_GB2312" w:cs="仿宋_GB2312"/>
          <w:color w:val="000000"/>
          <w:kern w:val="0"/>
          <w:sz w:val="32"/>
          <w:szCs w:val="32"/>
        </w:rPr>
        <w:t>元提高至目前的</w:t>
      </w:r>
      <w:r>
        <w:rPr>
          <w:rFonts w:ascii="仿宋_GB2312" w:hAnsi="仿宋_GB2312" w:eastAsia="仿宋_GB2312" w:cs="仿宋_GB2312"/>
          <w:color w:val="000000"/>
          <w:kern w:val="0"/>
          <w:sz w:val="32"/>
          <w:szCs w:val="32"/>
        </w:rPr>
        <w:t>630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475</w:t>
      </w:r>
      <w:r>
        <w:rPr>
          <w:rFonts w:hint="eastAsia" w:ascii="仿宋_GB2312" w:hAnsi="仿宋_GB2312" w:eastAsia="仿宋_GB2312" w:cs="仿宋_GB2312"/>
          <w:color w:val="000000"/>
          <w:kern w:val="0"/>
          <w:sz w:val="32"/>
          <w:szCs w:val="32"/>
        </w:rPr>
        <w:t>元，分别增长了</w:t>
      </w:r>
      <w:r>
        <w:rPr>
          <w:rFonts w:ascii="仿宋_GB2312" w:hAnsi="仿宋_GB2312" w:eastAsia="仿宋_GB2312" w:cs="仿宋_GB2312"/>
          <w:color w:val="000000"/>
          <w:kern w:val="0"/>
          <w:sz w:val="32"/>
          <w:szCs w:val="32"/>
        </w:rPr>
        <w:t>21.1</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55.7</w:t>
      </w:r>
      <w:r>
        <w:rPr>
          <w:rFonts w:hint="eastAsia" w:ascii="仿宋_GB2312" w:hAnsi="仿宋_GB2312" w:eastAsia="仿宋_GB2312" w:cs="仿宋_GB2312"/>
          <w:color w:val="000000"/>
          <w:kern w:val="0"/>
          <w:sz w:val="32"/>
          <w:szCs w:val="32"/>
        </w:rPr>
        <w:t>％。城乡特困人员供养标准由</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年的城镇</w:t>
      </w:r>
      <w:r>
        <w:rPr>
          <w:rFonts w:ascii="仿宋_GB2312" w:hAnsi="仿宋_GB2312" w:eastAsia="仿宋_GB2312" w:cs="仿宋_GB2312"/>
          <w:color w:val="000000"/>
          <w:kern w:val="0"/>
          <w:sz w:val="32"/>
          <w:szCs w:val="32"/>
        </w:rPr>
        <w:t>810</w:t>
      </w:r>
      <w:r>
        <w:rPr>
          <w:rFonts w:hint="eastAsia" w:ascii="仿宋_GB2312" w:hAnsi="仿宋_GB2312" w:eastAsia="仿宋_GB2312" w:cs="仿宋_GB2312"/>
          <w:color w:val="000000"/>
          <w:kern w:val="0"/>
          <w:sz w:val="32"/>
          <w:szCs w:val="32"/>
        </w:rPr>
        <w:t>元、农村集中供养</w:t>
      </w:r>
      <w:r>
        <w:rPr>
          <w:rFonts w:ascii="仿宋_GB2312" w:hAnsi="仿宋_GB2312" w:eastAsia="仿宋_GB2312" w:cs="仿宋_GB2312"/>
          <w:color w:val="000000"/>
          <w:kern w:val="0"/>
          <w:sz w:val="32"/>
          <w:szCs w:val="32"/>
        </w:rPr>
        <w:t>533.3</w:t>
      </w:r>
      <w:r>
        <w:rPr>
          <w:rFonts w:hint="eastAsia" w:ascii="仿宋_GB2312" w:hAnsi="仿宋_GB2312" w:eastAsia="仿宋_GB2312" w:cs="仿宋_GB2312"/>
          <w:color w:val="000000"/>
          <w:kern w:val="0"/>
          <w:sz w:val="32"/>
          <w:szCs w:val="32"/>
        </w:rPr>
        <w:t>元、农村分散供养</w:t>
      </w:r>
      <w:r>
        <w:rPr>
          <w:rFonts w:ascii="仿宋_GB2312" w:hAnsi="仿宋_GB2312" w:eastAsia="仿宋_GB2312" w:cs="仿宋_GB2312"/>
          <w:color w:val="000000"/>
          <w:kern w:val="0"/>
          <w:sz w:val="32"/>
          <w:szCs w:val="32"/>
        </w:rPr>
        <w:t>383.4</w:t>
      </w:r>
      <w:r>
        <w:rPr>
          <w:rFonts w:hint="eastAsia" w:ascii="仿宋_GB2312" w:hAnsi="仿宋_GB2312" w:eastAsia="仿宋_GB2312" w:cs="仿宋_GB2312"/>
          <w:color w:val="000000"/>
          <w:kern w:val="0"/>
          <w:sz w:val="32"/>
          <w:szCs w:val="32"/>
        </w:rPr>
        <w:t>元提高至</w:t>
      </w:r>
      <w:r>
        <w:rPr>
          <w:rFonts w:hint="eastAsia" w:ascii="仿宋_GB2312" w:hAnsi="仿宋_GB2312" w:eastAsia="仿宋_GB2312" w:cs="仿宋_GB2312"/>
          <w:color w:val="000000"/>
          <w:kern w:val="0"/>
          <w:sz w:val="32"/>
          <w:szCs w:val="32"/>
          <w:shd w:val="clear" w:color="auto" w:fill="FFFFFF"/>
        </w:rPr>
        <w:t>目前的城镇</w:t>
      </w:r>
      <w:r>
        <w:rPr>
          <w:rFonts w:ascii="仿宋_GB2312" w:hAnsi="仿宋_GB2312" w:eastAsia="仿宋_GB2312" w:cs="仿宋_GB2312"/>
          <w:color w:val="000000"/>
          <w:kern w:val="0"/>
          <w:sz w:val="32"/>
          <w:szCs w:val="32"/>
          <w:shd w:val="clear" w:color="auto" w:fill="FFFFFF"/>
        </w:rPr>
        <w:t>930</w:t>
      </w:r>
      <w:r>
        <w:rPr>
          <w:rFonts w:hint="eastAsia" w:ascii="仿宋_GB2312" w:hAnsi="仿宋_GB2312" w:eastAsia="仿宋_GB2312" w:cs="仿宋_GB2312"/>
          <w:color w:val="000000"/>
          <w:kern w:val="0"/>
          <w:sz w:val="32"/>
          <w:szCs w:val="32"/>
          <w:shd w:val="clear" w:color="auto" w:fill="FFFFFF"/>
        </w:rPr>
        <w:t>元，农村</w:t>
      </w:r>
      <w:r>
        <w:rPr>
          <w:rFonts w:ascii="仿宋_GB2312" w:hAnsi="仿宋_GB2312" w:eastAsia="仿宋_GB2312" w:cs="仿宋_GB2312"/>
          <w:color w:val="000000"/>
          <w:kern w:val="0"/>
          <w:sz w:val="32"/>
          <w:szCs w:val="32"/>
          <w:shd w:val="clear" w:color="auto" w:fill="FFFFFF"/>
        </w:rPr>
        <w:t>620</w:t>
      </w:r>
      <w:r>
        <w:rPr>
          <w:rFonts w:hint="eastAsia" w:ascii="仿宋_GB2312" w:hAnsi="仿宋_GB2312" w:eastAsia="仿宋_GB2312" w:cs="仿宋_GB2312"/>
          <w:color w:val="000000"/>
          <w:kern w:val="0"/>
          <w:sz w:val="32"/>
          <w:szCs w:val="32"/>
          <w:shd w:val="clear" w:color="auto" w:fill="FFFFFF"/>
        </w:rPr>
        <w:t>元，分别增长了</w:t>
      </w:r>
      <w:r>
        <w:rPr>
          <w:rFonts w:ascii="仿宋_GB2312" w:hAnsi="仿宋_GB2312" w:eastAsia="仿宋_GB2312" w:cs="仿宋_GB2312"/>
          <w:color w:val="000000"/>
          <w:kern w:val="0"/>
          <w:sz w:val="32"/>
          <w:szCs w:val="32"/>
          <w:shd w:val="clear" w:color="auto" w:fill="FFFFFF"/>
        </w:rPr>
        <w:t>14.8%</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16.2%</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61.7% </w:t>
      </w:r>
      <w:r>
        <w:rPr>
          <w:rFonts w:hint="eastAsia" w:ascii="仿宋_GB2312" w:hAnsi="仿宋_GB2312" w:eastAsia="仿宋_GB2312" w:cs="仿宋_GB2312"/>
          <w:color w:val="000000"/>
          <w:kern w:val="0"/>
          <w:sz w:val="32"/>
          <w:szCs w:val="32"/>
        </w:rPr>
        <w:t>。提高了我区困境儿童、困难残疾人和重度残疾人、经济困难老年人的生活水平，</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月累计发放困境儿童救助资金</w:t>
      </w:r>
      <w:r>
        <w:rPr>
          <w:rFonts w:ascii="仿宋_GB2312" w:hAnsi="仿宋_GB2312" w:eastAsia="仿宋_GB2312" w:cs="仿宋_GB2312"/>
          <w:color w:val="000000"/>
          <w:kern w:val="0"/>
          <w:sz w:val="32"/>
          <w:szCs w:val="32"/>
        </w:rPr>
        <w:t>917</w:t>
      </w:r>
      <w:r>
        <w:rPr>
          <w:rFonts w:hint="eastAsia" w:ascii="仿宋_GB2312" w:hAnsi="仿宋_GB2312" w:eastAsia="仿宋_GB2312" w:cs="仿宋_GB2312"/>
          <w:color w:val="000000"/>
          <w:kern w:val="0"/>
          <w:sz w:val="32"/>
          <w:szCs w:val="32"/>
        </w:rPr>
        <w:t>万元，残疾人两项补贴</w:t>
      </w:r>
      <w:r>
        <w:rPr>
          <w:rFonts w:ascii="仿宋_GB2312" w:hAnsi="仿宋_GB2312" w:eastAsia="仿宋_GB2312" w:cs="仿宋_GB2312"/>
          <w:color w:val="000000"/>
          <w:kern w:val="0"/>
          <w:sz w:val="32"/>
          <w:szCs w:val="32"/>
        </w:rPr>
        <w:t>4264</w:t>
      </w:r>
      <w:r>
        <w:rPr>
          <w:rFonts w:hint="eastAsia" w:ascii="仿宋_GB2312" w:hAnsi="仿宋_GB2312" w:eastAsia="仿宋_GB2312" w:cs="仿宋_GB2312"/>
          <w:color w:val="000000"/>
          <w:kern w:val="0"/>
          <w:sz w:val="32"/>
          <w:szCs w:val="32"/>
        </w:rPr>
        <w:t>万元，经济困难老年人补贴资金</w:t>
      </w:r>
      <w:r>
        <w:rPr>
          <w:rFonts w:ascii="仿宋_GB2312" w:hAnsi="仿宋_GB2312" w:eastAsia="仿宋_GB2312" w:cs="仿宋_GB2312"/>
          <w:color w:val="000000"/>
          <w:kern w:val="0"/>
          <w:sz w:val="32"/>
          <w:szCs w:val="32"/>
        </w:rPr>
        <w:t>724</w:t>
      </w:r>
      <w:r>
        <w:rPr>
          <w:rFonts w:hint="eastAsia" w:ascii="仿宋_GB2312" w:hAnsi="仿宋_GB2312" w:eastAsia="仿宋_GB2312" w:cs="仿宋_GB2312"/>
          <w:color w:val="000000"/>
          <w:kern w:val="0"/>
          <w:sz w:val="32"/>
          <w:szCs w:val="32"/>
        </w:rPr>
        <w:t>万元。推进“放管服”改革，将城乡低保、特困人员供养、临时救助、经济困难老年人补贴和残疾人两项补贴审批权下放。圆满完成全国“救急难”综合试点工作，全面落实临时救助备用金制度，针对物价上涨趋势，规范临时救助标准与当地城市低保标准挂钩机制，累计发放价格低保、特困人员临时生活补贴</w:t>
      </w:r>
      <w:r>
        <w:rPr>
          <w:rFonts w:ascii="仿宋_GB2312" w:hAnsi="仿宋_GB2312" w:eastAsia="仿宋_GB2312" w:cs="仿宋_GB2312"/>
          <w:color w:val="000000"/>
          <w:kern w:val="0"/>
          <w:sz w:val="32"/>
          <w:szCs w:val="32"/>
        </w:rPr>
        <w:t>469</w:t>
      </w:r>
      <w:r>
        <w:rPr>
          <w:rFonts w:hint="eastAsia" w:ascii="仿宋_GB2312" w:hAnsi="仿宋_GB2312" w:eastAsia="仿宋_GB2312" w:cs="仿宋_GB2312"/>
          <w:color w:val="000000"/>
          <w:kern w:val="0"/>
          <w:sz w:val="32"/>
          <w:szCs w:val="32"/>
        </w:rPr>
        <w:t>万元。</w:t>
      </w:r>
    </w:p>
    <w:p>
      <w:pPr>
        <w:pageBreakBefore w:val="0"/>
        <w:kinsoku/>
        <w:wordWrap/>
        <w:topLinePunct w:val="0"/>
        <w:autoSpaceDE/>
        <w:autoSpaceDN/>
        <w:bidi w:val="0"/>
        <w:adjustRightInd/>
        <w:snapToGrid/>
        <w:spacing w:line="580" w:lineRule="exact"/>
        <w:ind w:firstLine="643"/>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二、养老服务设施进一步健全，“老有所养”服务水平全面提升</w:t>
      </w:r>
    </w:p>
    <w:p>
      <w:pPr>
        <w:pageBreakBefore w:val="0"/>
        <w:kinsoku/>
        <w:wordWrap/>
        <w:overflowPunct w:val="0"/>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eastAsia="仿宋_GB2312"/>
          <w:sz w:val="32"/>
          <w:szCs w:val="32"/>
        </w:rPr>
        <w:t>十三五期间，我区承接全省困难家庭失能老年人集中供养试点工作和全国第二批中央财政支持开展居家和社区养老服务改革试点任务的历史机遇，全面加快推进养老服务体系建设，打造自身品牌化养老品牌，推动养老事业多元化、多样化发展。目前，已建成各类养老服务设施</w:t>
      </w:r>
      <w:r>
        <w:rPr>
          <w:rFonts w:eastAsia="仿宋_GB2312"/>
          <w:sz w:val="32"/>
          <w:szCs w:val="32"/>
        </w:rPr>
        <w:t>89</w:t>
      </w:r>
      <w:r>
        <w:rPr>
          <w:rFonts w:hint="eastAsia" w:eastAsia="仿宋_GB2312"/>
          <w:sz w:val="32"/>
          <w:szCs w:val="32"/>
        </w:rPr>
        <w:t>处，养老机构总数达到</w:t>
      </w:r>
      <w:r>
        <w:rPr>
          <w:rFonts w:eastAsia="仿宋_GB2312"/>
          <w:sz w:val="32"/>
          <w:szCs w:val="32"/>
        </w:rPr>
        <w:t>14</w:t>
      </w:r>
      <w:r>
        <w:rPr>
          <w:rFonts w:hint="eastAsia" w:eastAsia="仿宋_GB2312"/>
          <w:sz w:val="32"/>
          <w:szCs w:val="32"/>
        </w:rPr>
        <w:t>家，其中民办机构</w:t>
      </w:r>
      <w:r>
        <w:rPr>
          <w:rFonts w:eastAsia="仿宋_GB2312"/>
          <w:sz w:val="32"/>
          <w:szCs w:val="32"/>
        </w:rPr>
        <w:t>4</w:t>
      </w:r>
      <w:r>
        <w:rPr>
          <w:rFonts w:hint="eastAsia" w:eastAsia="仿宋_GB2312"/>
          <w:sz w:val="32"/>
          <w:szCs w:val="32"/>
        </w:rPr>
        <w:t>家，公建民营机构</w:t>
      </w:r>
      <w:r>
        <w:rPr>
          <w:rFonts w:eastAsia="仿宋_GB2312"/>
          <w:sz w:val="32"/>
          <w:szCs w:val="32"/>
        </w:rPr>
        <w:t>10</w:t>
      </w:r>
      <w:r>
        <w:rPr>
          <w:rFonts w:hint="eastAsia" w:eastAsia="仿宋_GB2312"/>
          <w:sz w:val="32"/>
          <w:szCs w:val="32"/>
        </w:rPr>
        <w:t>家，机构床位</w:t>
      </w:r>
      <w:r>
        <w:rPr>
          <w:rFonts w:eastAsia="仿宋_GB2312"/>
          <w:sz w:val="32"/>
          <w:szCs w:val="32"/>
        </w:rPr>
        <w:t>2577</w:t>
      </w:r>
      <w:r>
        <w:rPr>
          <w:rFonts w:hint="eastAsia" w:eastAsia="仿宋_GB2312"/>
          <w:sz w:val="32"/>
          <w:szCs w:val="32"/>
        </w:rPr>
        <w:t>张，平均千名老人拥有床位</w:t>
      </w:r>
      <w:r>
        <w:rPr>
          <w:rFonts w:eastAsia="仿宋_GB2312"/>
          <w:sz w:val="32"/>
          <w:szCs w:val="32"/>
        </w:rPr>
        <w:t>40</w:t>
      </w:r>
      <w:r>
        <w:rPr>
          <w:rFonts w:hint="eastAsia" w:eastAsia="仿宋_GB2312"/>
          <w:sz w:val="32"/>
          <w:szCs w:val="32"/>
        </w:rPr>
        <w:t>张，护理型床位占比</w:t>
      </w:r>
      <w:r>
        <w:rPr>
          <w:rFonts w:eastAsia="仿宋_GB2312"/>
          <w:sz w:val="32"/>
          <w:szCs w:val="32"/>
        </w:rPr>
        <w:t>31%</w:t>
      </w:r>
      <w:r>
        <w:rPr>
          <w:rFonts w:hint="eastAsia" w:eastAsia="仿宋_GB2312"/>
          <w:sz w:val="32"/>
          <w:szCs w:val="32"/>
        </w:rPr>
        <w:t>。先后被评为“全省医养结合示范先行区”，区社会福利中心改革成果被评为全国公办养老机构改革优秀案例。一是健全功能互补四级养老服务体系。分期分批建设</w:t>
      </w:r>
      <w:r>
        <w:rPr>
          <w:rFonts w:eastAsia="仿宋_GB2312"/>
          <w:sz w:val="32"/>
          <w:szCs w:val="32"/>
        </w:rPr>
        <w:t>53</w:t>
      </w:r>
      <w:r>
        <w:rPr>
          <w:rFonts w:hint="eastAsia" w:eastAsia="仿宋_GB2312"/>
          <w:sz w:val="32"/>
          <w:szCs w:val="32"/>
        </w:rPr>
        <w:t>处农村互助养老院，实现</w:t>
      </w:r>
      <w:r>
        <w:rPr>
          <w:rFonts w:eastAsia="仿宋_GB2312"/>
          <w:sz w:val="32"/>
          <w:szCs w:val="32"/>
        </w:rPr>
        <w:t>“</w:t>
      </w:r>
      <w:r>
        <w:rPr>
          <w:rFonts w:hint="eastAsia" w:eastAsia="仿宋_GB2312"/>
          <w:sz w:val="32"/>
          <w:szCs w:val="32"/>
        </w:rPr>
        <w:t>抱团养老、就地享福</w:t>
      </w:r>
      <w:r>
        <w:rPr>
          <w:rFonts w:eastAsia="仿宋_GB2312"/>
          <w:sz w:val="32"/>
          <w:szCs w:val="32"/>
        </w:rPr>
        <w:t>”</w:t>
      </w:r>
      <w:r>
        <w:rPr>
          <w:rFonts w:hint="eastAsia" w:eastAsia="仿宋_GB2312"/>
          <w:sz w:val="32"/>
          <w:szCs w:val="32"/>
        </w:rPr>
        <w:t>。社区建设</w:t>
      </w:r>
      <w:r>
        <w:rPr>
          <w:rFonts w:eastAsia="仿宋_GB2312"/>
          <w:sz w:val="32"/>
          <w:szCs w:val="32"/>
        </w:rPr>
        <w:t>16</w:t>
      </w:r>
      <w:r>
        <w:rPr>
          <w:rFonts w:hint="eastAsia" w:eastAsia="仿宋_GB2312"/>
          <w:sz w:val="32"/>
          <w:szCs w:val="32"/>
        </w:rPr>
        <w:t>处社区老年人日间照料中心，提供</w:t>
      </w:r>
      <w:r>
        <w:rPr>
          <w:rFonts w:eastAsia="仿宋_GB2312"/>
          <w:sz w:val="32"/>
          <w:szCs w:val="32"/>
        </w:rPr>
        <w:t>“</w:t>
      </w:r>
      <w:r>
        <w:rPr>
          <w:rFonts w:hint="eastAsia" w:eastAsia="仿宋_GB2312"/>
          <w:sz w:val="32"/>
          <w:szCs w:val="32"/>
        </w:rPr>
        <w:t>嵌入式养老</w:t>
      </w:r>
      <w:r>
        <w:rPr>
          <w:rFonts w:eastAsia="仿宋_GB2312"/>
          <w:sz w:val="32"/>
          <w:szCs w:val="32"/>
        </w:rPr>
        <w:t>”</w:t>
      </w:r>
      <w:r>
        <w:rPr>
          <w:rFonts w:hint="eastAsia" w:eastAsia="仿宋_GB2312"/>
          <w:sz w:val="32"/>
          <w:szCs w:val="32"/>
        </w:rPr>
        <w:t>服务。镇街抓好敬老院建设，发挥区域性养老服务中心辐射作用。区级抓好社会福利中心建设，为特殊困难群体提供兜底保障。二是形成</w:t>
      </w:r>
      <w:r>
        <w:rPr>
          <w:rFonts w:eastAsia="仿宋_GB2312"/>
          <w:sz w:val="32"/>
          <w:szCs w:val="32"/>
        </w:rPr>
        <w:t>“</w:t>
      </w:r>
      <w:r>
        <w:rPr>
          <w:rFonts w:hint="eastAsia" w:eastAsia="仿宋_GB2312"/>
          <w:sz w:val="32"/>
          <w:szCs w:val="32"/>
        </w:rPr>
        <w:t>公建民营、民办公助</w:t>
      </w:r>
      <w:r>
        <w:rPr>
          <w:rFonts w:eastAsia="仿宋_GB2312"/>
          <w:sz w:val="32"/>
          <w:szCs w:val="32"/>
        </w:rPr>
        <w:t>”</w:t>
      </w:r>
      <w:r>
        <w:rPr>
          <w:rFonts w:hint="eastAsia" w:eastAsia="仿宋_GB2312"/>
          <w:sz w:val="32"/>
          <w:szCs w:val="32"/>
        </w:rPr>
        <w:t>运作模式。全区</w:t>
      </w:r>
      <w:r>
        <w:rPr>
          <w:rFonts w:eastAsia="仿宋_GB2312"/>
          <w:sz w:val="32"/>
          <w:szCs w:val="32"/>
        </w:rPr>
        <w:t>7</w:t>
      </w:r>
      <w:r>
        <w:rPr>
          <w:rFonts w:hint="eastAsia" w:eastAsia="仿宋_GB2312"/>
          <w:sz w:val="32"/>
          <w:szCs w:val="32"/>
        </w:rPr>
        <w:t>家敬老院和社会福利中心引入专业养老服务第三方运营，为全区集中供养特困老人提供多样化、高质量的贴心服务，全力打造区域性养老服务产业高地。三是提升</w:t>
      </w:r>
      <w:r>
        <w:rPr>
          <w:rFonts w:eastAsia="仿宋_GB2312"/>
          <w:sz w:val="32"/>
          <w:szCs w:val="32"/>
        </w:rPr>
        <w:t>“</w:t>
      </w:r>
      <w:r>
        <w:rPr>
          <w:rFonts w:hint="eastAsia" w:eastAsia="仿宋_GB2312"/>
          <w:sz w:val="32"/>
          <w:szCs w:val="32"/>
        </w:rPr>
        <w:t>专业化、标准化</w:t>
      </w:r>
      <w:r>
        <w:rPr>
          <w:rFonts w:eastAsia="仿宋_GB2312"/>
          <w:sz w:val="32"/>
          <w:szCs w:val="32"/>
        </w:rPr>
        <w:t>”</w:t>
      </w:r>
      <w:r>
        <w:rPr>
          <w:rFonts w:hint="eastAsia" w:eastAsia="仿宋_GB2312"/>
          <w:sz w:val="32"/>
          <w:szCs w:val="32"/>
        </w:rPr>
        <w:t>水平。让专业人干专业事，培育孵化专业养老服务组织</w:t>
      </w:r>
      <w:r>
        <w:rPr>
          <w:rFonts w:eastAsia="仿宋_GB2312"/>
          <w:sz w:val="32"/>
          <w:szCs w:val="32"/>
        </w:rPr>
        <w:t>11</w:t>
      </w:r>
      <w:r>
        <w:rPr>
          <w:rFonts w:hint="eastAsia" w:eastAsia="仿宋_GB2312"/>
          <w:sz w:val="32"/>
          <w:szCs w:val="32"/>
        </w:rPr>
        <w:t>个，培训护理人员</w:t>
      </w:r>
      <w:r>
        <w:rPr>
          <w:rFonts w:eastAsia="仿宋_GB2312"/>
          <w:sz w:val="32"/>
          <w:szCs w:val="32"/>
        </w:rPr>
        <w:t>700</w:t>
      </w:r>
      <w:r>
        <w:rPr>
          <w:rFonts w:hint="eastAsia" w:eastAsia="仿宋_GB2312"/>
          <w:sz w:val="32"/>
          <w:szCs w:val="32"/>
        </w:rPr>
        <w:t>余名、养老服务评估人员</w:t>
      </w:r>
      <w:r>
        <w:rPr>
          <w:rFonts w:eastAsia="仿宋_GB2312"/>
          <w:sz w:val="32"/>
          <w:szCs w:val="32"/>
        </w:rPr>
        <w:t>29</w:t>
      </w:r>
      <w:r>
        <w:rPr>
          <w:rFonts w:hint="eastAsia" w:eastAsia="仿宋_GB2312"/>
          <w:sz w:val="32"/>
          <w:szCs w:val="32"/>
        </w:rPr>
        <w:t>名，总结推广设施建设、机构管理、卫生服务等标准化规范成果。四是打造</w:t>
      </w:r>
      <w:r>
        <w:rPr>
          <w:rFonts w:eastAsia="仿宋_GB2312"/>
          <w:sz w:val="32"/>
          <w:szCs w:val="32"/>
        </w:rPr>
        <w:t>“</w:t>
      </w:r>
      <w:r>
        <w:rPr>
          <w:rFonts w:hint="eastAsia" w:eastAsia="仿宋_GB2312"/>
          <w:sz w:val="32"/>
          <w:szCs w:val="32"/>
        </w:rPr>
        <w:t>没有围墙敬老院</w:t>
      </w:r>
      <w:r>
        <w:rPr>
          <w:rFonts w:eastAsia="仿宋_GB2312"/>
          <w:sz w:val="32"/>
          <w:szCs w:val="32"/>
        </w:rPr>
        <w:t>”</w:t>
      </w:r>
      <w:r>
        <w:rPr>
          <w:rFonts w:hint="eastAsia" w:eastAsia="仿宋_GB2312"/>
          <w:sz w:val="32"/>
          <w:szCs w:val="32"/>
        </w:rPr>
        <w:t>。建设</w:t>
      </w:r>
      <w:r>
        <w:rPr>
          <w:rFonts w:eastAsia="仿宋_GB2312"/>
          <w:sz w:val="32"/>
          <w:szCs w:val="32"/>
        </w:rPr>
        <w:t>12349</w:t>
      </w:r>
      <w:r>
        <w:rPr>
          <w:rFonts w:hint="eastAsia" w:eastAsia="仿宋_GB2312"/>
          <w:sz w:val="32"/>
          <w:szCs w:val="32"/>
        </w:rPr>
        <w:t>养老服务信息中心，整合</w:t>
      </w:r>
      <w:r>
        <w:rPr>
          <w:rFonts w:eastAsia="仿宋_GB2312"/>
          <w:sz w:val="32"/>
          <w:szCs w:val="32"/>
        </w:rPr>
        <w:t>200</w:t>
      </w:r>
      <w:r>
        <w:rPr>
          <w:rFonts w:hint="eastAsia" w:eastAsia="仿宋_GB2312"/>
          <w:sz w:val="32"/>
          <w:szCs w:val="32"/>
        </w:rPr>
        <w:t>余家养老服务提供商，为</w:t>
      </w:r>
      <w:r>
        <w:rPr>
          <w:rFonts w:eastAsia="仿宋_GB2312"/>
          <w:sz w:val="32"/>
          <w:szCs w:val="32"/>
        </w:rPr>
        <w:t>2.1</w:t>
      </w:r>
      <w:r>
        <w:rPr>
          <w:rFonts w:hint="eastAsia" w:eastAsia="仿宋_GB2312"/>
          <w:sz w:val="32"/>
          <w:szCs w:val="32"/>
        </w:rPr>
        <w:t>万名</w:t>
      </w:r>
      <w:r>
        <w:rPr>
          <w:rFonts w:eastAsia="仿宋_GB2312"/>
          <w:sz w:val="32"/>
          <w:szCs w:val="32"/>
        </w:rPr>
        <w:t>60</w:t>
      </w:r>
      <w:r>
        <w:rPr>
          <w:rFonts w:hint="eastAsia" w:eastAsia="仿宋_GB2312"/>
          <w:sz w:val="32"/>
          <w:szCs w:val="32"/>
        </w:rPr>
        <w:t>岁以上老年人开展健康指导、紧急援助、心理慰藉等全方位服务。组建兖州区志愿者协会</w:t>
      </w:r>
      <w:r>
        <w:rPr>
          <w:rFonts w:hint="eastAsia" w:eastAsia="仿宋_GB2312"/>
          <w:sz w:val="32"/>
          <w:szCs w:val="32"/>
          <w:lang w:eastAsia="zh-CN"/>
        </w:rPr>
        <w:t>，</w:t>
      </w:r>
      <w:r>
        <w:rPr>
          <w:rFonts w:hint="eastAsia" w:eastAsia="仿宋_GB2312"/>
          <w:sz w:val="32"/>
          <w:szCs w:val="32"/>
        </w:rPr>
        <w:t>老人足不出户就能享受生活照料、餐饮配送、家政保洁、医疗保健等服务。打造养老志愿服务与</w:t>
      </w:r>
      <w:r>
        <w:rPr>
          <w:rFonts w:eastAsia="仿宋_GB2312"/>
          <w:sz w:val="32"/>
          <w:szCs w:val="32"/>
        </w:rPr>
        <w:t>“</w:t>
      </w:r>
      <w:r>
        <w:rPr>
          <w:rFonts w:hint="eastAsia" w:eastAsia="仿宋_GB2312"/>
          <w:sz w:val="32"/>
          <w:szCs w:val="32"/>
        </w:rPr>
        <w:t>时间银行</w:t>
      </w:r>
      <w:r>
        <w:rPr>
          <w:rFonts w:eastAsia="仿宋_GB2312"/>
          <w:sz w:val="32"/>
          <w:szCs w:val="32"/>
        </w:rPr>
        <w:t>”</w:t>
      </w:r>
      <w:r>
        <w:rPr>
          <w:rFonts w:hint="eastAsia" w:eastAsia="仿宋_GB2312"/>
          <w:sz w:val="32"/>
          <w:szCs w:val="32"/>
        </w:rPr>
        <w:t>相结合的模式，引导更多社会人员加入养老志愿者队伍，激发全社会敬老助老热情。</w:t>
      </w:r>
    </w:p>
    <w:p>
      <w:pPr>
        <w:pStyle w:val="9"/>
        <w:pageBreakBefore w:val="0"/>
        <w:kinsoku/>
        <w:wordWrap/>
        <w:topLinePunct w:val="0"/>
        <w:autoSpaceDE/>
        <w:autoSpaceDN/>
        <w:bidi w:val="0"/>
        <w:adjustRightInd/>
        <w:snapToGrid/>
        <w:spacing w:before="0" w:beforeAutospacing="0" w:after="0" w:afterAutospacing="0" w:line="580" w:lineRule="exact"/>
        <w:ind w:firstLine="630" w:firstLineChars="196"/>
        <w:jc w:val="both"/>
        <w:textAlignment w:val="auto"/>
        <w:rPr>
          <w:rFonts w:ascii="楷体_GB2312" w:hAnsi="楷体_GB2312" w:eastAsia="楷体_GB2312" w:cs="楷体_GB2312"/>
          <w:b/>
          <w:bCs/>
          <w:color w:val="000000"/>
          <w:kern w:val="2"/>
          <w:sz w:val="32"/>
          <w:szCs w:val="32"/>
        </w:rPr>
      </w:pPr>
      <w:r>
        <w:rPr>
          <w:rFonts w:hint="eastAsia" w:ascii="楷体_GB2312" w:hAnsi="楷体_GB2312" w:eastAsia="楷体_GB2312" w:cs="楷体_GB2312"/>
          <w:b/>
          <w:bCs/>
          <w:color w:val="000000"/>
          <w:kern w:val="2"/>
          <w:sz w:val="32"/>
          <w:szCs w:val="32"/>
        </w:rPr>
        <w:t>三、社会事务管理进一步优化</w:t>
      </w:r>
      <w:r>
        <w:rPr>
          <w:rFonts w:ascii="楷体_GB2312" w:hAnsi="楷体_GB2312" w:eastAsia="楷体_GB2312" w:cs="楷体_GB2312"/>
          <w:b/>
          <w:bCs/>
          <w:color w:val="000000"/>
          <w:kern w:val="2"/>
          <w:sz w:val="32"/>
          <w:szCs w:val="32"/>
        </w:rPr>
        <w:t>,</w:t>
      </w:r>
      <w:r>
        <w:rPr>
          <w:rFonts w:hint="eastAsia" w:ascii="楷体_GB2312" w:hAnsi="楷体_GB2312" w:eastAsia="楷体_GB2312" w:cs="楷体_GB2312"/>
          <w:b/>
          <w:bCs/>
          <w:color w:val="000000"/>
          <w:kern w:val="2"/>
          <w:sz w:val="32"/>
          <w:szCs w:val="32"/>
        </w:rPr>
        <w:t>社会福利事业发展步伐加快</w:t>
      </w:r>
    </w:p>
    <w:p>
      <w:pPr>
        <w:pStyle w:val="9"/>
        <w:pageBreakBefore w:val="0"/>
        <w:kinsoku/>
        <w:wordWrap/>
        <w:topLinePunct w:val="0"/>
        <w:autoSpaceDE/>
        <w:autoSpaceDN/>
        <w:bidi w:val="0"/>
        <w:adjustRightInd/>
        <w:snapToGrid/>
        <w:spacing w:before="0" w:beforeAutospacing="0" w:after="0" w:afterAutospacing="0" w:line="580" w:lineRule="exact"/>
        <w:ind w:firstLine="643" w:firstLineChars="200"/>
        <w:jc w:val="both"/>
        <w:textAlignment w:val="auto"/>
        <w:rPr>
          <w:rFonts w:ascii="Calibri" w:hAnsi="Calibri" w:eastAsia="仿宋_GB2312" w:cs="Times New Roman"/>
          <w:kern w:val="2"/>
          <w:sz w:val="32"/>
          <w:szCs w:val="32"/>
          <w:shd w:val="clear" w:color="auto" w:fill="FFFFFF"/>
        </w:rPr>
      </w:pPr>
      <w:r>
        <w:rPr>
          <w:rFonts w:hint="eastAsia" w:ascii="Calibri" w:hAnsi="Calibri" w:eastAsia="仿宋_GB2312" w:cs="Times New Roman"/>
          <w:b/>
          <w:bCs/>
          <w:kern w:val="2"/>
          <w:sz w:val="32"/>
          <w:szCs w:val="32"/>
        </w:rPr>
        <w:t>一是移风易俗工作有序推进。</w:t>
      </w:r>
      <w:r>
        <w:rPr>
          <w:rFonts w:hint="eastAsia" w:ascii="Calibri" w:hAnsi="Calibri" w:eastAsia="仿宋_GB2312" w:cs="Times New Roman"/>
          <w:kern w:val="2"/>
          <w:sz w:val="32"/>
          <w:szCs w:val="32"/>
        </w:rPr>
        <w:t>近年来区民政局切实发挥红白理事会作用、遏制婚丧嫁娶大操大办，全面深化殡葬领域突出问题专项整治，兖州区移风易俗重点工作在全市群众满意度调查中持续</w:t>
      </w:r>
      <w:r>
        <w:rPr>
          <w:rFonts w:hint="eastAsia" w:ascii="Calibri" w:hAnsi="Calibri" w:eastAsia="仿宋_GB2312" w:cs="Times New Roman"/>
          <w:kern w:val="2"/>
          <w:sz w:val="32"/>
          <w:szCs w:val="32"/>
          <w:shd w:val="clear" w:color="auto" w:fill="FFFFFF"/>
        </w:rPr>
        <w:t>位居</w:t>
      </w:r>
      <w:r>
        <w:rPr>
          <w:rFonts w:hint="eastAsia" w:ascii="Calibri" w:hAnsi="Calibri" w:eastAsia="仿宋_GB2312" w:cs="Times New Roman"/>
          <w:kern w:val="2"/>
          <w:sz w:val="32"/>
          <w:szCs w:val="32"/>
        </w:rPr>
        <w:t>全市前列。</w:t>
      </w:r>
      <w:r>
        <w:rPr>
          <w:rFonts w:hint="eastAsia" w:ascii="Calibri" w:hAnsi="Calibri" w:eastAsia="仿宋_GB2312" w:cs="Times New Roman"/>
          <w:b/>
          <w:bCs/>
          <w:kern w:val="2"/>
          <w:sz w:val="32"/>
          <w:szCs w:val="32"/>
        </w:rPr>
        <w:t>二是社会事务管理更加规范。</w:t>
      </w:r>
      <w:r>
        <w:rPr>
          <w:rFonts w:hint="eastAsia" w:ascii="Calibri" w:hAnsi="Calibri" w:eastAsia="仿宋_GB2312" w:cs="Times New Roman"/>
          <w:kern w:val="2"/>
          <w:sz w:val="32"/>
          <w:szCs w:val="32"/>
        </w:rPr>
        <w:t>“十三五”期间，区民政局婚姻登记处共办理结婚登记</w:t>
      </w:r>
      <w:r>
        <w:rPr>
          <w:rFonts w:ascii="Calibri" w:hAnsi="Calibri" w:eastAsia="仿宋_GB2312" w:cs="Times New Roman"/>
          <w:kern w:val="2"/>
          <w:sz w:val="32"/>
          <w:szCs w:val="32"/>
        </w:rPr>
        <w:t>13576</w:t>
      </w:r>
      <w:r>
        <w:rPr>
          <w:rFonts w:hint="eastAsia" w:ascii="Calibri" w:hAnsi="Calibri" w:eastAsia="仿宋_GB2312" w:cs="Times New Roman"/>
          <w:kern w:val="2"/>
          <w:sz w:val="32"/>
          <w:szCs w:val="32"/>
        </w:rPr>
        <w:t>对，离婚登记</w:t>
      </w:r>
      <w:r>
        <w:rPr>
          <w:rFonts w:ascii="Calibri" w:hAnsi="Calibri" w:eastAsia="仿宋_GB2312" w:cs="Times New Roman"/>
          <w:kern w:val="2"/>
          <w:sz w:val="32"/>
          <w:szCs w:val="32"/>
        </w:rPr>
        <w:t>6271</w:t>
      </w:r>
      <w:r>
        <w:rPr>
          <w:rFonts w:hint="eastAsia" w:ascii="Calibri" w:hAnsi="Calibri" w:eastAsia="仿宋_GB2312" w:cs="Times New Roman"/>
          <w:kern w:val="2"/>
          <w:sz w:val="32"/>
          <w:szCs w:val="32"/>
        </w:rPr>
        <w:t>对，补发结婚证</w:t>
      </w:r>
      <w:r>
        <w:rPr>
          <w:rFonts w:ascii="Calibri" w:hAnsi="Calibri" w:eastAsia="仿宋_GB2312" w:cs="Times New Roman"/>
          <w:kern w:val="2"/>
          <w:sz w:val="32"/>
          <w:szCs w:val="32"/>
        </w:rPr>
        <w:t>5431</w:t>
      </w:r>
      <w:r>
        <w:rPr>
          <w:rFonts w:hint="eastAsia" w:ascii="Calibri" w:hAnsi="Calibri" w:eastAsia="仿宋_GB2312" w:cs="Times New Roman"/>
          <w:kern w:val="2"/>
          <w:sz w:val="32"/>
          <w:szCs w:val="32"/>
        </w:rPr>
        <w:t>对，补发离婚证</w:t>
      </w:r>
      <w:r>
        <w:rPr>
          <w:rFonts w:ascii="Calibri" w:hAnsi="Calibri" w:eastAsia="仿宋_GB2312" w:cs="Times New Roman"/>
          <w:kern w:val="2"/>
          <w:sz w:val="32"/>
          <w:szCs w:val="32"/>
        </w:rPr>
        <w:t>602</w:t>
      </w:r>
      <w:r>
        <w:rPr>
          <w:rFonts w:hint="eastAsia" w:ascii="Calibri" w:hAnsi="Calibri" w:eastAsia="仿宋_GB2312" w:cs="Times New Roman"/>
          <w:kern w:val="2"/>
          <w:sz w:val="32"/>
          <w:szCs w:val="32"/>
        </w:rPr>
        <w:t>件，登记合格率达</w:t>
      </w:r>
      <w:r>
        <w:rPr>
          <w:rFonts w:ascii="Calibri" w:hAnsi="Calibri" w:eastAsia="仿宋_GB2312" w:cs="Times New Roman"/>
          <w:kern w:val="2"/>
          <w:sz w:val="32"/>
          <w:szCs w:val="32"/>
        </w:rPr>
        <w:t>100%</w:t>
      </w:r>
      <w:r>
        <w:rPr>
          <w:rFonts w:hint="eastAsia" w:ascii="Calibri" w:hAnsi="Calibri" w:eastAsia="仿宋_GB2312" w:cs="Times New Roman"/>
          <w:kern w:val="2"/>
          <w:sz w:val="32"/>
          <w:szCs w:val="32"/>
        </w:rPr>
        <w:t>。与区妇联合成立的婚姻家庭辅导中心劝和率达到</w:t>
      </w:r>
      <w:r>
        <w:rPr>
          <w:rFonts w:ascii="Calibri" w:hAnsi="Calibri" w:eastAsia="仿宋_GB2312" w:cs="Times New Roman"/>
          <w:kern w:val="2"/>
          <w:sz w:val="32"/>
          <w:szCs w:val="32"/>
        </w:rPr>
        <w:t>35%</w:t>
      </w:r>
      <w:r>
        <w:rPr>
          <w:rFonts w:hint="eastAsia" w:ascii="Calibri" w:hAnsi="Calibri" w:eastAsia="仿宋_GB2312" w:cs="Times New Roman"/>
          <w:kern w:val="2"/>
          <w:sz w:val="32"/>
          <w:szCs w:val="32"/>
        </w:rPr>
        <w:t>，切实缓和家庭矛盾，减少冲动离婚。持续推进四项全免惠民政策，十三五期间共火化遗体</w:t>
      </w:r>
      <w:r>
        <w:rPr>
          <w:rFonts w:ascii="Calibri" w:hAnsi="Calibri" w:eastAsia="仿宋_GB2312" w:cs="Times New Roman"/>
          <w:kern w:val="2"/>
          <w:sz w:val="32"/>
          <w:szCs w:val="32"/>
        </w:rPr>
        <w:t>2047</w:t>
      </w:r>
      <w:r>
        <w:rPr>
          <w:rFonts w:hint="eastAsia" w:ascii="Calibri" w:hAnsi="Calibri" w:eastAsia="仿宋_GB2312" w:cs="Times New Roman"/>
          <w:kern w:val="2"/>
          <w:sz w:val="32"/>
          <w:szCs w:val="32"/>
        </w:rPr>
        <w:t>具，减免</w:t>
      </w:r>
      <w:r>
        <w:rPr>
          <w:rFonts w:ascii="Calibri" w:hAnsi="Calibri" w:eastAsia="仿宋_GB2312" w:cs="Times New Roman"/>
          <w:kern w:val="2"/>
          <w:sz w:val="32"/>
          <w:szCs w:val="32"/>
        </w:rPr>
        <w:t>900</w:t>
      </w:r>
      <w:r>
        <w:rPr>
          <w:rFonts w:hint="eastAsia" w:ascii="Calibri" w:hAnsi="Calibri" w:eastAsia="仿宋_GB2312" w:cs="Times New Roman"/>
          <w:kern w:val="2"/>
          <w:sz w:val="32"/>
          <w:szCs w:val="32"/>
        </w:rPr>
        <w:t>余万元。</w:t>
      </w:r>
      <w:r>
        <w:rPr>
          <w:rFonts w:hint="eastAsia" w:ascii="Calibri" w:hAnsi="Calibri" w:eastAsia="仿宋_GB2312" w:cs="Times New Roman"/>
          <w:b/>
          <w:bCs/>
          <w:kern w:val="2"/>
          <w:sz w:val="32"/>
          <w:szCs w:val="32"/>
        </w:rPr>
        <w:t>三是特殊困难群众得到有效救助。</w:t>
      </w:r>
      <w:r>
        <w:rPr>
          <w:rFonts w:ascii="Calibri" w:hAnsi="Calibri" w:eastAsia="仿宋_GB2312" w:cs="Times New Roman"/>
          <w:kern w:val="2"/>
          <w:sz w:val="32"/>
          <w:szCs w:val="32"/>
        </w:rPr>
        <w:t>2016</w:t>
      </w:r>
      <w:r>
        <w:rPr>
          <w:rFonts w:hint="eastAsia" w:ascii="Calibri" w:hAnsi="Calibri" w:eastAsia="仿宋_GB2312" w:cs="Times New Roman"/>
          <w:kern w:val="2"/>
          <w:sz w:val="32"/>
          <w:szCs w:val="32"/>
        </w:rPr>
        <w:t>年以来共救助生活无流浪乞讨人员</w:t>
      </w:r>
      <w:r>
        <w:rPr>
          <w:rFonts w:ascii="Calibri" w:hAnsi="Calibri" w:eastAsia="仿宋_GB2312" w:cs="Times New Roman"/>
          <w:kern w:val="2"/>
          <w:sz w:val="32"/>
          <w:szCs w:val="32"/>
        </w:rPr>
        <w:t>323</w:t>
      </w:r>
      <w:r>
        <w:rPr>
          <w:rFonts w:hint="eastAsia" w:ascii="Calibri" w:hAnsi="Calibri" w:eastAsia="仿宋_GB2312" w:cs="Times New Roman"/>
          <w:kern w:val="2"/>
          <w:sz w:val="32"/>
          <w:szCs w:val="32"/>
        </w:rPr>
        <w:t>人，投入资金</w:t>
      </w:r>
      <w:r>
        <w:rPr>
          <w:rFonts w:ascii="Calibri" w:hAnsi="Calibri" w:eastAsia="仿宋_GB2312" w:cs="Times New Roman"/>
          <w:kern w:val="2"/>
          <w:sz w:val="32"/>
          <w:szCs w:val="32"/>
        </w:rPr>
        <w:t>420</w:t>
      </w:r>
      <w:r>
        <w:rPr>
          <w:rFonts w:hint="eastAsia" w:ascii="Calibri" w:hAnsi="Calibri" w:eastAsia="仿宋_GB2312" w:cs="Times New Roman"/>
          <w:kern w:val="2"/>
          <w:sz w:val="32"/>
          <w:szCs w:val="32"/>
        </w:rPr>
        <w:t>余万元用于流浪乞讨精神病人救治工作，帮助</w:t>
      </w:r>
      <w:r>
        <w:rPr>
          <w:rFonts w:ascii="Calibri" w:hAnsi="Calibri" w:eastAsia="仿宋_GB2312" w:cs="Times New Roman"/>
          <w:kern w:val="2"/>
          <w:sz w:val="32"/>
          <w:szCs w:val="32"/>
        </w:rPr>
        <w:t>305</w:t>
      </w:r>
      <w:r>
        <w:rPr>
          <w:rFonts w:hint="eastAsia" w:ascii="Calibri" w:hAnsi="Calibri" w:eastAsia="仿宋_GB2312" w:cs="Times New Roman"/>
          <w:kern w:val="2"/>
          <w:sz w:val="32"/>
          <w:szCs w:val="32"/>
        </w:rPr>
        <w:t>名流浪乞讨人员成功返乡。同时筹备兖州区救助管理站建设工作。十三五期间，社会散居孤儿和事实无人托养儿童每人每月基本生活费标准</w:t>
      </w:r>
      <w:r>
        <w:rPr>
          <w:rFonts w:hint="eastAsia" w:ascii="Calibri" w:hAnsi="Calibri" w:eastAsia="仿宋_GB2312" w:cs="Times New Roman"/>
          <w:kern w:val="2"/>
          <w:sz w:val="32"/>
          <w:szCs w:val="32"/>
          <w:shd w:val="clear" w:color="auto" w:fill="FFFFFF"/>
        </w:rPr>
        <w:t>由</w:t>
      </w:r>
      <w:r>
        <w:rPr>
          <w:rFonts w:ascii="Calibri" w:hAnsi="Calibri" w:eastAsia="仿宋_GB2312" w:cs="Times New Roman"/>
          <w:kern w:val="2"/>
          <w:sz w:val="32"/>
          <w:szCs w:val="32"/>
          <w:shd w:val="clear" w:color="auto" w:fill="FFFFFF"/>
        </w:rPr>
        <w:t>2016</w:t>
      </w:r>
      <w:r>
        <w:rPr>
          <w:rFonts w:hint="eastAsia" w:ascii="Calibri" w:hAnsi="Calibri" w:eastAsia="仿宋_GB2312" w:cs="Times New Roman"/>
          <w:kern w:val="2"/>
          <w:sz w:val="32"/>
          <w:szCs w:val="32"/>
          <w:shd w:val="clear" w:color="auto" w:fill="FFFFFF"/>
        </w:rPr>
        <w:t>年的</w:t>
      </w:r>
      <w:r>
        <w:rPr>
          <w:rFonts w:ascii="Calibri" w:hAnsi="Calibri" w:eastAsia="仿宋_GB2312" w:cs="Times New Roman"/>
          <w:kern w:val="2"/>
          <w:sz w:val="32"/>
          <w:szCs w:val="32"/>
          <w:shd w:val="clear" w:color="auto" w:fill="FFFFFF"/>
        </w:rPr>
        <w:t>7</w:t>
      </w:r>
      <w:r>
        <w:rPr>
          <w:rFonts w:ascii="Calibri" w:hAnsi="Calibri" w:eastAsia="仿宋_GB2312" w:cs="Times New Roman"/>
          <w:kern w:val="2"/>
          <w:sz w:val="32"/>
          <w:szCs w:val="32"/>
        </w:rPr>
        <w:t>20</w:t>
      </w:r>
      <w:r>
        <w:rPr>
          <w:rFonts w:hint="eastAsia" w:ascii="Calibri" w:hAnsi="Calibri" w:eastAsia="仿宋_GB2312" w:cs="Times New Roman"/>
          <w:kern w:val="2"/>
          <w:sz w:val="32"/>
          <w:szCs w:val="32"/>
        </w:rPr>
        <w:t>元提高到</w:t>
      </w:r>
      <w:r>
        <w:rPr>
          <w:rFonts w:ascii="Calibri" w:hAnsi="Calibri" w:eastAsia="仿宋_GB2312" w:cs="Times New Roman"/>
          <w:kern w:val="2"/>
          <w:sz w:val="32"/>
          <w:szCs w:val="32"/>
        </w:rPr>
        <w:t>1400</w:t>
      </w:r>
      <w:r>
        <w:rPr>
          <w:rFonts w:hint="eastAsia" w:ascii="Calibri" w:hAnsi="Calibri" w:eastAsia="仿宋_GB2312" w:cs="Times New Roman"/>
          <w:kern w:val="2"/>
          <w:sz w:val="32"/>
          <w:szCs w:val="32"/>
        </w:rPr>
        <w:t>元</w:t>
      </w:r>
      <w:r>
        <w:rPr>
          <w:rFonts w:ascii="Calibri" w:hAnsi="Calibri" w:eastAsia="仿宋_GB2312" w:cs="Times New Roman"/>
          <w:kern w:val="2"/>
          <w:sz w:val="32"/>
          <w:szCs w:val="32"/>
        </w:rPr>
        <w:t>,</w:t>
      </w:r>
      <w:r>
        <w:rPr>
          <w:rFonts w:hint="eastAsia" w:ascii="Calibri" w:hAnsi="Calibri" w:eastAsia="仿宋_GB2312" w:cs="Times New Roman"/>
          <w:kern w:val="2"/>
          <w:sz w:val="32"/>
          <w:szCs w:val="32"/>
        </w:rPr>
        <w:t>同时在全区</w:t>
      </w:r>
      <w:r>
        <w:rPr>
          <w:rFonts w:ascii="Calibri" w:hAnsi="Calibri" w:eastAsia="仿宋_GB2312" w:cs="Times New Roman"/>
          <w:kern w:val="2"/>
          <w:sz w:val="32"/>
          <w:szCs w:val="32"/>
        </w:rPr>
        <w:t>5</w:t>
      </w:r>
      <w:r>
        <w:rPr>
          <w:rFonts w:hint="eastAsia" w:ascii="Calibri" w:hAnsi="Calibri" w:eastAsia="仿宋_GB2312" w:cs="Times New Roman"/>
          <w:kern w:val="2"/>
          <w:sz w:val="32"/>
          <w:szCs w:val="32"/>
        </w:rPr>
        <w:t>个镇街成立了</w:t>
      </w:r>
      <w:r>
        <w:rPr>
          <w:rFonts w:ascii="Calibri" w:hAnsi="Calibri" w:eastAsia="仿宋_GB2312" w:cs="Times New Roman"/>
          <w:kern w:val="2"/>
          <w:sz w:val="32"/>
          <w:szCs w:val="32"/>
        </w:rPr>
        <w:t>6</w:t>
      </w:r>
      <w:r>
        <w:rPr>
          <w:rFonts w:hint="eastAsia" w:ascii="Calibri" w:hAnsi="Calibri" w:eastAsia="仿宋_GB2312" w:cs="Times New Roman"/>
          <w:kern w:val="2"/>
          <w:sz w:val="32"/>
          <w:szCs w:val="32"/>
        </w:rPr>
        <w:t>家儿童关爱之家，动员各界社会力量对困境儿童进行关爱帮助。</w:t>
      </w:r>
      <w:r>
        <w:rPr>
          <w:rFonts w:hint="eastAsia" w:ascii="Calibri" w:hAnsi="Calibri" w:eastAsia="仿宋_GB2312" w:cs="Times New Roman"/>
          <w:b/>
          <w:bCs/>
          <w:kern w:val="2"/>
          <w:sz w:val="32"/>
          <w:szCs w:val="32"/>
        </w:rPr>
        <w:t>四是慈善社工队伍不断增强。</w:t>
      </w:r>
      <w:r>
        <w:rPr>
          <w:rFonts w:hint="eastAsia" w:ascii="Calibri" w:hAnsi="Calibri" w:eastAsia="仿宋_GB2312" w:cs="Times New Roman"/>
          <w:kern w:val="2"/>
          <w:sz w:val="32"/>
          <w:szCs w:val="32"/>
        </w:rPr>
        <w:t>截至目前，全区共有持证专业社会工作者</w:t>
      </w:r>
      <w:r>
        <w:rPr>
          <w:rFonts w:ascii="Calibri" w:hAnsi="Calibri" w:eastAsia="仿宋_GB2312" w:cs="Times New Roman"/>
          <w:kern w:val="2"/>
          <w:sz w:val="32"/>
          <w:szCs w:val="32"/>
        </w:rPr>
        <w:t>122</w:t>
      </w:r>
      <w:r>
        <w:rPr>
          <w:rFonts w:hint="eastAsia" w:ascii="Calibri" w:hAnsi="Calibri" w:eastAsia="仿宋_GB2312" w:cs="Times New Roman"/>
          <w:kern w:val="2"/>
          <w:sz w:val="32"/>
          <w:szCs w:val="32"/>
        </w:rPr>
        <w:t>名，（其中助理社会工作师</w:t>
      </w:r>
      <w:r>
        <w:rPr>
          <w:rFonts w:ascii="Calibri" w:hAnsi="Calibri" w:eastAsia="仿宋_GB2312" w:cs="Times New Roman"/>
          <w:kern w:val="2"/>
          <w:sz w:val="32"/>
          <w:szCs w:val="32"/>
        </w:rPr>
        <w:t>67</w:t>
      </w:r>
      <w:r>
        <w:rPr>
          <w:rFonts w:hint="eastAsia" w:ascii="Calibri" w:hAnsi="Calibri" w:eastAsia="仿宋_GB2312" w:cs="Times New Roman"/>
          <w:kern w:val="2"/>
          <w:sz w:val="32"/>
          <w:szCs w:val="32"/>
        </w:rPr>
        <w:t>名，社会工作师</w:t>
      </w:r>
      <w:r>
        <w:rPr>
          <w:rFonts w:ascii="Calibri" w:hAnsi="Calibri" w:eastAsia="仿宋_GB2312" w:cs="Times New Roman"/>
          <w:kern w:val="2"/>
          <w:sz w:val="32"/>
          <w:szCs w:val="32"/>
        </w:rPr>
        <w:t>55</w:t>
      </w:r>
      <w:r>
        <w:rPr>
          <w:rFonts w:hint="eastAsia" w:ascii="Calibri" w:hAnsi="Calibri" w:eastAsia="仿宋_GB2312" w:cs="Times New Roman"/>
          <w:kern w:val="2"/>
          <w:sz w:val="32"/>
          <w:szCs w:val="32"/>
        </w:rPr>
        <w:t>名）。共成立志愿服务队</w:t>
      </w:r>
      <w:r>
        <w:rPr>
          <w:rFonts w:ascii="Calibri" w:hAnsi="Calibri" w:eastAsia="仿宋_GB2312" w:cs="Times New Roman"/>
          <w:kern w:val="2"/>
          <w:sz w:val="32"/>
          <w:szCs w:val="32"/>
        </w:rPr>
        <w:t>1256</w:t>
      </w:r>
      <w:r>
        <w:rPr>
          <w:rFonts w:hint="eastAsia" w:ascii="Calibri" w:hAnsi="Calibri" w:eastAsia="仿宋_GB2312" w:cs="Times New Roman"/>
          <w:kern w:val="2"/>
          <w:sz w:val="32"/>
          <w:szCs w:val="32"/>
          <w:shd w:val="clear" w:color="auto" w:fill="FFFFFF"/>
        </w:rPr>
        <w:t>支，实名注册志愿者</w:t>
      </w:r>
      <w:r>
        <w:rPr>
          <w:rFonts w:ascii="Calibri" w:hAnsi="Calibri" w:eastAsia="仿宋_GB2312" w:cs="Times New Roman"/>
          <w:kern w:val="2"/>
          <w:sz w:val="32"/>
          <w:szCs w:val="32"/>
          <w:shd w:val="clear" w:color="auto" w:fill="FFFFFF"/>
        </w:rPr>
        <w:t>8.5</w:t>
      </w:r>
      <w:r>
        <w:rPr>
          <w:rFonts w:hint="eastAsia" w:ascii="Calibri" w:hAnsi="Calibri" w:eastAsia="仿宋_GB2312" w:cs="Times New Roman"/>
          <w:kern w:val="2"/>
          <w:sz w:val="32"/>
          <w:szCs w:val="32"/>
          <w:shd w:val="clear" w:color="auto" w:fill="FFFFFF"/>
        </w:rPr>
        <w:t>万余人</w:t>
      </w:r>
      <w:r>
        <w:rPr>
          <w:rFonts w:ascii="Calibri" w:hAnsi="Calibri" w:eastAsia="仿宋_GB2312" w:cs="Times New Roman"/>
          <w:kern w:val="2"/>
          <w:sz w:val="32"/>
          <w:szCs w:val="32"/>
          <w:shd w:val="clear" w:color="auto" w:fill="FFFFFF"/>
        </w:rPr>
        <w:t>(</w:t>
      </w:r>
      <w:r>
        <w:rPr>
          <w:rFonts w:hint="eastAsia" w:ascii="Calibri" w:hAnsi="Calibri" w:eastAsia="仿宋_GB2312" w:cs="Times New Roman"/>
          <w:kern w:val="2"/>
          <w:sz w:val="32"/>
          <w:szCs w:val="32"/>
          <w:shd w:val="clear" w:color="auto" w:fill="FFFFFF"/>
        </w:rPr>
        <w:t>占全区总人口的</w:t>
      </w:r>
      <w:r>
        <w:rPr>
          <w:rFonts w:ascii="Calibri" w:hAnsi="Calibri" w:eastAsia="仿宋_GB2312" w:cs="Times New Roman"/>
          <w:kern w:val="2"/>
          <w:sz w:val="32"/>
          <w:szCs w:val="32"/>
          <w:shd w:val="clear" w:color="auto" w:fill="FFFFFF"/>
        </w:rPr>
        <w:t>15.3%</w:t>
      </w:r>
      <w:r>
        <w:rPr>
          <w:rFonts w:hint="eastAsia" w:ascii="Calibri" w:hAnsi="Calibri" w:eastAsia="仿宋_GB2312" w:cs="Times New Roman"/>
          <w:kern w:val="2"/>
          <w:sz w:val="32"/>
          <w:szCs w:val="32"/>
          <w:shd w:val="clear" w:color="auto" w:fill="FFFFFF"/>
        </w:rPr>
        <w:t>，提前完成“十三五”规划中志愿者注册比例</w:t>
      </w:r>
      <w:r>
        <w:rPr>
          <w:rFonts w:ascii="Calibri" w:hAnsi="Calibri" w:eastAsia="仿宋_GB2312" w:cs="Times New Roman"/>
          <w:kern w:val="2"/>
          <w:sz w:val="32"/>
          <w:szCs w:val="32"/>
          <w:shd w:val="clear" w:color="auto" w:fill="FFFFFF"/>
        </w:rPr>
        <w:t>13%</w:t>
      </w:r>
      <w:r>
        <w:rPr>
          <w:rFonts w:hint="eastAsia" w:ascii="Calibri" w:hAnsi="Calibri" w:eastAsia="仿宋_GB2312" w:cs="Times New Roman"/>
          <w:kern w:val="2"/>
          <w:sz w:val="32"/>
          <w:szCs w:val="32"/>
          <w:shd w:val="clear" w:color="auto" w:fill="FFFFFF"/>
        </w:rPr>
        <w:t>的目标任务</w:t>
      </w:r>
      <w:r>
        <w:rPr>
          <w:rFonts w:ascii="Calibri" w:hAnsi="Calibri" w:eastAsia="仿宋_GB2312" w:cs="Times New Roman"/>
          <w:kern w:val="2"/>
          <w:sz w:val="32"/>
          <w:szCs w:val="32"/>
          <w:shd w:val="clear" w:color="auto" w:fill="FFFFFF"/>
        </w:rPr>
        <w:t>)</w:t>
      </w:r>
      <w:r>
        <w:rPr>
          <w:rFonts w:hint="eastAsia" w:ascii="Calibri" w:hAnsi="Calibri" w:eastAsia="仿宋_GB2312" w:cs="Times New Roman"/>
          <w:kern w:val="2"/>
          <w:sz w:val="32"/>
          <w:szCs w:val="32"/>
          <w:shd w:val="clear" w:color="auto" w:fill="FFFFFF"/>
        </w:rPr>
        <w:t>，发布志愿服务项目</w:t>
      </w:r>
      <w:r>
        <w:rPr>
          <w:rFonts w:ascii="Calibri" w:hAnsi="Calibri" w:eastAsia="仿宋_GB2312" w:cs="Times New Roman"/>
          <w:kern w:val="2"/>
          <w:sz w:val="32"/>
          <w:szCs w:val="32"/>
          <w:shd w:val="clear" w:color="auto" w:fill="FFFFFF"/>
        </w:rPr>
        <w:t>2400</w:t>
      </w:r>
      <w:r>
        <w:rPr>
          <w:rFonts w:hint="eastAsia" w:ascii="Calibri" w:hAnsi="Calibri" w:eastAsia="仿宋_GB2312" w:cs="Times New Roman"/>
          <w:kern w:val="2"/>
          <w:sz w:val="32"/>
          <w:szCs w:val="32"/>
          <w:shd w:val="clear" w:color="auto" w:fill="FFFFFF"/>
        </w:rPr>
        <w:t>余个，开展志愿服务时长</w:t>
      </w:r>
      <w:r>
        <w:rPr>
          <w:rFonts w:ascii="Calibri" w:hAnsi="Calibri" w:eastAsia="仿宋_GB2312" w:cs="Times New Roman"/>
          <w:kern w:val="2"/>
          <w:sz w:val="32"/>
          <w:szCs w:val="32"/>
          <w:shd w:val="clear" w:color="auto" w:fill="FFFFFF"/>
        </w:rPr>
        <w:t>2832990.5</w:t>
      </w:r>
      <w:r>
        <w:rPr>
          <w:rFonts w:hint="eastAsia" w:ascii="Calibri" w:hAnsi="Calibri" w:eastAsia="仿宋_GB2312" w:cs="Times New Roman"/>
          <w:kern w:val="2"/>
          <w:sz w:val="32"/>
          <w:szCs w:val="32"/>
          <w:shd w:val="clear" w:color="auto" w:fill="FFFFFF"/>
        </w:rPr>
        <w:t>小时。</w:t>
      </w:r>
      <w:r>
        <w:rPr>
          <w:rFonts w:ascii="Calibri" w:hAnsi="Calibri" w:eastAsia="仿宋_GB2312" w:cs="Times New Roman"/>
          <w:kern w:val="2"/>
          <w:sz w:val="32"/>
          <w:szCs w:val="32"/>
          <w:shd w:val="clear" w:color="auto" w:fill="FFFFFF"/>
        </w:rPr>
        <w:t>2016</w:t>
      </w:r>
      <w:r>
        <w:rPr>
          <w:rFonts w:hint="eastAsia" w:ascii="Calibri" w:hAnsi="Calibri" w:eastAsia="仿宋_GB2312" w:cs="Times New Roman"/>
          <w:kern w:val="2"/>
          <w:sz w:val="32"/>
          <w:szCs w:val="32"/>
          <w:shd w:val="clear" w:color="auto" w:fill="FFFFFF"/>
        </w:rPr>
        <w:t>年以来，共募捐各类资金</w:t>
      </w:r>
      <w:r>
        <w:rPr>
          <w:rFonts w:ascii="Calibri" w:hAnsi="Calibri" w:eastAsia="仿宋_GB2312" w:cs="Times New Roman"/>
          <w:kern w:val="2"/>
          <w:sz w:val="32"/>
          <w:szCs w:val="32"/>
        </w:rPr>
        <w:t>7200</w:t>
      </w:r>
      <w:r>
        <w:rPr>
          <w:rFonts w:hint="eastAsia" w:ascii="Calibri" w:hAnsi="Calibri" w:eastAsia="仿宋_GB2312" w:cs="Times New Roman"/>
          <w:kern w:val="2"/>
          <w:sz w:val="32"/>
          <w:szCs w:val="32"/>
        </w:rPr>
        <w:t>余万元。积极开展低保家庭大学生全程救助，举行“精准扶贫朝阳助学”暨城乡低保家庭大学生救助金发放活</w:t>
      </w:r>
      <w:r>
        <w:rPr>
          <w:rFonts w:hint="eastAsia" w:ascii="Calibri" w:hAnsi="Calibri" w:eastAsia="仿宋_GB2312" w:cs="Times New Roman"/>
          <w:kern w:val="2"/>
          <w:sz w:val="32"/>
          <w:szCs w:val="32"/>
          <w:shd w:val="clear" w:color="auto" w:fill="FFFFFF"/>
        </w:rPr>
        <w:t>动，累计发放低保家庭大学生救助</w:t>
      </w:r>
      <w:r>
        <w:rPr>
          <w:rFonts w:ascii="Calibri" w:hAnsi="Calibri" w:eastAsia="仿宋_GB2312" w:cs="Times New Roman"/>
          <w:kern w:val="2"/>
          <w:sz w:val="32"/>
          <w:szCs w:val="32"/>
          <w:shd w:val="clear" w:color="auto" w:fill="FFFFFF"/>
        </w:rPr>
        <w:t>900</w:t>
      </w:r>
      <w:r>
        <w:rPr>
          <w:rFonts w:hint="eastAsia" w:ascii="Calibri" w:hAnsi="Calibri" w:eastAsia="仿宋_GB2312" w:cs="Times New Roman"/>
          <w:kern w:val="2"/>
          <w:sz w:val="32"/>
          <w:szCs w:val="32"/>
          <w:shd w:val="clear" w:color="auto" w:fill="FFFFFF"/>
        </w:rPr>
        <w:t>余人次。</w:t>
      </w:r>
    </w:p>
    <w:p>
      <w:pPr>
        <w:pageBreakBefore w:val="0"/>
        <w:kinsoku/>
        <w:wordWrap/>
        <w:topLinePunct w:val="0"/>
        <w:autoSpaceDE/>
        <w:autoSpaceDN/>
        <w:bidi w:val="0"/>
        <w:adjustRightInd/>
        <w:snapToGrid/>
        <w:spacing w:line="580" w:lineRule="exact"/>
        <w:ind w:firstLine="630" w:firstLineChars="196"/>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四、专项事务治理水平进一步提升，基本社会服务更显专业</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（一）社会组织管理进一步规范</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社会组织党建方面，严格落实党建工作责任制，抓好社会组织党建“两个覆盖”，充分发挥社会组织党组织和党员作用，“十三五”期间先后发展党员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人，转正</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人，培训入党积极分子</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人，着力优化了</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个特色鲜明、规范化程度高、示范带动力强的社会组织党建工作示范点。社会组织培育发展方面，</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年以来，共受理申请、咨询</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家，对</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家材料上报齐全的社会组织进行现场查验，对</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家社会组织进行了审批登记。建立了兖州区龙桥街道办事处薛庙社区社会组织服务中心，分别成立新兴社区、塔前社区社会组织服务中心，扩大了居民参与，实现了联动治理。社会组织监督管理方面。健全监督管理机制，加强社会组织执法监管。开展社会组织评估工作、社会组织“双随机一公开”工作、打击非法社会组织工作，规范行业协会商会涉企收费清理及行政脱钩工作，促进社会组织健康发展。社会组织作用发挥方面。经过“十三五”期间对社会组织的培育和发展，社会组织开展脱贫攻坚活动和实地考察对接活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次，投入资金</w:t>
      </w:r>
      <w:r>
        <w:rPr>
          <w:rFonts w:ascii="仿宋_GB2312" w:hAnsi="仿宋_GB2312" w:eastAsia="仿宋_GB2312" w:cs="仿宋_GB2312"/>
          <w:sz w:val="32"/>
          <w:szCs w:val="32"/>
        </w:rPr>
        <w:t>1068.3</w:t>
      </w:r>
      <w:r>
        <w:rPr>
          <w:rFonts w:hint="eastAsia" w:ascii="仿宋_GB2312" w:hAnsi="仿宋_GB2312" w:eastAsia="仿宋_GB2312" w:cs="仿宋_GB2312"/>
          <w:sz w:val="32"/>
          <w:szCs w:val="32"/>
        </w:rPr>
        <w:t>万元。开展扶贫项目</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个，制定扶贫工作计划</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个，开展义诊活动</w:t>
      </w:r>
      <w:r>
        <w:rPr>
          <w:rFonts w:ascii="仿宋_GB2312" w:hAnsi="仿宋_GB2312" w:eastAsia="仿宋_GB2312" w:cs="仿宋_GB2312"/>
          <w:sz w:val="32"/>
          <w:szCs w:val="32"/>
        </w:rPr>
        <w:t>1892</w:t>
      </w:r>
      <w:r>
        <w:rPr>
          <w:rFonts w:hint="eastAsia" w:ascii="仿宋_GB2312" w:hAnsi="仿宋_GB2312" w:eastAsia="仿宋_GB2312" w:cs="仿宋_GB2312"/>
          <w:sz w:val="32"/>
          <w:szCs w:val="32"/>
        </w:rPr>
        <w:t>次。</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（二）基层民主和社会治理能力进一步增强</w:t>
      </w:r>
    </w:p>
    <w:p>
      <w:pPr>
        <w:pageBreakBefore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保质保量完成第十二届村民委员会换届选举工作。换届完成后，推进村规民约修订和完善工作。二是全面做好村务公开民主管理工作，区村务公开领导小组指导各镇街修订完善《党务村务公开目录》，规范党务、村务公开栏设置，积极开展村务公开“民主日”活动，并贯彻落实村务公开暗访通报制度。三是城乡社区治理水平进一步提升，为进一步做好我区城乡社区治理和村务公开工作，区政府确定成立济宁市兖州区城乡社区治理和村务公开工作领导小组。为进一步加强我区社区工作者队伍建设，我局将全面落实社区工作者“三岗十八级”薪酬待遇。</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（三）地名管理水平进一步增强</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一是开展地名普查成果运用工作。因地制宜，科学谋划，周密部署，开展第二次全省地名普查成果运用工作，修改整饰国家地名数据库矢量地图，生成地名成果图表</w:t>
      </w:r>
      <w:r>
        <w:rPr>
          <w:rFonts w:ascii="仿宋_GB2312" w:hAnsi="仿宋_GB2312" w:eastAsia="仿宋_GB2312" w:cs="仿宋_GB2312"/>
          <w:kern w:val="0"/>
          <w:sz w:val="32"/>
          <w:szCs w:val="32"/>
        </w:rPr>
        <w:t xml:space="preserve"> 3875 </w:t>
      </w:r>
      <w:r>
        <w:rPr>
          <w:rFonts w:hint="eastAsia" w:ascii="仿宋_GB2312" w:hAnsi="仿宋_GB2312" w:eastAsia="仿宋_GB2312" w:cs="仿宋_GB2312"/>
          <w:kern w:val="0"/>
          <w:sz w:val="32"/>
          <w:szCs w:val="32"/>
        </w:rPr>
        <w:t>份（幅）。二是审慎完成地名普查档案建设工作，共计整理档案</w:t>
      </w:r>
      <w:r>
        <w:rPr>
          <w:rFonts w:ascii="仿宋_GB2312" w:hAnsi="仿宋_GB2312" w:eastAsia="仿宋_GB2312" w:cs="仿宋_GB2312"/>
          <w:kern w:val="0"/>
          <w:sz w:val="32"/>
          <w:szCs w:val="32"/>
        </w:rPr>
        <w:t>3344</w:t>
      </w:r>
      <w:r>
        <w:rPr>
          <w:rFonts w:hint="eastAsia" w:ascii="仿宋_GB2312" w:hAnsi="仿宋_GB2312" w:eastAsia="仿宋_GB2312" w:cs="仿宋_GB2312"/>
          <w:kern w:val="0"/>
          <w:sz w:val="32"/>
          <w:szCs w:val="32"/>
        </w:rPr>
        <w:t>卷。三是开展兖州区行政区域边界年检工作。每年</w:t>
      </w:r>
      <w:r>
        <w:rPr>
          <w:rFonts w:ascii="仿宋_GB2312" w:hAnsi="仿宋_GB2312" w:eastAsia="仿宋_GB2312" w:cs="仿宋_GB2312"/>
          <w:kern w:val="0"/>
          <w:sz w:val="32"/>
          <w:szCs w:val="32"/>
        </w:rPr>
        <w:t>5-10</w:t>
      </w:r>
      <w:r>
        <w:rPr>
          <w:rFonts w:hint="eastAsia" w:ascii="仿宋_GB2312" w:hAnsi="仿宋_GB2312" w:eastAsia="仿宋_GB2312" w:cs="仿宋_GB2312"/>
          <w:kern w:val="0"/>
          <w:sz w:val="32"/>
          <w:szCs w:val="32"/>
        </w:rPr>
        <w:t>月与边界接壤方共同对边界线、标志物、地貌、地物、界桩及相关标志物的变化情况检查，并对界桩进行维护，同时，签订共创和谐边界协议书，为创建和谐边界奠定基础。四是完成损毁和丢失界桩的更换工作。我区进行日常管理和维护的共</w:t>
      </w: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块界桩，对需要更换的</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块界桩按照新型界桩的要求全部重新制作并安装。</w:t>
      </w:r>
    </w:p>
    <w:p>
      <w:pPr>
        <w:pStyle w:val="22"/>
        <w:pageBreakBefore w:val="0"/>
        <w:kinsoku/>
        <w:wordWrap/>
        <w:topLinePunct w:val="0"/>
        <w:autoSpaceDE/>
        <w:autoSpaceDN/>
        <w:bidi w:val="0"/>
        <w:adjustRightInd/>
        <w:snapToGrid/>
        <w:spacing w:line="580" w:lineRule="exact"/>
        <w:jc w:val="left"/>
        <w:textAlignment w:val="auto"/>
        <w:rPr>
          <w:rFonts w:ascii="仿宋_GB2312" w:hAnsi="仿宋_GB2312" w:eastAsia="仿宋_GB2312" w:cs="仿宋_GB2312"/>
          <w:b w:val="0"/>
          <w:bCs/>
          <w:color w:val="000000"/>
          <w:spacing w:val="0"/>
          <w:sz w:val="32"/>
          <w:szCs w:val="32"/>
        </w:rPr>
      </w:pPr>
    </w:p>
    <w:p>
      <w:pPr>
        <w:pageBreakBefore w:val="0"/>
        <w:kinsoku/>
        <w:wordWrap/>
        <w:topLinePunct w:val="0"/>
        <w:autoSpaceDE/>
        <w:autoSpaceDN/>
        <w:bidi w:val="0"/>
        <w:adjustRightInd/>
        <w:snapToGrid/>
        <w:spacing w:line="580" w:lineRule="exact"/>
        <w:jc w:val="center"/>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第二节</w:t>
      </w: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面临形势</w:t>
      </w: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r>
        <w:rPr>
          <w:rFonts w:ascii="Times New Roman" w:hAnsi="Times New Roman" w:eastAsia="仿宋_GB2312"/>
          <w:b w:val="0"/>
          <w:bCs/>
          <w:color w:val="000000"/>
          <w:spacing w:val="0"/>
          <w:sz w:val="32"/>
          <w:szCs w:val="32"/>
        </w:rPr>
        <w:t xml:space="preserve">    </w:t>
      </w:r>
      <w:r>
        <w:rPr>
          <w:rFonts w:hint="eastAsia" w:ascii="Times New Roman" w:hAnsi="Times New Roman" w:eastAsia="仿宋_GB2312"/>
          <w:b w:val="0"/>
          <w:bCs/>
          <w:color w:val="000000"/>
          <w:spacing w:val="0"/>
          <w:sz w:val="32"/>
          <w:szCs w:val="32"/>
        </w:rPr>
        <w:t>“十四五”时期，我国进入“两个一百年”历史交汇期，</w:t>
      </w:r>
      <w:r>
        <w:rPr>
          <w:rFonts w:hint="eastAsia" w:ascii="Times New Roman" w:hAnsi="Times New Roman" w:eastAsia="仿宋_GB2312"/>
          <w:b w:val="0"/>
          <w:bCs/>
          <w:color w:val="000000"/>
          <w:spacing w:val="0"/>
          <w:sz w:val="32"/>
          <w:szCs w:val="32"/>
          <w:shd w:val="clear" w:color="auto" w:fill="FFFFFF"/>
        </w:rPr>
        <w:t>由高速增长全面转向高质量发展，由全面建成小康社会阶段迈向全面建设社会主义现代化时期，也是全面开启社会主义现代化强国建设新征程的重要机遇期</w:t>
      </w:r>
      <w:r>
        <w:rPr>
          <w:rFonts w:hint="eastAsia" w:ascii="Times New Roman" w:hAnsi="Times New Roman" w:eastAsia="仿宋_GB2312"/>
          <w:b w:val="0"/>
          <w:bCs/>
          <w:color w:val="000000"/>
          <w:spacing w:val="0"/>
          <w:sz w:val="32"/>
          <w:szCs w:val="32"/>
        </w:rPr>
        <w:t>。各级党委政府更加重视社会和谐稳定，更加重视保障和改善民生，政策倾斜、财政支持力度持续加大，我区民政事业发展面临新的发展机遇和挑战。</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Cs/>
          <w:color w:val="000000"/>
          <w:spacing w:val="0"/>
          <w:kern w:val="0"/>
          <w:sz w:val="32"/>
          <w:szCs w:val="32"/>
        </w:rPr>
      </w:pPr>
      <w:r>
        <w:rPr>
          <w:rFonts w:hint="eastAsia" w:ascii="楷体_GB2312" w:hAnsi="楷体_GB2312" w:eastAsia="楷体_GB2312" w:cs="楷体_GB2312"/>
          <w:bCs/>
          <w:color w:val="000000"/>
          <w:spacing w:val="0"/>
          <w:kern w:val="0"/>
          <w:sz w:val="32"/>
          <w:szCs w:val="32"/>
        </w:rPr>
        <w:t>一、发展机遇</w:t>
      </w: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r>
        <w:rPr>
          <w:rFonts w:ascii="Times New Roman" w:hAnsi="Times New Roman" w:eastAsia="仿宋_GB2312"/>
          <w:b w:val="0"/>
          <w:bCs/>
          <w:color w:val="000000"/>
          <w:spacing w:val="0"/>
          <w:sz w:val="32"/>
          <w:szCs w:val="32"/>
        </w:rPr>
        <w:t xml:space="preserve">    </w:t>
      </w:r>
      <w:r>
        <w:rPr>
          <w:rFonts w:hint="eastAsia" w:ascii="Times New Roman" w:hAnsi="Times New Roman" w:eastAsia="仿宋_GB2312"/>
          <w:b w:val="0"/>
          <w:bCs/>
          <w:color w:val="000000"/>
          <w:spacing w:val="0"/>
          <w:sz w:val="32"/>
          <w:szCs w:val="32"/>
        </w:rPr>
        <w:t>“十四五”时期，国家治理体系和治理能力现代化建设深入推进，人民共享发展成果成为社会共识，赋予了民政部门更大、更重要的责任；经济发展进入新常态，新型工业化、信息化、城镇化、农业现代化的政策能量不断释放，转方式、促改革、调结构、惠民生、防风险的战略部署为民政事业发展注入强大动力；区委、区政府高度重视保障和改善基本民生，将社会建设和民生事业摆上更加突出的位置，政策支持力度持续加大，为民政事业发展提供坚强保障。</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val="0"/>
          <w:bCs/>
          <w:color w:val="000000"/>
          <w:spacing w:val="0"/>
          <w:sz w:val="32"/>
          <w:szCs w:val="32"/>
        </w:rPr>
      </w:pPr>
      <w:r>
        <w:rPr>
          <w:rFonts w:hint="eastAsia" w:ascii="楷体_GB2312" w:hAnsi="楷体_GB2312" w:eastAsia="楷体_GB2312" w:cs="楷体_GB2312"/>
          <w:bCs/>
          <w:color w:val="000000"/>
          <w:spacing w:val="0"/>
          <w:kern w:val="0"/>
          <w:sz w:val="32"/>
          <w:szCs w:val="32"/>
        </w:rPr>
        <w:t>二、问题与挑战</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我区民政事业发展仍然存在一些突出问题。改革创新推进缓慢，民政事业发展动力不强；法治建设和信息化建设水平滞后，依法高效行政缺乏有效支撑；现有民政公共服务能力有限，服务质量和效率有待提升；民政发展投入相对不足，资金筹措机制仍需探索；纵向横向信息共享、政策配套存在障碍，沟通协作机制亟待强化；基层民政队伍力量薄弱，“事多人少”矛盾依然存在。</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十四五”时期，将是我区经济迈向中高端水平的关键时期。人口、资源环境等传统发展红利不断弱化，财政收入增速放缓，民政事业资金投入压力将长期存在。产业结构调整和消费结构的变化直接影响人们的就业和生活，特别是困难群众的基本生活，需要更加完善的制度来托底保障。人口高龄化、空巢化、失能化日趋加快，老龄化社会全面到来，养老服务体系亟待完善。城镇化、一体化发展步伐加速，亟需加快推进民政基本公共服务均等化。社会转型带来社会利益高度分化，各种深层次社会问题和矛盾交织凸显，社会诉求更加多样，基层社会治理难度加大。民政事业发展中不平衡、不协调、不可持续的深层次矛盾和问题尚未得到根本扭转和解决</w:t>
      </w:r>
      <w:r>
        <w:rPr>
          <w:rFonts w:hint="eastAsia" w:ascii="仿宋_GB2312" w:hAnsi="仿宋_GB2312" w:eastAsia="仿宋_GB2312" w:cs="仿宋_GB2312"/>
          <w:b w:val="0"/>
          <w:bCs/>
          <w:color w:val="000000"/>
          <w:spacing w:val="0"/>
          <w:sz w:val="32"/>
          <w:szCs w:val="32"/>
        </w:rPr>
        <w:t>，全面推进民政事业改革发展任重道远。</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spacing w:val="0"/>
          <w:sz w:val="32"/>
          <w:szCs w:val="32"/>
        </w:rPr>
      </w:pPr>
      <w:r>
        <w:rPr>
          <w:rFonts w:hint="eastAsia" w:ascii="方正小标宋简体" w:hAnsi="方正小标宋简体" w:eastAsia="方正小标宋简体" w:cs="方正小标宋简体"/>
          <w:bCs/>
          <w:color w:val="000000"/>
          <w:spacing w:val="0"/>
          <w:sz w:val="32"/>
          <w:szCs w:val="32"/>
        </w:rPr>
        <w:t>第二章</w:t>
      </w:r>
      <w:r>
        <w:rPr>
          <w:rFonts w:ascii="方正小标宋简体" w:hAnsi="方正小标宋简体" w:eastAsia="方正小标宋简体" w:cs="方正小标宋简体"/>
          <w:bCs/>
          <w:color w:val="000000"/>
          <w:spacing w:val="0"/>
          <w:sz w:val="32"/>
          <w:szCs w:val="32"/>
        </w:rPr>
        <w:t xml:space="preserve"> </w:t>
      </w:r>
      <w:r>
        <w:rPr>
          <w:rFonts w:hint="eastAsia" w:ascii="方正小标宋简体" w:hAnsi="方正小标宋简体" w:eastAsia="方正小标宋简体" w:cs="方正小标宋简体"/>
          <w:bCs/>
          <w:color w:val="000000"/>
          <w:spacing w:val="0"/>
          <w:sz w:val="32"/>
          <w:szCs w:val="32"/>
        </w:rPr>
        <w:t>指导思想、基本原则和总体目标</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Cs/>
          <w:color w:val="000000"/>
          <w:spacing w:val="0"/>
          <w:sz w:val="32"/>
          <w:szCs w:val="32"/>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指导思想</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9"/>
        <w:pageBreakBefore w:val="0"/>
        <w:kinsoku/>
        <w:wordWrap/>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仿宋_GB2312" w:eastAsia="仿宋_GB2312" w:cs="Times New Roman"/>
          <w:kern w:val="2"/>
          <w:sz w:val="32"/>
          <w:szCs w:val="32"/>
          <w:shd w:val="clear" w:color="auto" w:fill="FFFFFF"/>
        </w:rPr>
      </w:pPr>
      <w:r>
        <w:rPr>
          <w:rFonts w:hint="eastAsia" w:ascii="仿宋_GB2312" w:hAnsi="仿宋_GB2312" w:eastAsia="仿宋_GB2312" w:cs="Times New Roman"/>
          <w:kern w:val="2"/>
          <w:sz w:val="32"/>
          <w:szCs w:val="32"/>
        </w:rPr>
        <w:t>坚持以习近平新时代中国特色社会主义思想为指导，深入贯彻落实党的十九大和十九届二中、三中、四中、五中全会精神，全面落实习近平总书记关于民生民政工作重要指示批示和视察山东重要讲话精神，深刻领会市委市政府</w:t>
      </w:r>
      <w:r>
        <w:rPr>
          <w:rFonts w:hint="eastAsia" w:ascii="仿宋_GB2312" w:hAnsi="仿宋_GB2312" w:eastAsia="仿宋_GB2312" w:cs="Times New Roman"/>
          <w:kern w:val="2"/>
          <w:sz w:val="32"/>
          <w:szCs w:val="32"/>
          <w:lang w:eastAsia="zh-CN"/>
        </w:rPr>
        <w:t>、区委区政府</w:t>
      </w:r>
      <w:r>
        <w:rPr>
          <w:rFonts w:hint="eastAsia" w:ascii="仿宋_GB2312" w:hAnsi="仿宋_GB2312" w:eastAsia="仿宋_GB2312" w:cs="Times New Roman"/>
          <w:kern w:val="2"/>
          <w:sz w:val="32"/>
          <w:szCs w:val="32"/>
        </w:rPr>
        <w:t>战略意图，坚持稳中求进工作总基调，以“走在前列、全面开创”为目标定位，以“民政为民、民政爱民”理念为引领，以“面向新时代，承担新使命，体现新担当，实现新作为，展现新面貌”为时代主线，牢牢把握新发展阶段、新发展理念、新发展格局的逻辑主线，以站位全国、立足全省高度，谋定发展战略。聚焦巩固脱贫攻坚，聚焦特殊群体，聚焦群众关切，更好履行基本民生保障、基层社会治理、基本社会服务等职责，充分发挥保民生、优民治、促民享的</w:t>
      </w:r>
      <w:r>
        <w:rPr>
          <w:rFonts w:hint="eastAsia" w:ascii="仿宋_GB2312" w:hAnsi="仿宋_GB2312" w:eastAsia="仿宋_GB2312" w:cs="Times New Roman"/>
          <w:kern w:val="2"/>
          <w:sz w:val="32"/>
          <w:szCs w:val="32"/>
          <w:shd w:val="clear" w:color="auto" w:fill="FFFFFF"/>
        </w:rPr>
        <w:t>重要作用，持续增强人民群众的获得感、幸福感、安全感，积极为推进新时代现代化强区建设作出新的更大的贡献。</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基本原则</w:t>
      </w:r>
    </w:p>
    <w:p>
      <w:pPr>
        <w:pStyle w:val="22"/>
        <w:pageBreakBefore w:val="0"/>
        <w:kinsoku/>
        <w:wordWrap/>
        <w:topLinePunct w:val="0"/>
        <w:autoSpaceDE/>
        <w:autoSpaceDN/>
        <w:bidi w:val="0"/>
        <w:adjustRightInd/>
        <w:snapToGrid/>
        <w:spacing w:line="580" w:lineRule="exact"/>
        <w:jc w:val="both"/>
        <w:textAlignment w:val="auto"/>
        <w:rPr>
          <w:rFonts w:ascii="楷体_GB2312" w:hAnsi="楷体_GB2312" w:eastAsia="楷体_GB2312" w:cs="楷体_GB2312"/>
          <w:bCs/>
          <w:color w:val="000000"/>
          <w:spacing w:val="0"/>
          <w:sz w:val="32"/>
          <w:szCs w:val="32"/>
          <w:shd w:val="clear" w:color="auto" w:fill="FFFFFF"/>
        </w:rPr>
      </w:pP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坚持党的全面领导。</w:t>
      </w:r>
      <w:r>
        <w:rPr>
          <w:rFonts w:hint="eastAsia" w:ascii="仿宋_GB2312" w:hAnsi="仿宋_GB2312" w:eastAsia="仿宋_GB2312"/>
          <w:sz w:val="32"/>
          <w:szCs w:val="32"/>
        </w:rPr>
        <w:t>全面贯彻落实习近平总书记对民生民政工作的重要指示批示精神</w:t>
      </w:r>
      <w:r>
        <w:rPr>
          <w:rFonts w:ascii="仿宋_GB2312" w:hAnsi="仿宋_GB2312" w:eastAsia="仿宋_GB2312"/>
          <w:sz w:val="32"/>
          <w:szCs w:val="32"/>
        </w:rPr>
        <w:t>,</w:t>
      </w:r>
      <w:r>
        <w:rPr>
          <w:rFonts w:hint="eastAsia" w:ascii="仿宋_GB2312" w:hAnsi="仿宋_GB2312" w:eastAsia="仿宋_GB2312"/>
          <w:sz w:val="32"/>
          <w:szCs w:val="32"/>
        </w:rPr>
        <w:t>增强“四个意识”，坚定“四个自信”，做到“两个维护”，将党的全面领导贯穿新时代民政事业发展全过程各方面各环节。进一步发挥党建统领作用，不断提高民政干部贯彻新发展理念、适应新发展格局的能力和水平，为实现“十四五”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民政事业高质量发展提供坚强的政治保证和组织保证。</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坚持以人民为中心。</w:t>
      </w:r>
      <w:r>
        <w:rPr>
          <w:rFonts w:hint="eastAsia" w:ascii="仿宋_GB2312" w:hAnsi="仿宋_GB2312" w:eastAsia="仿宋_GB2312"/>
          <w:sz w:val="32"/>
          <w:szCs w:val="32"/>
        </w:rPr>
        <w:t>坚持人民主体地位，始终把解决人民群众尤其是困难群众最关心最直接最现实的利益问题作为民政事业发展的出发点和落脚点</w:t>
      </w:r>
      <w:r>
        <w:rPr>
          <w:rFonts w:ascii="仿宋_GB2312" w:hAnsi="仿宋_GB2312" w:eastAsia="仿宋_GB2312"/>
          <w:sz w:val="32"/>
          <w:szCs w:val="32"/>
        </w:rPr>
        <w:t>,</w:t>
      </w:r>
      <w:r>
        <w:rPr>
          <w:rFonts w:hint="eastAsia" w:ascii="仿宋_GB2312" w:hAnsi="仿宋_GB2312" w:eastAsia="仿宋_GB2312"/>
          <w:sz w:val="32"/>
          <w:szCs w:val="32"/>
        </w:rPr>
        <w:t>将惠民政策精准送到群众身边。厚植为民情怀，强化责任担当，健全完善城乡基层社会治理体系，增加基本社会服务供给</w:t>
      </w:r>
      <w:r>
        <w:rPr>
          <w:rFonts w:ascii="仿宋_GB2312" w:hAnsi="仿宋_GB2312" w:eastAsia="仿宋_GB2312"/>
          <w:sz w:val="32"/>
          <w:szCs w:val="32"/>
        </w:rPr>
        <w:t>,</w:t>
      </w:r>
      <w:r>
        <w:rPr>
          <w:rFonts w:hint="eastAsia" w:ascii="仿宋_GB2312" w:hAnsi="仿宋_GB2312" w:eastAsia="仿宋_GB2312"/>
          <w:sz w:val="32"/>
          <w:szCs w:val="32"/>
        </w:rPr>
        <w:t>编密织牢维护社会和谐稳定的基层防线，不断增进民生福祉。</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坚持共建共治共享。</w:t>
      </w:r>
      <w:r>
        <w:rPr>
          <w:rFonts w:hint="eastAsia" w:ascii="仿宋_GB2312" w:hAnsi="仿宋_GB2312" w:eastAsia="仿宋_GB2312"/>
          <w:sz w:val="32"/>
          <w:szCs w:val="32"/>
        </w:rPr>
        <w:t>坚持更多依靠政府、社会和市场力量的合作来回应社会关切、解决民生问题，充分发挥市场在公共服务资源配置中的决定性作用，着力解决民政事业发展不平衡不充分、地区区域差距大等问题，健全党组织领导的自治、法治、德治相结合的城乡基层治理体系，完善与经济社会发展水平相适应的城乡社区管理和服务机制，推动城乡社区治理体系、治理能力和治理效能显著提升。</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坚持改革创新发展。</w:t>
      </w:r>
      <w:r>
        <w:rPr>
          <w:rFonts w:hint="eastAsia" w:ascii="仿宋_GB2312" w:hAnsi="仿宋_GB2312" w:eastAsia="仿宋_GB2312"/>
          <w:sz w:val="32"/>
          <w:szCs w:val="32"/>
        </w:rPr>
        <w:t>牢固树立战略思维、创新思维、法治思维和底线思维，准确识变，科学应变，主动求变，立足围绕中心、服务大局，立足走在前列、全面开创，立足担当作为、狠抓落实，打破惯性思维，扔掉思维“枷锁”，坚持“引进来”和“走出去”相结合，推进民政事业理论创新、制度创新、机制创新、方法创新，以更高站位、更远眼光、更宽视野推动民政事业提质增效。</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坚持统筹协同推进。</w:t>
      </w:r>
      <w:r>
        <w:rPr>
          <w:rFonts w:hint="eastAsia" w:ascii="仿宋_GB2312" w:hAnsi="仿宋_GB2312" w:eastAsia="仿宋_GB2312"/>
          <w:sz w:val="32"/>
          <w:szCs w:val="32"/>
        </w:rPr>
        <w:t>强化民政各业务领域间、城乡区域间统筹，加强与相关部门在信息共享、政策制定、创新发展等方面的互联互通协作，健全完善各级各部门间高效联动机制，打破信息壁垒，疏通关键关节，形成“一盘棋”、拧成一股绳、铆足一股劲，深化法治化、信息化、社会化、市场化、标准化、精细化驱动，坚持尽力而为、量力而行，防范化解重大风险挑战，推动民政事业行稳致远、高质量发展。</w:t>
      </w:r>
    </w:p>
    <w:p>
      <w:pPr>
        <w:pStyle w:val="22"/>
        <w:pageBreakBefore w:val="0"/>
        <w:kinsoku/>
        <w:wordWrap/>
        <w:topLinePunct w:val="0"/>
        <w:autoSpaceDE/>
        <w:autoSpaceDN/>
        <w:bidi w:val="0"/>
        <w:adjustRightInd/>
        <w:snapToGrid/>
        <w:spacing w:line="580" w:lineRule="exact"/>
        <w:textAlignment w:val="auto"/>
        <w:rPr>
          <w:rFonts w:ascii="仿宋_GB2312" w:hAnsi="Calibri" w:eastAsia="仿宋_GB2312"/>
          <w:bCs/>
          <w:color w:val="000000"/>
          <w:spacing w:val="0"/>
          <w:sz w:val="32"/>
          <w:szCs w:val="32"/>
          <w:shd w:val="clear" w:color="auto" w:fill="FFFFFF"/>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总体目标</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Times New Roman" w:eastAsia="仿宋_GB2312"/>
          <w:b w:val="0"/>
          <w:bCs/>
          <w:color w:val="000000"/>
          <w:spacing w:val="0"/>
          <w:sz w:val="32"/>
          <w:szCs w:val="32"/>
        </w:rPr>
      </w:pPr>
      <w:r>
        <w:rPr>
          <w:rFonts w:hint="eastAsia" w:ascii="仿宋_GB2312" w:hAnsi="Times New Roman" w:eastAsia="仿宋_GB2312"/>
          <w:b w:val="0"/>
          <w:bCs/>
          <w:color w:val="000000"/>
          <w:spacing w:val="0"/>
          <w:sz w:val="32"/>
          <w:szCs w:val="32"/>
        </w:rPr>
        <w:t>以保障和改善民生为主线，以改革创新为动力，以信息化建设为抓手，构建城乡统筹、功能完善、布局合理、服务高效、水平适应的民政基本公共服务体系。民政事业改革更加深入，法治民政建设不断深化，资金保障更加有力，基础设施更加健全，服务能力明显提升。力争到</w:t>
      </w:r>
      <w:r>
        <w:rPr>
          <w:rFonts w:ascii="仿宋_GB2312" w:hAnsi="Times New Roman" w:eastAsia="仿宋_GB2312"/>
          <w:b w:val="0"/>
          <w:bCs/>
          <w:color w:val="000000"/>
          <w:spacing w:val="0"/>
          <w:sz w:val="32"/>
          <w:szCs w:val="32"/>
        </w:rPr>
        <w:t>2025</w:t>
      </w:r>
      <w:r>
        <w:rPr>
          <w:rFonts w:hint="eastAsia" w:ascii="仿宋_GB2312" w:hAnsi="Times New Roman" w:eastAsia="仿宋_GB2312"/>
          <w:b w:val="0"/>
          <w:bCs/>
          <w:color w:val="000000"/>
          <w:spacing w:val="0"/>
          <w:sz w:val="32"/>
          <w:szCs w:val="32"/>
        </w:rPr>
        <w:t>年，构建起制度更加完备、体系更加健全、覆盖更加广泛、功能更加强大的现代化</w:t>
      </w:r>
      <w:r>
        <w:rPr>
          <w:rFonts w:hint="eastAsia" w:ascii="Times New Roman" w:hAnsi="Times New Roman" w:eastAsia="仿宋_GB2312"/>
          <w:b w:val="0"/>
          <w:bCs/>
          <w:color w:val="000000"/>
          <w:spacing w:val="0"/>
          <w:sz w:val="32"/>
          <w:szCs w:val="32"/>
        </w:rPr>
        <w:t>民政事业发展体系</w:t>
      </w:r>
      <w:r>
        <w:rPr>
          <w:rFonts w:hint="eastAsia" w:ascii="仿宋_GB2312" w:hAnsi="Times New Roman" w:eastAsia="仿宋_GB2312"/>
          <w:b w:val="0"/>
          <w:bCs/>
          <w:color w:val="000000"/>
          <w:spacing w:val="0"/>
          <w:sz w:val="32"/>
          <w:szCs w:val="32"/>
        </w:rPr>
        <w:t>。</w:t>
      </w:r>
      <w:r>
        <w:rPr>
          <w:rFonts w:ascii="仿宋_GB2312" w:hAnsi="Times New Roman" w:eastAsia="仿宋_GB2312"/>
          <w:b w:val="0"/>
          <w:bCs/>
          <w:color w:val="000000"/>
          <w:spacing w:val="0"/>
          <w:sz w:val="32"/>
          <w:szCs w:val="32"/>
        </w:rPr>
        <w:t xml:space="preserve"> </w:t>
      </w:r>
    </w:p>
    <w:p>
      <w:pPr>
        <w:pStyle w:val="9"/>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bCs/>
          <w:color w:val="000000"/>
          <w:kern w:val="2"/>
          <w:sz w:val="32"/>
          <w:szCs w:val="32"/>
        </w:rPr>
        <w:t>（一）围绕中心，服务大局。</w:t>
      </w:r>
      <w:r>
        <w:rPr>
          <w:rFonts w:hint="eastAsia" w:ascii="仿宋_GB2312" w:hAnsi="Times New Roman" w:eastAsia="仿宋_GB2312" w:cs="Times New Roman"/>
          <w:bCs/>
          <w:color w:val="000000"/>
          <w:kern w:val="2"/>
          <w:sz w:val="32"/>
          <w:szCs w:val="32"/>
        </w:rPr>
        <w:t>树立大局观念，服从服务于全区经济社会发展全局。紧紧围绕区委区政府中心任务、兖州区重大发展战略，谋划和推动民政事业发展，在服务全区工作大局中实现民政事业更好更快发展。</w:t>
      </w:r>
    </w:p>
    <w:p>
      <w:pPr>
        <w:pStyle w:val="9"/>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（二）以民为本，共建共享。</w:t>
      </w:r>
      <w:r>
        <w:rPr>
          <w:rFonts w:hint="eastAsia" w:ascii="仿宋_GB2312" w:hAnsi="Times New Roman" w:eastAsia="仿宋_GB2312" w:cs="Times New Roman"/>
          <w:bCs/>
          <w:color w:val="000000"/>
          <w:kern w:val="2"/>
          <w:sz w:val="32"/>
          <w:szCs w:val="32"/>
        </w:rPr>
        <w:t>牢固树立以民为本的执政理念和价值追求，坚持把群众利益贯穿于民政事业发展的各领域和各环节，实现共建共享、包容发展。加强基本民生保障制度的顶层设计和安排，着力增进社会困难群体、弱势群体的基本权益和发展能力，使人民群众对美好生活的向往不断变成现实。</w:t>
      </w:r>
    </w:p>
    <w:p>
      <w:pPr>
        <w:pStyle w:val="9"/>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（三）依法治理，精准施策。</w:t>
      </w:r>
      <w:r>
        <w:rPr>
          <w:rFonts w:hint="eastAsia" w:ascii="仿宋_GB2312" w:hAnsi="Times New Roman" w:eastAsia="仿宋_GB2312" w:cs="Times New Roman"/>
          <w:bCs/>
          <w:color w:val="000000"/>
          <w:kern w:val="2"/>
          <w:sz w:val="32"/>
          <w:szCs w:val="32"/>
        </w:rPr>
        <w:t>深入贯彻全面依法治国战略，更好发挥法治的引领和规范作用，切实加强民政法治建设，使各项民政工作有法可依、有法必依。遵循民政事业发展规律，推进民政工作决策科学化，以及民政领域公共资源配置合理化，增强政策实施的精准性、有效性。</w:t>
      </w:r>
    </w:p>
    <w:p>
      <w:pPr>
        <w:pStyle w:val="9"/>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（四）政府主导，社会参与。</w:t>
      </w:r>
      <w:r>
        <w:rPr>
          <w:rFonts w:hint="eastAsia" w:ascii="仿宋_GB2312" w:hAnsi="Times New Roman" w:eastAsia="仿宋_GB2312" w:cs="Times New Roman"/>
          <w:bCs/>
          <w:color w:val="000000"/>
          <w:kern w:val="2"/>
          <w:sz w:val="32"/>
          <w:szCs w:val="32"/>
        </w:rPr>
        <w:t>坚持通过编制发展规划、落实资金投入、强化监督检查等方式，确保政府主导作用发挥到位。厘清政府、市场、社会力量在民政事业发展中的职责作用，积极培育社会组织、专业社工等多元参与主体，搭建基层社会治理和公共服务平台，促进通力协作，形成整体合力。</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仿宋_GB2312" w:hAnsi="Times New Roman" w:eastAsia="仿宋_GB2312"/>
          <w:b w:val="0"/>
          <w:bCs/>
          <w:color w:val="000000"/>
          <w:spacing w:val="0"/>
          <w:sz w:val="32"/>
          <w:szCs w:val="32"/>
        </w:rPr>
      </w:pPr>
      <w:r>
        <w:rPr>
          <w:rFonts w:hint="eastAsia" w:ascii="仿宋_GB2312" w:hAnsi="楷体_GB2312" w:eastAsia="仿宋_GB2312" w:cs="楷体_GB2312"/>
          <w:color w:val="000000"/>
          <w:spacing w:val="0"/>
          <w:sz w:val="32"/>
          <w:szCs w:val="32"/>
        </w:rPr>
        <w:t>（五）深化改革，创新发展。</w:t>
      </w:r>
      <w:r>
        <w:rPr>
          <w:rFonts w:hint="eastAsia" w:ascii="仿宋_GB2312" w:hAnsi="Times New Roman" w:eastAsia="仿宋_GB2312"/>
          <w:b w:val="0"/>
          <w:bCs/>
          <w:color w:val="000000"/>
          <w:spacing w:val="0"/>
          <w:sz w:val="32"/>
          <w:szCs w:val="32"/>
        </w:rPr>
        <w:t>深入推进民政重点领域和关键环节改革，用改革的办法和全局的视野不断开创民政事业发展新局面。进一步发挥先行先试作用，率先破除制约民政事业更好更快发展的观念障碍和体制障碍，逐步建成全面覆盖、管理规范、服务专业、运行高效的民政服务体系。</w:t>
      </w:r>
    </w:p>
    <w:p>
      <w:pPr>
        <w:pStyle w:val="9"/>
        <w:pageBreakBefore w:val="0"/>
        <w:shd w:val="clear" w:color="auto" w:fill="FFFFFF"/>
        <w:kinsoku/>
        <w:wordWrap/>
        <w:topLinePunct w:val="0"/>
        <w:autoSpaceDE/>
        <w:autoSpaceDN/>
        <w:bidi w:val="0"/>
        <w:adjustRightInd/>
        <w:snapToGrid/>
        <w:spacing w:before="0" w:beforeAutospacing="0" w:after="0" w:afterAutospacing="0" w:line="580" w:lineRule="exact"/>
        <w:jc w:val="center"/>
        <w:textAlignment w:val="auto"/>
        <w:rPr>
          <w:b/>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第三章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健全完善社会救助体系</w:t>
      </w:r>
    </w:p>
    <w:p>
      <w:pPr>
        <w:pStyle w:val="9"/>
        <w:pageBreakBefore w:val="0"/>
        <w:kinsoku/>
        <w:wordWrap/>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仿宋_GB2312" w:cs="Times New Roman"/>
          <w:bCs/>
          <w:color w:val="000000"/>
          <w:kern w:val="2"/>
          <w:sz w:val="32"/>
          <w:szCs w:val="32"/>
        </w:rPr>
      </w:pPr>
    </w:p>
    <w:p>
      <w:pPr>
        <w:pageBreakBefore w:val="0"/>
        <w:kinsoku/>
        <w:wordWrap/>
        <w:topLinePunct w:val="0"/>
        <w:autoSpaceDE/>
        <w:autoSpaceDN/>
        <w:bidi w:val="0"/>
        <w:adjustRightInd/>
        <w:snapToGrid/>
        <w:spacing w:line="580" w:lineRule="exact"/>
        <w:ind w:firstLine="643" w:firstLineChars="200"/>
        <w:textAlignment w:val="auto"/>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一是坚持改革创新。</w:t>
      </w:r>
      <w:r>
        <w:rPr>
          <w:rFonts w:hint="eastAsia" w:ascii="仿宋_GB2312" w:hAnsi="Microsoft YaHei" w:eastAsia="仿宋_GB2312" w:cs="仿宋_GB2312"/>
          <w:color w:val="000000"/>
          <w:sz w:val="32"/>
          <w:szCs w:val="32"/>
        </w:rPr>
        <w:t>统筹完善城乡社会救助管理体系，</w:t>
      </w:r>
      <w:r>
        <w:rPr>
          <w:rFonts w:hint="eastAsia" w:ascii="仿宋_GB2312" w:hAnsi="仿宋_GB2312" w:eastAsia="仿宋_GB2312" w:cs="仿宋_GB2312"/>
          <w:bCs/>
          <w:color w:val="000000"/>
          <w:sz w:val="32"/>
          <w:szCs w:val="32"/>
        </w:rPr>
        <w:t>力促低保、特困人员供养、临时救助、</w:t>
      </w:r>
      <w:r>
        <w:rPr>
          <w:rFonts w:hint="eastAsia" w:ascii="仿宋_GB2312" w:hAnsi="仿宋_GB2312" w:eastAsia="仿宋_GB2312" w:cs="仿宋_GB2312"/>
          <w:color w:val="000000"/>
          <w:kern w:val="0"/>
          <w:sz w:val="32"/>
          <w:szCs w:val="32"/>
          <w:shd w:val="clear" w:color="auto" w:fill="FFFFFF"/>
        </w:rPr>
        <w:t>经济困难老年人、残疾人两项补贴、困境儿童</w:t>
      </w:r>
      <w:r>
        <w:rPr>
          <w:rFonts w:hint="eastAsia" w:ascii="仿宋_GB2312" w:hAnsi="仿宋_GB2312" w:eastAsia="仿宋_GB2312" w:cs="仿宋_GB2312"/>
          <w:bCs/>
          <w:color w:val="000000"/>
          <w:sz w:val="32"/>
          <w:szCs w:val="32"/>
        </w:rPr>
        <w:t>等各项救助工作取得新突破、新进展，织密扎牢民生保障“安全网”。</w:t>
      </w:r>
    </w:p>
    <w:p>
      <w:pPr>
        <w:pageBreakBefore w:val="0"/>
        <w:kinsoku/>
        <w:wordWrap/>
        <w:topLinePunct w:val="0"/>
        <w:autoSpaceDE/>
        <w:autoSpaceDN/>
        <w:bidi w:val="0"/>
        <w:adjustRightInd/>
        <w:snapToGrid/>
        <w:spacing w:line="580" w:lineRule="exact"/>
        <w:ind w:firstLine="630" w:firstLineChars="196"/>
        <w:textAlignment w:val="auto"/>
        <w:rPr>
          <w:rStyle w:val="11"/>
          <w:rFonts w:ascii="仿宋_GB2312" w:hAnsi="Microsoft YaHei" w:eastAsia="仿宋_GB2312" w:cs="仿宋_GB2312"/>
          <w:color w:val="000000"/>
          <w:sz w:val="32"/>
          <w:szCs w:val="32"/>
        </w:rPr>
      </w:pPr>
      <w:r>
        <w:rPr>
          <w:rStyle w:val="11"/>
          <w:rFonts w:hint="eastAsia" w:ascii="楷体_GB2312" w:hAnsi="楷体_GB2312" w:eastAsia="楷体_GB2312" w:cs="楷体_GB2312"/>
          <w:color w:val="000000"/>
          <w:sz w:val="32"/>
          <w:szCs w:val="32"/>
        </w:rPr>
        <w:t>二是巩固脱贫成效。</w:t>
      </w:r>
      <w:r>
        <w:rPr>
          <w:rFonts w:hint="eastAsia" w:ascii="仿宋_GB2312" w:hAnsi="仿宋_GB2312" w:eastAsia="仿宋_GB2312" w:cs="仿宋_GB2312"/>
          <w:color w:val="000000"/>
          <w:sz w:val="32"/>
          <w:szCs w:val="32"/>
        </w:rPr>
        <w:t>加大救助力度，强化低保兜底救助，持续动态管理，及时将符合救助条件的困难群众纳入低保救助，保障其基本生活。符合特困供养条件的，纳入特困供养。实现与</w:t>
      </w:r>
      <w:r>
        <w:rPr>
          <w:rFonts w:hint="eastAsia" w:ascii="仿宋_GB2312" w:hAnsi="仿宋_GB2312" w:eastAsia="仿宋_GB2312" w:cs="仿宋_GB2312"/>
          <w:color w:val="000000"/>
          <w:sz w:val="32"/>
          <w:szCs w:val="32"/>
          <w:shd w:val="clear" w:color="auto" w:fill="FFFFFF"/>
        </w:rPr>
        <w:t>乡村振兴局</w:t>
      </w:r>
      <w:r>
        <w:rPr>
          <w:rFonts w:hint="eastAsia" w:ascii="仿宋_GB2312" w:hAnsi="仿宋_GB2312" w:eastAsia="仿宋_GB2312" w:cs="仿宋_GB2312"/>
          <w:color w:val="000000"/>
          <w:sz w:val="32"/>
          <w:szCs w:val="32"/>
        </w:rPr>
        <w:t>、残联等部门单位信息共享比对，指导镇（街）、村（居）委会完善主动发现机制，压实工作责任，及时掌握贫困家庭个案情况和兜底保障需求，</w:t>
      </w:r>
      <w:r>
        <w:rPr>
          <w:rFonts w:hint="eastAsia" w:ascii="仿宋_GB2312" w:hAnsi="仿宋_GB2312" w:eastAsia="仿宋_GB2312" w:cs="仿宋_GB2312"/>
          <w:bCs/>
          <w:color w:val="000000"/>
          <w:sz w:val="32"/>
          <w:szCs w:val="32"/>
        </w:rPr>
        <w:t>防止发生返贫风险。</w:t>
      </w:r>
    </w:p>
    <w:p>
      <w:pPr>
        <w:pageBreakBefore w:val="0"/>
        <w:kinsoku/>
        <w:wordWrap/>
        <w:topLinePunct w:val="0"/>
        <w:autoSpaceDE/>
        <w:autoSpaceDN/>
        <w:bidi w:val="0"/>
        <w:adjustRightInd/>
        <w:snapToGrid/>
        <w:spacing w:line="580" w:lineRule="exact"/>
        <w:ind w:firstLine="630" w:firstLineChars="196"/>
        <w:textAlignment w:val="auto"/>
        <w:rPr>
          <w:rFonts w:ascii="仿宋_GB2312" w:hAnsi="Microsoft YaHei" w:eastAsia="仿宋_GB2312" w:cs="仿宋_GB2312"/>
          <w:b/>
          <w:color w:val="000000"/>
          <w:sz w:val="32"/>
          <w:szCs w:val="32"/>
        </w:rPr>
      </w:pPr>
      <w:r>
        <w:rPr>
          <w:rStyle w:val="11"/>
          <w:rFonts w:hint="eastAsia" w:ascii="楷体_GB2312" w:hAnsi="楷体_GB2312" w:eastAsia="楷体_GB2312" w:cs="楷体_GB2312"/>
          <w:color w:val="000000"/>
          <w:sz w:val="32"/>
          <w:szCs w:val="32"/>
        </w:rPr>
        <w:t>三是推进城乡统筹。</w:t>
      </w:r>
      <w:r>
        <w:rPr>
          <w:rFonts w:hint="eastAsia" w:ascii="仿宋_GB2312" w:hAnsi="仿宋_GB2312" w:eastAsia="仿宋_GB2312" w:cs="仿宋_GB2312"/>
          <w:color w:val="000000"/>
          <w:kern w:val="0"/>
          <w:sz w:val="32"/>
          <w:szCs w:val="32"/>
          <w:shd w:val="clear" w:color="auto" w:fill="FFFFFF"/>
        </w:rPr>
        <w:t>完善低保对象认定体系，实现动态管理下的按标施保、按户施保、应保尽保、应退则退。落实救助标准自然增长机制和动态调整机制，实行低保标准与物价上涨挂钩联动，逐步缩小城乡低保标准差距</w:t>
      </w:r>
      <w:r>
        <w:rPr>
          <w:rFonts w:hint="eastAsia" w:ascii="仿宋_GB2312" w:hAnsi="仿宋_GB2312" w:eastAsia="仿宋_GB2312" w:cs="仿宋_GB2312"/>
          <w:b/>
          <w:bCs/>
          <w:color w:val="000000"/>
          <w:kern w:val="0"/>
          <w:sz w:val="32"/>
          <w:szCs w:val="32"/>
          <w:shd w:val="clear" w:color="auto" w:fill="FFFFFF"/>
        </w:rPr>
        <w:t>。</w:t>
      </w:r>
    </w:p>
    <w:p>
      <w:pPr>
        <w:pageBreakBefore w:val="0"/>
        <w:kinsoku/>
        <w:wordWrap/>
        <w:topLinePunct w:val="0"/>
        <w:autoSpaceDE/>
        <w:autoSpaceDN/>
        <w:bidi w:val="0"/>
        <w:adjustRightInd/>
        <w:snapToGrid/>
        <w:spacing w:line="580" w:lineRule="exact"/>
        <w:ind w:firstLine="630" w:firstLineChars="196"/>
        <w:textAlignment w:val="auto"/>
        <w:rPr>
          <w:rFonts w:ascii="仿宋_GB2312" w:hAnsi="仿宋_GB2312" w:eastAsia="仿宋_GB2312" w:cs="仿宋_GB2312"/>
          <w:color w:val="000000"/>
          <w:kern w:val="0"/>
          <w:sz w:val="32"/>
          <w:szCs w:val="32"/>
          <w:shd w:val="clear" w:color="auto" w:fill="FFFFFF"/>
        </w:rPr>
      </w:pPr>
      <w:r>
        <w:rPr>
          <w:rStyle w:val="11"/>
          <w:rFonts w:hint="eastAsia" w:ascii="楷体_GB2312" w:hAnsi="楷体_GB2312" w:eastAsia="楷体_GB2312" w:cs="楷体_GB2312"/>
          <w:color w:val="000000"/>
          <w:sz w:val="32"/>
          <w:szCs w:val="32"/>
        </w:rPr>
        <w:t>四是加快基层社会救助信息化建设。</w:t>
      </w:r>
      <w:r>
        <w:rPr>
          <w:rFonts w:hint="eastAsia" w:ascii="仿宋_GB2312" w:hAnsi="仿宋_GB2312" w:eastAsia="仿宋_GB2312" w:cs="仿宋_GB2312"/>
          <w:color w:val="000000"/>
          <w:kern w:val="0"/>
          <w:sz w:val="32"/>
          <w:szCs w:val="32"/>
          <w:shd w:val="clear" w:color="auto" w:fill="FFFFFF"/>
        </w:rPr>
        <w:t>完善主动发现机制，强化社会救助家庭经济状况核对系统建设，加强与相关部门的信息共享，实现居民经济状况核对智慧化发展，提升社会救助服务的便捷性，开启社会救助信息大数据时代。</w:t>
      </w:r>
    </w:p>
    <w:p>
      <w:pPr>
        <w:pageBreakBefore w:val="0"/>
        <w:kinsoku/>
        <w:wordWrap/>
        <w:topLinePunct w:val="0"/>
        <w:autoSpaceDE/>
        <w:autoSpaceDN/>
        <w:bidi w:val="0"/>
        <w:adjustRightInd/>
        <w:snapToGrid/>
        <w:spacing w:line="580" w:lineRule="exact"/>
        <w:ind w:firstLine="630" w:firstLineChars="196"/>
        <w:textAlignment w:val="auto"/>
        <w:rPr>
          <w:rFonts w:ascii="楷体_GB2312" w:hAnsi="楷体_GB2312" w:eastAsia="楷体_GB2312" w:cs="楷体_GB2312"/>
          <w:b/>
          <w:color w:val="000000"/>
          <w:sz w:val="32"/>
          <w:szCs w:val="32"/>
        </w:rPr>
      </w:pPr>
      <w:r>
        <w:rPr>
          <w:rStyle w:val="11"/>
          <w:rFonts w:hint="eastAsia" w:ascii="楷体_GB2312" w:hAnsi="楷体_GB2312" w:eastAsia="楷体_GB2312" w:cs="楷体_GB2312"/>
          <w:sz w:val="32"/>
          <w:szCs w:val="32"/>
        </w:rPr>
        <w:t>五是全面高效实施临时救助制度。</w:t>
      </w:r>
      <w:r>
        <w:rPr>
          <w:rFonts w:hint="eastAsia" w:ascii="仿宋_GB2312" w:eastAsia="仿宋_GB2312"/>
          <w:bCs/>
          <w:color w:val="000000"/>
          <w:sz w:val="32"/>
          <w:szCs w:val="32"/>
        </w:rPr>
        <w:t>全面推开“救急难”工作，进一步明确范围、标准和审核审批程序。对于急难对象采取“先行救助”的方式，增强救助时效性，实现应救尽救、托底救助。</w:t>
      </w:r>
    </w:p>
    <w:p>
      <w:pPr>
        <w:pageBreakBefore w:val="0"/>
        <w:kinsoku/>
        <w:wordWrap/>
        <w:topLinePunct w:val="0"/>
        <w:autoSpaceDE/>
        <w:autoSpaceDN/>
        <w:bidi w:val="0"/>
        <w:adjustRightInd/>
        <w:snapToGrid/>
        <w:spacing w:line="580" w:lineRule="exact"/>
        <w:ind w:firstLine="630" w:firstLineChars="196"/>
        <w:textAlignment w:val="auto"/>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rPr>
        <w:t>六是落实政府购买社会服务力度。</w:t>
      </w:r>
      <w:r>
        <w:rPr>
          <w:rFonts w:hint="eastAsia" w:ascii="仿宋_GB2312" w:hAnsi="仿宋_GB2312" w:eastAsia="仿宋_GB2312" w:cs="仿宋_GB2312"/>
          <w:color w:val="000000"/>
          <w:sz w:val="32"/>
          <w:szCs w:val="32"/>
          <w:shd w:val="clear" w:color="auto" w:fill="FFFFFF"/>
        </w:rPr>
        <w:t>支持社会力量通过承接政府购买服务、慈善捐赠、提供志愿服务等方式参与救助事业，构建政社协同、职责分明、保障有力、运转高效、群众满意的服务管理新格局。</w:t>
      </w:r>
    </w:p>
    <w:p>
      <w:pPr>
        <w:pageBreakBefore w:val="0"/>
        <w:kinsoku/>
        <w:wordWrap/>
        <w:topLinePunct w:val="0"/>
        <w:autoSpaceDE/>
        <w:autoSpaceDN/>
        <w:bidi w:val="0"/>
        <w:adjustRightInd/>
        <w:snapToGrid/>
        <w:spacing w:line="580" w:lineRule="exact"/>
        <w:ind w:firstLine="627" w:firstLineChars="196"/>
        <w:textAlignment w:val="auto"/>
        <w:rPr>
          <w:rFonts w:ascii="仿宋_GB2312" w:hAnsi="仿宋_GB2312" w:eastAsia="仿宋_GB2312" w:cs="仿宋_GB2312"/>
          <w:color w:val="00000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第四章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全面提升养老服务水平</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按照“政府保基本、社会增加供给、市场满足需求”的定位，加快养老政策支撑体系、服务供给体系、服务保障体系、服务评估体系、行业监管体系“五位一体”建设，重点实施智慧养老综合平台建设、养老产业扩链强链、养老服务品牌孵化、养老设施建设提升、养老人才队伍建设“五大工程”，努力形成居家社区机构相协调、医养康养相结合，基础有保障、中端有市场、高端有选择的养老服务体系，在保障人人享有基本养老服务的基础上，有效满足多样化多层次养老服务需求。</w:t>
      </w:r>
    </w:p>
    <w:p>
      <w:pPr>
        <w:pStyle w:val="9"/>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bCs/>
          <w:color w:val="000000"/>
          <w:kern w:val="2"/>
          <w:sz w:val="32"/>
          <w:szCs w:val="32"/>
        </w:rPr>
      </w:pPr>
      <w:r>
        <w:rPr>
          <w:rFonts w:hint="eastAsia" w:ascii="楷体_GB2312" w:hAnsi="楷体_GB2312" w:eastAsia="楷体_GB2312" w:cs="楷体_GB2312"/>
          <w:b/>
          <w:color w:val="000000"/>
          <w:kern w:val="2"/>
          <w:sz w:val="32"/>
          <w:szCs w:val="32"/>
        </w:rPr>
        <w:t>一是推进养老机构建设提升。</w:t>
      </w:r>
      <w:r>
        <w:rPr>
          <w:rFonts w:hint="eastAsia" w:ascii="仿宋_GB2312" w:hAnsi="Times New Roman" w:eastAsia="仿宋_GB2312"/>
          <w:bCs/>
          <w:color w:val="000000"/>
          <w:kern w:val="2"/>
          <w:sz w:val="32"/>
          <w:szCs w:val="32"/>
        </w:rPr>
        <w:t>实施特困人员供养服务设施</w:t>
      </w:r>
      <w:r>
        <w:rPr>
          <w:rFonts w:ascii="仿宋_GB2312" w:hAnsi="Times New Roman" w:eastAsia="仿宋_GB2312"/>
          <w:bCs/>
          <w:color w:val="000000"/>
          <w:kern w:val="2"/>
          <w:sz w:val="32"/>
          <w:szCs w:val="32"/>
        </w:rPr>
        <w:t>(</w:t>
      </w:r>
      <w:r>
        <w:rPr>
          <w:rFonts w:hint="eastAsia" w:ascii="仿宋_GB2312" w:hAnsi="Times New Roman" w:eastAsia="仿宋_GB2312"/>
          <w:bCs/>
          <w:color w:val="000000"/>
          <w:kern w:val="2"/>
          <w:sz w:val="32"/>
          <w:szCs w:val="32"/>
        </w:rPr>
        <w:t>敬老院</w:t>
      </w:r>
      <w:r>
        <w:rPr>
          <w:rFonts w:ascii="仿宋_GB2312" w:hAnsi="Times New Roman" w:eastAsia="仿宋_GB2312"/>
          <w:bCs/>
          <w:color w:val="000000"/>
          <w:kern w:val="2"/>
          <w:sz w:val="32"/>
          <w:szCs w:val="32"/>
        </w:rPr>
        <w:t>)</w:t>
      </w:r>
      <w:r>
        <w:rPr>
          <w:rFonts w:hint="eastAsia" w:ascii="仿宋_GB2312" w:hAnsi="Times New Roman" w:eastAsia="仿宋_GB2312"/>
          <w:bCs/>
          <w:color w:val="000000"/>
          <w:kern w:val="2"/>
          <w:sz w:val="32"/>
          <w:szCs w:val="32"/>
        </w:rPr>
        <w:t>改造提升三年行动，打造至少</w:t>
      </w:r>
      <w:r>
        <w:rPr>
          <w:rFonts w:ascii="仿宋_GB2312" w:hAnsi="Times New Roman" w:eastAsia="仿宋_GB2312"/>
          <w:bCs/>
          <w:color w:val="000000"/>
          <w:kern w:val="2"/>
          <w:sz w:val="32"/>
          <w:szCs w:val="32"/>
        </w:rPr>
        <w:t>1</w:t>
      </w:r>
      <w:r>
        <w:rPr>
          <w:rFonts w:hint="eastAsia" w:ascii="仿宋_GB2312" w:hAnsi="Times New Roman" w:eastAsia="仿宋_GB2312"/>
          <w:bCs/>
          <w:color w:val="000000"/>
          <w:kern w:val="2"/>
          <w:sz w:val="32"/>
          <w:szCs w:val="32"/>
        </w:rPr>
        <w:t>处以收住失能、半失能老年人为主</w:t>
      </w:r>
      <w:r>
        <w:rPr>
          <w:rFonts w:hint="eastAsia" w:ascii="仿宋_GB2312" w:hAnsi="Times New Roman" w:eastAsia="仿宋_GB2312"/>
          <w:bCs/>
          <w:color w:val="000000"/>
          <w:kern w:val="2"/>
          <w:sz w:val="32"/>
          <w:szCs w:val="32"/>
          <w:shd w:val="clear" w:color="auto" w:fill="FFFFFF"/>
        </w:rPr>
        <w:t>的区级敬老院</w:t>
      </w:r>
      <w:r>
        <w:rPr>
          <w:rFonts w:hint="eastAsia" w:ascii="仿宋_GB2312" w:hAnsi="Times New Roman" w:eastAsia="仿宋_GB2312"/>
          <w:bCs/>
          <w:color w:val="000000"/>
          <w:kern w:val="2"/>
          <w:sz w:val="32"/>
          <w:szCs w:val="32"/>
        </w:rPr>
        <w:t>。大力培育发展民办养老机构发展，重点推进医养结合型养老机构建设，护理型床位占比不低于</w:t>
      </w:r>
      <w:r>
        <w:rPr>
          <w:rFonts w:ascii="仿宋_GB2312" w:hAnsi="Times New Roman" w:eastAsia="仿宋_GB2312"/>
          <w:bCs/>
          <w:color w:val="000000"/>
          <w:kern w:val="2"/>
          <w:sz w:val="32"/>
          <w:szCs w:val="32"/>
        </w:rPr>
        <w:t>50</w:t>
      </w:r>
      <w:r>
        <w:rPr>
          <w:rFonts w:hint="eastAsia" w:ascii="仿宋_GB2312" w:hAnsi="Times New Roman" w:eastAsia="仿宋_GB2312"/>
          <w:bCs/>
          <w:color w:val="000000"/>
          <w:kern w:val="2"/>
          <w:sz w:val="32"/>
          <w:szCs w:val="32"/>
        </w:rPr>
        <w:t>％。</w:t>
      </w:r>
    </w:p>
    <w:p>
      <w:pPr>
        <w:pStyle w:val="9"/>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bCs/>
          <w:color w:val="000000"/>
          <w:kern w:val="2"/>
          <w:sz w:val="32"/>
          <w:szCs w:val="32"/>
        </w:rPr>
      </w:pPr>
      <w:r>
        <w:rPr>
          <w:rFonts w:hint="eastAsia" w:ascii="楷体_GB2312" w:hAnsi="楷体_GB2312" w:eastAsia="楷体_GB2312" w:cs="楷体_GB2312"/>
          <w:b/>
          <w:color w:val="000000"/>
          <w:kern w:val="2"/>
          <w:sz w:val="32"/>
          <w:szCs w:val="32"/>
        </w:rPr>
        <w:t>二是加快社区养老服务设施建设。</w:t>
      </w:r>
      <w:r>
        <w:rPr>
          <w:rFonts w:hint="eastAsia" w:ascii="仿宋_GB2312" w:hAnsi="Times New Roman" w:eastAsia="仿宋_GB2312"/>
          <w:bCs/>
          <w:color w:val="000000"/>
          <w:kern w:val="2"/>
          <w:sz w:val="32"/>
          <w:szCs w:val="32"/>
        </w:rPr>
        <w:t>拓展社区基础养老设施建设，加快推进老旧小区养老设施改造及新建住宅小区配建工作，十四五期间，全区各镇街至少建设</w:t>
      </w:r>
      <w:r>
        <w:rPr>
          <w:rFonts w:ascii="仿宋_GB2312" w:hAnsi="Times New Roman" w:eastAsia="仿宋_GB2312"/>
          <w:bCs/>
          <w:color w:val="000000"/>
          <w:kern w:val="2"/>
          <w:sz w:val="32"/>
          <w:szCs w:val="32"/>
        </w:rPr>
        <w:t>1</w:t>
      </w:r>
      <w:r>
        <w:rPr>
          <w:rFonts w:hint="eastAsia" w:ascii="仿宋_GB2312" w:hAnsi="Times New Roman" w:eastAsia="仿宋_GB2312"/>
          <w:bCs/>
          <w:color w:val="000000"/>
          <w:kern w:val="2"/>
          <w:sz w:val="32"/>
          <w:szCs w:val="32"/>
        </w:rPr>
        <w:t>处街道综合养老服务机构，加强农村社区养老服务设施建设，开展社区养老服务设施达标整治，确保社区日间照中心构覆盖率达到</w:t>
      </w:r>
      <w:r>
        <w:rPr>
          <w:rFonts w:ascii="仿宋_GB2312" w:hAnsi="Times New Roman" w:eastAsia="仿宋_GB2312"/>
          <w:bCs/>
          <w:color w:val="000000"/>
          <w:kern w:val="2"/>
          <w:sz w:val="32"/>
          <w:szCs w:val="32"/>
        </w:rPr>
        <w:t>90%</w:t>
      </w:r>
      <w:r>
        <w:rPr>
          <w:rFonts w:hint="eastAsia" w:ascii="仿宋_GB2312" w:hAnsi="Times New Roman" w:eastAsia="仿宋_GB2312"/>
          <w:bCs/>
          <w:color w:val="000000"/>
          <w:kern w:val="2"/>
          <w:sz w:val="32"/>
          <w:szCs w:val="32"/>
        </w:rPr>
        <w:t>、社区养老服务设施整治标率达到</w:t>
      </w:r>
      <w:r>
        <w:rPr>
          <w:rFonts w:ascii="仿宋_GB2312" w:hAnsi="Times New Roman" w:eastAsia="仿宋_GB2312"/>
          <w:bCs/>
          <w:color w:val="000000"/>
          <w:kern w:val="2"/>
          <w:sz w:val="32"/>
          <w:szCs w:val="32"/>
        </w:rPr>
        <w:t>100%</w:t>
      </w:r>
      <w:r>
        <w:rPr>
          <w:rFonts w:hint="eastAsia" w:ascii="仿宋_GB2312" w:hAnsi="Times New Roman" w:eastAsia="仿宋_GB2312"/>
          <w:bCs/>
          <w:color w:val="000000"/>
          <w:kern w:val="2"/>
          <w:sz w:val="32"/>
          <w:szCs w:val="32"/>
        </w:rPr>
        <w:t>。</w:t>
      </w:r>
    </w:p>
    <w:p>
      <w:pPr>
        <w:pStyle w:val="9"/>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eastAsia="仿宋_GB2312"/>
          <w:color w:val="000000"/>
          <w:sz w:val="32"/>
          <w:szCs w:val="32"/>
          <w:shd w:val="clear" w:color="auto" w:fill="FFFFFF"/>
        </w:rPr>
      </w:pPr>
      <w:r>
        <w:rPr>
          <w:rFonts w:hint="eastAsia" w:ascii="楷体_GB2312" w:hAnsi="楷体_GB2312" w:eastAsia="楷体_GB2312" w:cs="楷体_GB2312"/>
          <w:b/>
          <w:kern w:val="2"/>
          <w:sz w:val="32"/>
          <w:szCs w:val="32"/>
        </w:rPr>
        <w:t>三是着力提升居家养老服务水平。</w:t>
      </w:r>
      <w:r>
        <w:rPr>
          <w:rFonts w:hint="eastAsia" w:ascii="仿宋_GB2312" w:eastAsia="仿宋_GB2312"/>
          <w:color w:val="000000"/>
          <w:sz w:val="32"/>
          <w:szCs w:val="32"/>
          <w:shd w:val="clear" w:color="auto" w:fill="FFFFFF"/>
        </w:rPr>
        <w:t>加快建立健全以企业和机构为主体、覆盖城乡社区的居家养老服务网络，支持社区居家养老服务网点引入社会组织和家政、教育、物业服务等多元主体参与，打造“没有围墙的养老院”。探索发展长期护理保障制度，培育发展居家养老服务中介组织，促进居家养老服务业标准化、规范化、集约化发展。</w:t>
      </w:r>
      <w:r>
        <w:rPr>
          <w:rFonts w:ascii="仿宋_GB2312" w:eastAsia="仿宋_GB2312"/>
          <w:color w:val="000000"/>
          <w:sz w:val="32"/>
          <w:szCs w:val="32"/>
          <w:shd w:val="clear" w:color="auto" w:fill="FFFFFF"/>
        </w:rPr>
        <w:t xml:space="preserve"> </w:t>
      </w:r>
    </w:p>
    <w:p>
      <w:pPr>
        <w:pageBreakBefore w:val="0"/>
        <w:kinsoku/>
        <w:wordWrap/>
        <w:topLinePunct w:val="0"/>
        <w:autoSpaceDE/>
        <w:autoSpaceDN/>
        <w:bidi w:val="0"/>
        <w:adjustRightInd/>
        <w:snapToGrid/>
        <w:spacing w:line="58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color w:val="000000"/>
          <w:sz w:val="32"/>
          <w:szCs w:val="32"/>
        </w:rPr>
        <w:t>四是加大养老人才队伍建设。</w:t>
      </w:r>
      <w:r>
        <w:rPr>
          <w:rFonts w:hint="eastAsia" w:ascii="仿宋_GB2312" w:hAnsi="Times New Roman" w:eastAsia="仿宋_GB2312"/>
          <w:bCs/>
          <w:color w:val="000000"/>
          <w:sz w:val="32"/>
          <w:szCs w:val="32"/>
        </w:rPr>
        <w:t>开展养老服务品牌创建活动，积极引导高校毕业生、城镇和农村求职人员到养老服务行业就业。</w:t>
      </w:r>
      <w:r>
        <w:rPr>
          <w:rFonts w:hint="eastAsia" w:ascii="Times New Roman" w:hAnsi="Times New Roman" w:eastAsia="仿宋_GB2312"/>
          <w:sz w:val="32"/>
          <w:szCs w:val="32"/>
        </w:rPr>
        <w:t>健全人才教育培训体系，</w:t>
      </w:r>
      <w:r>
        <w:rPr>
          <w:rFonts w:hint="eastAsia" w:ascii="仿宋_GB2312" w:hAnsi="Times New Roman" w:eastAsia="仿宋_GB2312"/>
          <w:bCs/>
          <w:color w:val="000000"/>
          <w:sz w:val="32"/>
          <w:szCs w:val="32"/>
        </w:rPr>
        <w:t>加大对养老院院长、养老护理员、社会工作师等人员培训力度，促进行业健康持续发展。</w:t>
      </w:r>
      <w:r>
        <w:rPr>
          <w:rFonts w:hint="eastAsia" w:ascii="Times New Roman" w:hAnsi="Times New Roman" w:eastAsia="仿宋_GB2312"/>
          <w:sz w:val="32"/>
          <w:szCs w:val="32"/>
        </w:rPr>
        <w:t>壮大以专业人才、老年社会工作者、养老服务志愿者、老年人家庭照料者相结合的养老服务队伍。</w:t>
      </w:r>
    </w:p>
    <w:p>
      <w:pPr>
        <w:pageBreakBefore w:val="0"/>
        <w:widowControl/>
        <w:kinsoku/>
        <w:wordWrap/>
        <w:topLinePunct w:val="0"/>
        <w:autoSpaceDE/>
        <w:autoSpaceDN/>
        <w:bidi w:val="0"/>
        <w:adjustRightInd/>
        <w:snapToGrid/>
        <w:spacing w:line="580" w:lineRule="exact"/>
        <w:ind w:firstLine="643" w:firstLineChars="200"/>
        <w:jc w:val="left"/>
        <w:textAlignment w:val="auto"/>
        <w:rPr>
          <w:bCs/>
          <w:sz w:val="32"/>
          <w:szCs w:val="32"/>
        </w:rPr>
      </w:pPr>
      <w:r>
        <w:rPr>
          <w:rFonts w:hint="eastAsia" w:ascii="楷体_GB2312" w:hAnsi="楷体_GB2312" w:eastAsia="楷体_GB2312" w:cs="楷体_GB2312"/>
          <w:b/>
          <w:color w:val="000000"/>
          <w:sz w:val="32"/>
          <w:szCs w:val="32"/>
        </w:rPr>
        <w:t>五是推进养老服务信息化建设。</w:t>
      </w:r>
      <w:r>
        <w:rPr>
          <w:rFonts w:hint="eastAsia" w:ascii="Times New Roman" w:hAnsi="Times New Roman" w:eastAsia="仿宋_GB2312"/>
          <w:sz w:val="32"/>
          <w:szCs w:val="32"/>
        </w:rPr>
        <w:t>推行“互联网</w:t>
      </w:r>
      <w:r>
        <w:rPr>
          <w:rFonts w:ascii="Times New Roman" w:hAnsi="Times New Roman" w:eastAsia="仿宋_GB2312"/>
          <w:sz w:val="32"/>
          <w:szCs w:val="32"/>
        </w:rPr>
        <w:t>+</w:t>
      </w:r>
      <w:r>
        <w:rPr>
          <w:rFonts w:hint="eastAsia" w:ascii="Times New Roman" w:hAnsi="Times New Roman" w:eastAsia="仿宋_GB2312"/>
          <w:sz w:val="32"/>
          <w:szCs w:val="32"/>
        </w:rPr>
        <w:t>”智慧养老新模式，全面建设“智慧养老社区”，依托互联网、物联网等现代信息技术，整合社会各类服务资源，为老年人提供紧急救助、智能监护、生活帮助、健康管理等服务，实现“智慧养老社区”覆盖全区城镇社区。</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第五章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优化专项社会事务管理</w:t>
      </w:r>
    </w:p>
    <w:p>
      <w:pPr>
        <w:pageBreakBefore w:val="0"/>
        <w:kinsoku/>
        <w:wordWrap/>
        <w:topLinePunct w:val="0"/>
        <w:autoSpaceDE/>
        <w:autoSpaceDN/>
        <w:bidi w:val="0"/>
        <w:adjustRightInd/>
        <w:snapToGrid/>
        <w:spacing w:line="580" w:lineRule="exact"/>
        <w:jc w:val="left"/>
        <w:textAlignment w:val="auto"/>
        <w:rPr>
          <w:rFonts w:ascii="方正小标宋简体" w:hAnsi="方正小标宋简体" w:eastAsia="方正小标宋简体" w:cs="方正小标宋简体"/>
          <w:b/>
          <w:sz w:val="32"/>
          <w:szCs w:val="32"/>
        </w:rPr>
      </w:pPr>
    </w:p>
    <w:p>
      <w:pPr>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坚持政府主导、社会参与、保障基本、适度普惠的原则，</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以扶老、助残、救孤、济困为重点，构建新型社会福利体系。</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健全完善社会福利制度，促进福利慈善事业与社会救助工作</w:t>
      </w:r>
    </w:p>
    <w:p>
      <w:pPr>
        <w:pageBreakBefore w:val="0"/>
        <w:kinsoku/>
        <w:wordWrap/>
        <w:topLinePunct w:val="0"/>
        <w:autoSpaceDE/>
        <w:autoSpaceDN/>
        <w:bidi w:val="0"/>
        <w:adjustRightInd/>
        <w:snapToGrid/>
        <w:spacing w:line="580" w:lineRule="exact"/>
        <w:jc w:val="left"/>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紧密衔接。</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一、加强儿童福利和保护服务</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（一）进一步健全农村留守儿童关爱保护和困境儿童关爱服务体系，全面提升儿童福利水平。</w:t>
      </w:r>
      <w:r>
        <w:rPr>
          <w:rFonts w:hint="eastAsia" w:ascii="仿宋_GB2312" w:eastAsia="仿宋_GB2312"/>
          <w:color w:val="000000"/>
          <w:sz w:val="32"/>
          <w:szCs w:val="32"/>
          <w:shd w:val="clear" w:color="auto" w:fill="FFFFFF"/>
        </w:rPr>
        <w:t>不断完善孤困儿童基本生活保障制度，按照自然增长机制，稳步提升孤困儿童基本生活费发放水平。继续实施“福彩圆梦·孤儿助学工程”、“</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孤儿医疗康复明天计划”及低保家庭先天性心脏病患儿免费手术等专项福利救助项目。继续开展“合力监护·相伴成长”专项行动，全方位保障孤困儿童生活、教育、医疗、住房、就业权益。</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（二）加强儿童服务阵地建设，完善基础设施建设，开展儿童福利机构功能提升工程及未成年人救助保护中心服务提升功能。</w:t>
      </w:r>
      <w:r>
        <w:rPr>
          <w:rFonts w:hint="eastAsia" w:ascii="仿宋_GB2312" w:eastAsia="仿宋_GB2312"/>
          <w:color w:val="000000"/>
          <w:sz w:val="32"/>
          <w:szCs w:val="32"/>
          <w:shd w:val="clear" w:color="auto" w:fill="FFFFFF"/>
        </w:rPr>
        <w:t>健全完善农村留守儿童关爱服务体系，建立完善留守儿童发现、报告、干预、跟踪、关爱等机制，全方位保障权益。加强孤儿保障工作，逐年提高孤儿基本生活费标准，对孤儿养育状况进行定期巡查和监督评估，落实孤儿医疗康复、教育、住房及成年后就业等相关的优惠政策，为孤儿成长提供必要的服务和支持。推动儿童福利机构由“养育型”向“服务型”转变，扩展服务对象。完善未成年人救助保护机构服务条件，实现全覆盖，做到有场所、有工作人员，切实履行临时监护、信息摸底排查、登记建档、动态更新和儿童督导员、儿童主任业务培训等十项工作职责。</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（三）加强儿童工作人才队伍建设，提升儿童福利领域工作人员素质。</w:t>
      </w:r>
      <w:r>
        <w:rPr>
          <w:rFonts w:hint="eastAsia" w:ascii="仿宋_GB2312" w:eastAsia="仿宋_GB2312"/>
          <w:color w:val="000000"/>
          <w:sz w:val="32"/>
          <w:szCs w:val="32"/>
          <w:shd w:val="clear" w:color="auto" w:fill="FFFFFF"/>
        </w:rPr>
        <w:t>加强对职能科室、儿童福利机构和未成年人救助保护机构工作人员的法律法规和政策培训；选准配强儿童督导员和儿童主任，每年开展一次培训，建立儿童督导员、儿童主任津补贴制度。建立并落实收养登记员培训制度，依法开展收养登记工作，规范家庭寄养。</w:t>
      </w:r>
    </w:p>
    <w:p>
      <w:pPr>
        <w:pageBreakBefore w:val="0"/>
        <w:kinsoku/>
        <w:wordWrap/>
        <w:topLinePunct w:val="0"/>
        <w:autoSpaceDE/>
        <w:autoSpaceDN/>
        <w:bidi w:val="0"/>
        <w:adjustRightInd/>
        <w:snapToGrid/>
        <w:spacing w:line="58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二、大力发展慈善社工事业</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（一）持续加强社会工作专业人才队伍建设。</w:t>
      </w:r>
      <w:r>
        <w:rPr>
          <w:rFonts w:hint="eastAsia" w:ascii="仿宋_GB2312" w:eastAsia="仿宋_GB2312"/>
          <w:sz w:val="32"/>
          <w:szCs w:val="32"/>
        </w:rPr>
        <w:t>通过加强社会工作专业人才培养、推行社会工作专业人才职业水平评</w:t>
      </w:r>
      <w:r>
        <w:rPr>
          <w:rFonts w:hint="eastAsia" w:ascii="仿宋_GB2312" w:eastAsia="仿宋_GB2312"/>
          <w:color w:val="000000"/>
          <w:sz w:val="32"/>
          <w:szCs w:val="32"/>
          <w:shd w:val="clear" w:color="auto" w:fill="FFFFFF"/>
        </w:rPr>
        <w:t>价、建立社会工作专业人才职业制度体系、加强社会工作专业人才数字系统建设、加强社会工作专业人才激励保障等举措，进一步做大做强社会工作人才队伍，加强服务与管理，提升社会工作人才队伍的专业化、职业水平，为社会工作事业全面健康可持续发展提供有力的保障。推进镇（街道）社会工作站建设，到“十四五”末实现镇（街道）社工站全覆盖。</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（二）大力发展慈善社工和志愿服务。</w:t>
      </w:r>
      <w:r>
        <w:rPr>
          <w:rFonts w:hint="eastAsia" w:ascii="仿宋_GB2312" w:eastAsia="仿宋_GB2312"/>
          <w:color w:val="000000"/>
          <w:sz w:val="32"/>
          <w:szCs w:val="32"/>
          <w:shd w:val="clear" w:color="auto" w:fill="FFFFFF"/>
        </w:rPr>
        <w:t>全面落实慈善法，健全慈善组织公开募捐、信息公开、保值增值监管机制。完善慈善网络，创建公益慈善品牌。弘扬志愿服务精神，支持福彩事业发展。策划社工和志愿服务项目</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制定社工人才激励机制，培育社会工作和志愿服务者队伍。</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三、深化殡葬事业改革</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提质升级基本社会服务</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加快推进公益性公墓建设，</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“十四五”期间建设区级公墓</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处，镇村级公墓</w:t>
      </w:r>
      <w:r>
        <w:rPr>
          <w:rFonts w:ascii="仿宋_GB2312" w:hAnsi="仿宋_GB2312" w:eastAsia="仿宋_GB2312" w:cs="仿宋_GB2312"/>
          <w:color w:val="000000"/>
          <w:sz w:val="32"/>
          <w:szCs w:val="32"/>
          <w:shd w:val="clear" w:color="auto" w:fill="FFFFFF"/>
        </w:rPr>
        <w:t>16</w:t>
      </w:r>
      <w:r>
        <w:rPr>
          <w:rFonts w:hint="eastAsia" w:ascii="仿宋_GB2312" w:hAnsi="仿宋_GB2312" w:eastAsia="仿宋_GB2312" w:cs="仿宋_GB2312"/>
          <w:color w:val="000000"/>
          <w:sz w:val="32"/>
          <w:szCs w:val="32"/>
          <w:shd w:val="clear" w:color="auto" w:fill="FFFFFF"/>
        </w:rPr>
        <w:t>处，规划建设墓穴共</w:t>
      </w: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万个。</w:t>
      </w:r>
      <w:r>
        <w:rPr>
          <w:rFonts w:hint="eastAsia" w:ascii="仿宋_GB2312" w:eastAsia="仿宋_GB2312"/>
          <w:color w:val="000000"/>
          <w:sz w:val="32"/>
          <w:szCs w:val="32"/>
          <w:shd w:val="clear" w:color="auto" w:fill="FFFFFF"/>
        </w:rPr>
        <w:t>加强殡仪馆、公益性骨灰堂、农村公益性公墓、镇街集中治丧场所等基础设施建设，推进火化炉环保改造，完善殡葬公共服务体系。大力倡导节地生态安葬，鼓励引导群众采取不占地或少占地、不搞水泥石材固化硬化的安葬方式。巩固殡葬领域突出问题专项整治成果，综合运用政策宣传、思想教育、村规民约、矛盾调处等多种手段，稳妥解决殡葬管理实际问题。推进婚丧习俗改革，明确操办标准和要求、违约责任和奖惩措施，引导树立厚养薄葬、节地生态、移风易俗的殡葬新风尚。</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四、规范婚姻登记管理</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推进婚姻登记机构标准化建设，推动完善婚姻信息大数据库，创新婚姻登记服务模式，打造婚姻登记服务品牌。探索推动婚姻登记机关纳入参公或行政机关。全面开展结婚登记颁证服务和婚姻指导、心理辅导等服务，推动和谐婚姻、和谐家庭建设。积极改善办公环境，提升服务保障质量。积极改善办公环境软硬件设施，升级安防系统。全面提高婚姻登记管理服务水平。</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五、抓好流浪乞讨人员救助</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加强救助管理</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加大寻亲力度，深入开展“互联网</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”寻亲服务。继续开展“夏季送清凉”“冬季送温暖”专项活动，做好街面流浪乞讨人员救助工作。</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六、持续深入开展农村移风易俗工作</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充分发挥红白理事会组织推动移风易俗工作的积极作用；充分发挥村规民约的约束作用，遏制“天价彩礼”、婚丧喜庆大操大办等陋习蔓延；突出重点人群，充分发挥广大党员干部在推动移风易俗工作中的示范带动作用；强化宣传教育，努力营造推动移风易俗工作的浓厚氛围。</w:t>
      </w:r>
    </w:p>
    <w:p>
      <w:pPr>
        <w:pStyle w:val="22"/>
        <w:pageBreakBefore w:val="0"/>
        <w:kinsoku/>
        <w:wordWrap/>
        <w:topLinePunct w:val="0"/>
        <w:autoSpaceDE/>
        <w:autoSpaceDN/>
        <w:bidi w:val="0"/>
        <w:adjustRightInd/>
        <w:snapToGrid/>
        <w:spacing w:line="580" w:lineRule="exact"/>
        <w:jc w:val="both"/>
        <w:textAlignment w:val="auto"/>
        <w:rPr>
          <w:rFonts w:ascii="仿宋_GB2312" w:hAnsi="Times New Roman" w:eastAsia="仿宋_GB2312"/>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第六章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深化社会组织党建管理</w:t>
      </w:r>
    </w:p>
    <w:p>
      <w:pPr>
        <w:pageBreakBefore w:val="0"/>
        <w:kinsoku/>
        <w:wordWrap/>
        <w:topLinePunct w:val="0"/>
        <w:autoSpaceDE/>
        <w:autoSpaceDN/>
        <w:bidi w:val="0"/>
        <w:adjustRightInd/>
        <w:snapToGrid/>
        <w:spacing w:line="580" w:lineRule="exact"/>
        <w:ind w:firstLine="640" w:firstLineChars="200"/>
        <w:jc w:val="center"/>
        <w:textAlignment w:val="auto"/>
        <w:rPr>
          <w:rFonts w:ascii="仿宋_GB2312" w:hAnsi="仿宋_GB2312" w:eastAsia="仿宋_GB2312" w:cs="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以改革促创新，全力深化社会组织党建和管理工作，促进我区社会组织健康有序发展。</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一、构建社会组织党建工作体系</w:t>
      </w:r>
    </w:p>
    <w:p>
      <w:pPr>
        <w:pageBreakBefore w:val="0"/>
        <w:kinsoku/>
        <w:wordWrap/>
        <w:topLinePunct w:val="0"/>
        <w:autoSpaceDE/>
        <w:autoSpaceDN/>
        <w:bidi w:val="0"/>
        <w:adjustRightInd/>
        <w:snapToGrid/>
        <w:spacing w:line="580" w:lineRule="exact"/>
        <w:ind w:firstLine="643" w:firstLineChars="200"/>
        <w:textAlignment w:val="auto"/>
        <w:rPr>
          <w:rFonts w:ascii="仿宋_GB2312" w:hAnsi="宋体" w:eastAsia="仿宋_GB2312" w:cs="宋体"/>
          <w:kern w:val="0"/>
          <w:sz w:val="32"/>
          <w:szCs w:val="32"/>
        </w:rPr>
      </w:pPr>
      <w:r>
        <w:rPr>
          <w:rFonts w:hint="eastAsia" w:ascii="仿宋_GB2312" w:eastAsia="仿宋_GB2312"/>
          <w:b/>
          <w:sz w:val="32"/>
          <w:szCs w:val="32"/>
        </w:rPr>
        <w:t>（一）加强社会组织党组织规范化建设。</w:t>
      </w:r>
      <w:r>
        <w:rPr>
          <w:rFonts w:hint="eastAsia" w:ascii="仿宋_GB2312" w:hAnsi="宋体" w:eastAsia="仿宋_GB2312" w:cs="宋体"/>
          <w:kern w:val="0"/>
          <w:sz w:val="32"/>
          <w:szCs w:val="32"/>
        </w:rPr>
        <w:t>制定社会组织党的建设指导文件，切实发挥社会组织党组织的政治核心作用。推动党组织有形覆盖和有效覆盖相结合。找准党组织工作与社会组织发展结点，探索社会组织“党建”和“业务”融合模式。</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仿宋_GB2312" w:eastAsia="仿宋_GB2312"/>
          <w:b/>
          <w:sz w:val="32"/>
          <w:szCs w:val="32"/>
        </w:rPr>
        <w:t>（二）加强党组织书记队伍建设。</w:t>
      </w:r>
      <w:r>
        <w:rPr>
          <w:rFonts w:hint="eastAsia" w:ascii="仿宋_GB2312" w:hAnsi="宋体" w:eastAsia="仿宋_GB2312" w:cs="宋体"/>
          <w:kern w:val="0"/>
          <w:sz w:val="32"/>
          <w:szCs w:val="32"/>
        </w:rPr>
        <w:t>注重从管理和技术岗位，从党性观念强、思想政治素质好、群众信得过的党员中选拔社会组织党组织书记。创新党员培养机制，拓宽教育培训渠道，增强培训的针对性和有效性，提升党员综合服务能力。健全党员基础档案，加强社会组织党员的管理。充分发挥社会组织党员作用，探索通过设置党员示范岗、党员责任区、党员突击队等方式，以点带面，示范引领社会组织发展。</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仿宋_GB2312" w:eastAsia="仿宋_GB2312"/>
          <w:b/>
          <w:sz w:val="32"/>
          <w:szCs w:val="32"/>
        </w:rPr>
        <w:t>（三）开展党建特色品牌创建活动。</w:t>
      </w:r>
      <w:r>
        <w:rPr>
          <w:rFonts w:hint="eastAsia" w:ascii="仿宋_GB2312" w:hAnsi="宋体" w:eastAsia="仿宋_GB2312" w:cs="宋体"/>
          <w:kern w:val="0"/>
          <w:sz w:val="32"/>
          <w:szCs w:val="32"/>
        </w:rPr>
        <w:t>进一步深化“基层党组织服务能力提升工程”工作，打造具有特色鲜明、规范化程度高、示范带动力强的的社会组织党建示范点。鼓励各党支部创建党建特色品牌，充分发挥党建品牌的辐射和示范带动作用，形成“党建项目”品牌效应。</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二、完善健全社会组织服务支持和综合监管体系</w:t>
      </w:r>
    </w:p>
    <w:p>
      <w:pPr>
        <w:pageBreakBefore w:val="0"/>
        <w:kinsoku/>
        <w:wordWrap/>
        <w:topLinePunct w:val="0"/>
        <w:autoSpaceDE/>
        <w:autoSpaceDN/>
        <w:bidi w:val="0"/>
        <w:adjustRightInd/>
        <w:snapToGrid/>
        <w:spacing w:line="580" w:lineRule="exact"/>
        <w:ind w:firstLine="630" w:firstLineChars="196"/>
        <w:textAlignment w:val="auto"/>
        <w:rPr>
          <w:rFonts w:ascii="仿宋_GB2312" w:hAnsi="宋体" w:eastAsia="仿宋_GB2312" w:cs="宋体"/>
          <w:kern w:val="0"/>
          <w:sz w:val="32"/>
          <w:szCs w:val="32"/>
        </w:rPr>
      </w:pPr>
      <w:r>
        <w:rPr>
          <w:rFonts w:hint="eastAsia" w:ascii="仿宋_GB2312" w:eastAsia="仿宋_GB2312"/>
          <w:b/>
          <w:sz w:val="32"/>
          <w:szCs w:val="32"/>
        </w:rPr>
        <w:t>（一）创新促进社会组织发展体制机制。</w:t>
      </w:r>
      <w:r>
        <w:rPr>
          <w:rFonts w:hint="eastAsia" w:ascii="仿宋_GB2312" w:hAnsi="宋体" w:eastAsia="仿宋_GB2312" w:cs="宋体"/>
          <w:kern w:val="0"/>
          <w:sz w:val="32"/>
          <w:szCs w:val="32"/>
        </w:rPr>
        <w:t>严格落实《大力培育发展社区社会组织》。研究制定社区社会组织登记和备案管理制度，对达不到登记条件的社区社会组织，探索由街道办事处直接实施管理。推动在街道层面成立街道社会组织联合会，发挥管理服务协调作用。</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（二）加强社会组织领域法制化建设。</w:t>
      </w:r>
      <w:r>
        <w:rPr>
          <w:rFonts w:hint="eastAsia" w:ascii="仿宋_GB2312" w:hAnsi="仿宋_GB2312" w:eastAsia="仿宋_GB2312" w:cs="仿宋_GB2312"/>
          <w:sz w:val="32"/>
          <w:szCs w:val="32"/>
        </w:rPr>
        <w:t>根据国家社会组织立法进程，及时跟进制定地方配套法规规章和规范性文件，完善社会组织登记管理实施办法，健全统一登记、各司其职、协调配合、分级负责、依法监管的中国特色社会组织管理体制，形成结构合理、功能完善、竞争有序、诚信自律、充满活力的社会组织发展格局。</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（三）落实改革社会组织登记管理制度。</w:t>
      </w:r>
      <w:r>
        <w:rPr>
          <w:rFonts w:hint="eastAsia" w:ascii="仿宋_GB2312" w:hAnsi="仿宋_GB2312" w:eastAsia="仿宋_GB2312" w:cs="仿宋_GB2312"/>
          <w:sz w:val="32"/>
          <w:szCs w:val="32"/>
        </w:rPr>
        <w:t>推动中共中央办公厅、国务院办公厅《关于改革社会组织管理制度促进社会组织健康有序发展的意见》落地生根，改革制约社会组织发展的体制机制，建立政社分开、权责明确、依法自治的社会组织制度。进一步推进社会组织领域“放管服”改革，促进社会组织数量稳步增加、质量明显提高、作用更好发挥。</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（四）促进社会组织健康有序发展。</w:t>
      </w:r>
      <w:r>
        <w:rPr>
          <w:rFonts w:hint="eastAsia" w:ascii="仿宋_GB2312" w:hAnsi="仿宋_GB2312" w:eastAsia="仿宋_GB2312" w:cs="仿宋_GB2312"/>
          <w:sz w:val="32"/>
          <w:szCs w:val="32"/>
        </w:rPr>
        <w:t>充分发挥社会组织管理工作联席会议作用，建立登记管理机关、业务主管单位、行业管理部门、综合监管部门、党建工作机构共同参与的社会组织综合监管机制，做到责任明确、机制有效，强化各方面共同责任与协同配合。做好行业协会商会涉企收费清理规范工作，严厉打击非法社会组织和社会组织非法活动。健全完善社会组织法人治理结构，全面加强组织建设、制度建设、业务建设和党的建设，严格依章程开展活动。</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（五）激发社会组织发展活力。</w:t>
      </w:r>
      <w:r>
        <w:rPr>
          <w:rFonts w:hint="eastAsia" w:ascii="仿宋_GB2312" w:hAnsi="仿宋_GB2312" w:eastAsia="仿宋_GB2312" w:cs="仿宋_GB2312"/>
          <w:sz w:val="32"/>
          <w:szCs w:val="32"/>
        </w:rPr>
        <w:t>发挥行业协会商会连接政府、市场的桥梁纽带作用，推动行业协会商会更好服务经济发展。加大政府向社会组织购买服务力度。动员引导社会组织履行社会责任，积极参与脱贫攻坚、乡村振兴、</w:t>
      </w:r>
      <w:r>
        <w:rPr>
          <w:rFonts w:hint="eastAsia" w:ascii="仿宋_GB2312" w:hAnsi="宋体" w:eastAsia="仿宋_GB2312" w:cs="仿宋_GB2312"/>
          <w:color w:val="000000"/>
          <w:kern w:val="0"/>
          <w:sz w:val="32"/>
          <w:szCs w:val="32"/>
        </w:rPr>
        <w:t>平安建设、社会治理</w:t>
      </w:r>
      <w:r>
        <w:rPr>
          <w:rFonts w:hint="eastAsia" w:ascii="仿宋_GB2312" w:hAnsi="宋体" w:eastAsia="仿宋_GB2312" w:cs="仿宋_GB2312"/>
          <w:color w:val="000000"/>
          <w:sz w:val="32"/>
          <w:szCs w:val="32"/>
        </w:rPr>
        <w:t>等发展战略，在服务大局、服务群众中发挥更大作用，体现社会组织核心价值。</w:t>
      </w: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r>
        <w:rPr>
          <w:rFonts w:hint="eastAsia" w:ascii="方正小标宋简体" w:hAnsi="黑体" w:eastAsia="方正小标宋简体" w:cs="黑体"/>
          <w:bCs/>
          <w:color w:val="000000"/>
          <w:spacing w:val="0"/>
          <w:sz w:val="32"/>
          <w:szCs w:val="32"/>
        </w:rPr>
        <w:t>第七章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增强基层民主和社会治理能力</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党的十九大和十九届四中全会精神，坚持以基层党组织建设为关键、政府治理为主导、居民需求为导向，改革创新为动力，进一步健全体系、整合资源、增强能力，使城乡社区治理体制更加成熟定型，城乡社区治理能力更为精准全面。</w:t>
      </w:r>
    </w:p>
    <w:p>
      <w:pPr>
        <w:pageBreakBefore w:val="0"/>
        <w:kinsoku/>
        <w:wordWrap/>
        <w:topLinePunct w:val="0"/>
        <w:autoSpaceDE/>
        <w:autoSpaceDN/>
        <w:bidi w:val="0"/>
        <w:adjustRightInd/>
        <w:snapToGrid/>
        <w:spacing w:line="580" w:lineRule="exact"/>
        <w:ind w:firstLine="64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一是完善基层民主制度。</w:t>
      </w:r>
      <w:r>
        <w:rPr>
          <w:rFonts w:hint="eastAsia" w:ascii="仿宋_GB2312" w:hAnsi="仿宋_GB2312" w:eastAsia="仿宋_GB2312" w:cs="仿宋_GB2312"/>
          <w:sz w:val="32"/>
          <w:szCs w:val="32"/>
        </w:rPr>
        <w:t>健全村党组织领导的充满活力的村民自治机制，丰富基层民主协商形式，保证农民依法实行民主选举、民主协商、民主决策、民主管理、民主监督。进一步加强基层群众性自治组织规范化建设，完善民主选举制度，规范民主选举程序，依法依规按时完成第十三届村民委员会和第三届城市社区居民委员会换届选举工作。健全议事协商制度，进一步拓展协商形式、规范协商程序。强化民主管理水平，充分发挥村规民约、居民公约和自治章程在弘扬公序良俗方面的积极作用。建立责权明晰、衔接配套、运转有效的村级民主监督机制，全面落实“四议两公开”和民主评议村干部制度，坚持并完善村务公开和“民主日”活动制度。建立常态化的防范和整治“村霸”长效机制，建立对不服从党组织领导、违反法律法规、履职不到位、群众反映强烈的村民委员会成员退出机制。认真贯彻落实中央、全省农村工作会议精神，紧紧围绕打造乡村振兴齐鲁样板引领区目标定位，全力抓好乡村组织振兴各项硬任务落实。</w:t>
      </w:r>
    </w:p>
    <w:p>
      <w:pPr>
        <w:pageBreakBefore w:val="0"/>
        <w:kinsoku/>
        <w:wordWrap/>
        <w:topLinePunct w:val="0"/>
        <w:autoSpaceDE/>
        <w:autoSpaceDN/>
        <w:bidi w:val="0"/>
        <w:adjustRightInd/>
        <w:snapToGrid/>
        <w:spacing w:line="580" w:lineRule="exact"/>
        <w:ind w:firstLine="640"/>
        <w:textAlignment w:val="auto"/>
        <w:rPr>
          <w:rFonts w:ascii="楷体_GB2312" w:eastAsia="楷体_GB2312"/>
          <w:b/>
          <w:sz w:val="32"/>
          <w:szCs w:val="32"/>
        </w:rPr>
      </w:pPr>
      <w:r>
        <w:rPr>
          <w:rFonts w:hint="eastAsia" w:ascii="楷体_GB2312" w:hAnsi="楷体_GB2312" w:eastAsia="楷体_GB2312" w:cs="楷体_GB2312"/>
          <w:b/>
          <w:sz w:val="32"/>
          <w:szCs w:val="32"/>
        </w:rPr>
        <w:t>二是提升社区治理水平。</w:t>
      </w:r>
      <w:r>
        <w:rPr>
          <w:rFonts w:hint="eastAsia" w:ascii="仿宋_GB2312" w:hAnsi="仿宋_GB2312" w:eastAsia="仿宋_GB2312" w:cs="仿宋_GB2312"/>
          <w:sz w:val="32"/>
          <w:szCs w:val="32"/>
        </w:rPr>
        <w:t>充分发挥党组织在社区建设中的领导核心作用，建立健全以党组织为核心，居委会为主导，辖区单位、社会组织、居民群众等多元参与的社区治理架构。开展城乡社区治理创新实验和示范创建，不断推进全国、全省城乡社区试验区建设，扩大范围、提高质量、打造品牌，进一步完善社区治理结构、创新社区治理机制。健全社区工作者职业体系，做好社区工作者认定和招录工作，坚持并不断完善社区工作者“三岗十八级”薪酬制度，建设社区工作者实训基地。提高社区服务能力，推进“一窗受理，全科服务”模式在城市社区全覆盖，实现“只找一个人，能办所有事”。积极推进社区减负增效，清理整合各职能部门在社区设立的工作机构和加挂的各种牌子，精简社区会议和工作台账，全面清理基层政府各职能部门要求基层群众性自治组织出具的各类证明。增强社区信息化应用能力，协调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社区”工作，加快互联网与社区治理和服务体系的深度融合，引导社区居民密切日常交往、参与公共事务、开展协商活动、组织邻里互助，探索网络化社区治理和服务新模式。</w:t>
      </w:r>
    </w:p>
    <w:p>
      <w:pPr>
        <w:pageBreakBefore w:val="0"/>
        <w:kinsoku/>
        <w:wordWrap/>
        <w:topLinePunct w:val="0"/>
        <w:autoSpaceDE/>
        <w:autoSpaceDN/>
        <w:bidi w:val="0"/>
        <w:adjustRightInd/>
        <w:snapToGrid/>
        <w:spacing w:line="580" w:lineRule="exact"/>
        <w:textAlignment w:val="auto"/>
        <w:rPr>
          <w:rFonts w:ascii="仿宋_GB2312" w:hAnsi="宋体" w:eastAsia="仿宋_GB2312" w:cs="仿宋_GB2312"/>
          <w:color w:val="00000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 w:val="0"/>
          <w:bCs/>
          <w:color w:val="000000"/>
          <w:spacing w:val="0"/>
          <w:sz w:val="32"/>
          <w:szCs w:val="32"/>
        </w:rPr>
      </w:pPr>
      <w:r>
        <w:rPr>
          <w:rFonts w:hint="eastAsia" w:ascii="方正小标宋简体" w:hAnsi="黑体" w:eastAsia="方正小标宋简体" w:cs="黑体"/>
          <w:bCs/>
          <w:color w:val="000000"/>
          <w:spacing w:val="0"/>
          <w:sz w:val="32"/>
          <w:szCs w:val="32"/>
        </w:rPr>
        <w:t>第八章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着力提升地名管理水平</w:t>
      </w:r>
    </w:p>
    <w:p>
      <w:pPr>
        <w:pageBreakBefore w:val="0"/>
        <w:kinsoku/>
        <w:wordWrap/>
        <w:topLinePunct w:val="0"/>
        <w:autoSpaceDE/>
        <w:autoSpaceDN/>
        <w:bidi w:val="0"/>
        <w:adjustRightInd/>
        <w:snapToGrid/>
        <w:spacing w:line="580" w:lineRule="exact"/>
        <w:jc w:val="center"/>
        <w:textAlignment w:val="auto"/>
        <w:rPr>
          <w:b/>
          <w:sz w:val="32"/>
          <w:szCs w:val="32"/>
        </w:rPr>
      </w:pP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一是推进地名信息化建设，提高信息化服务能力。</w:t>
      </w:r>
      <w:r>
        <w:rPr>
          <w:rFonts w:hint="eastAsia" w:ascii="仿宋_GB2312" w:hAnsi="仿宋_GB2312" w:eastAsia="仿宋_GB2312" w:cs="仿宋_GB2312"/>
          <w:sz w:val="32"/>
          <w:szCs w:val="32"/>
        </w:rPr>
        <w:t>按照国家、省、市部署，建立实施数据动态维护更新机制，进一步完善各级地名数据库系统，丰富和完善地名信息资源。按照兼顾保密和公共服务的原则，积极推进“互联网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区划地名”工作部署，推动地名信息数据共享和公共服务平台质量提升，创新服务形式、拓展服务内容，全面提高地名信息化建设质量。</w:t>
      </w:r>
    </w:p>
    <w:p>
      <w:pPr>
        <w:pageBreakBefore w:val="0"/>
        <w:kinsoku/>
        <w:wordWrap/>
        <w:topLinePunct w:val="0"/>
        <w:autoSpaceDE/>
        <w:autoSpaceDN/>
        <w:bidi w:val="0"/>
        <w:adjustRightInd/>
        <w:snapToGrid/>
        <w:spacing w:line="580" w:lineRule="exact"/>
        <w:ind w:firstLine="643" w:firstLineChars="20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二是健全地名公共服务体系，提升服务质量</w:t>
      </w:r>
      <w:r>
        <w:rPr>
          <w:rFonts w:hint="eastAsia" w:ascii="仿宋_GB2312" w:eastAsia="仿宋_GB2312"/>
          <w:b/>
          <w:sz w:val="32"/>
          <w:szCs w:val="32"/>
        </w:rPr>
        <w:t>。</w:t>
      </w:r>
      <w:r>
        <w:rPr>
          <w:rFonts w:hint="eastAsia" w:ascii="仿宋_GB2312" w:hAnsi="仿宋_GB2312" w:eastAsia="仿宋_GB2312" w:cs="仿宋_GB2312"/>
          <w:sz w:val="32"/>
          <w:szCs w:val="32"/>
        </w:rPr>
        <w:t>健全完善以地名标准化为基础、地名信息化为手段、城乡系列地名志标志为载体、地名文化为支撑的地名公共服务体系。在完成不规范地名进行标准化处理的基础上，对重要地理实体设置地名标志；积极推进地名规划修编和贯彻实施，进一步完善地名标志体系，协助做好省级地名地址库建设工作，深入推进第二次全国地名普查成果转化，落实转化规划内容，完成标准地名图录典志编制出版工作。</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三是加强地名理论研究和地名文化建设。</w:t>
      </w:r>
      <w:r>
        <w:rPr>
          <w:rFonts w:hint="eastAsia" w:ascii="仿宋_GB2312" w:hAnsi="仿宋_GB2312" w:eastAsia="仿宋_GB2312" w:cs="仿宋_GB2312"/>
          <w:sz w:val="32"/>
          <w:szCs w:val="32"/>
        </w:rPr>
        <w:t>深化地名管理基础理论研究，深入开展区域地名文化研究。编制济宁市兖州区地名志，健全地名文化遗产评价标准体系，落实保护措施。提高地名的文化品位。积极开发地名文化产品，活跃开展地名文化活动。</w:t>
      </w:r>
    </w:p>
    <w:p>
      <w:pPr>
        <w:pageBreakBefore w:val="0"/>
        <w:kinsoku/>
        <w:wordWrap/>
        <w:topLinePunct w:val="0"/>
        <w:autoSpaceDE/>
        <w:autoSpaceDN/>
        <w:bidi w:val="0"/>
        <w:adjustRightInd/>
        <w:snapToGrid/>
        <w:spacing w:line="580" w:lineRule="exact"/>
        <w:ind w:firstLine="643" w:firstLineChars="20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四是深入推进平安边界建设。</w:t>
      </w:r>
      <w:r>
        <w:rPr>
          <w:rFonts w:hint="eastAsia" w:ascii="仿宋_GB2312" w:hAnsi="仿宋_GB2312" w:eastAsia="仿宋_GB2312" w:cs="仿宋_GB2312"/>
          <w:sz w:val="32"/>
          <w:szCs w:val="32"/>
        </w:rPr>
        <w:t>完成好县级行政区域边界联检工作，排查处置边界纠纷隐患，加强界线管理信息化建设。结合联检工作，进一步加强对界线界桩的管理维护。按照省民政厅县级行政区域界线界桩更换试点工作实施方案标准要求，对损毁的界桩予以更换。</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五是积极稳妥推进我区部分行政区划调整工作。</w:t>
      </w:r>
      <w:r>
        <w:rPr>
          <w:rFonts w:hint="eastAsia" w:ascii="仿宋_GB2312" w:hAnsi="仿宋_GB2312" w:eastAsia="仿宋_GB2312" w:cs="仿宋_GB2312"/>
          <w:sz w:val="32"/>
          <w:szCs w:val="32"/>
        </w:rPr>
        <w:t>从我区自然地理条件、资源开发状况、城镇和产业布局特点出发，本着统筹区域发展、优化资源开发、高效利用国土空间和精简效能的原则，积极推进我区部分行政区划调整工作。</w:t>
      </w:r>
    </w:p>
    <w:p>
      <w:pPr>
        <w:pageBreakBefore w:val="0"/>
        <w:kinsoku/>
        <w:wordWrap/>
        <w:topLinePunct w:val="0"/>
        <w:autoSpaceDE/>
        <w:autoSpaceDN/>
        <w:bidi w:val="0"/>
        <w:adjustRightInd/>
        <w:snapToGrid/>
        <w:spacing w:line="580" w:lineRule="exact"/>
        <w:textAlignment w:val="auto"/>
        <w:rPr>
          <w:rFonts w:ascii="黑体" w:hAnsi="黑体" w:eastAsia="黑体"/>
          <w:b/>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第九章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保障民政事业发展目标顺利实现</w:t>
      </w: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第一节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坚持党建统领</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坚持党组织统领全局的领导核心作用，牢固树立政治意识、大局意识、核心意识、看齐意识，认真落实中央和省、市、区关于民政事业发展的重大战略、重大改革、重大政策、重大任务等部署要求，不断提高领导能力和水平。加强基层党组织建设，推进党的建设与民政业务融合发展，深入开展党性党风教育，发挥基层党组织战斗堡垒作用和党员先锋模范作用。认真贯彻落实全面从严治党各项要求，严明党的纪律和规矩，严肃党内政治生活，落实党风廉政建设主体责任和监督责任，加大对重点领域和重要环节监督检查，健全完善“三严三实”作风建设长效机制，为民政事业改革发展营造风清气正的良好环境。</w:t>
      </w:r>
    </w:p>
    <w:p>
      <w:pPr>
        <w:pStyle w:val="22"/>
        <w:pageBreakBefore w:val="0"/>
        <w:kinsoku/>
        <w:wordWrap/>
        <w:topLinePunct w:val="0"/>
        <w:autoSpaceDE/>
        <w:autoSpaceDN/>
        <w:bidi w:val="0"/>
        <w:adjustRightInd/>
        <w:snapToGrid/>
        <w:spacing w:line="580" w:lineRule="exact"/>
        <w:ind w:firstLine="642"/>
        <w:jc w:val="both"/>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第二节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加强法治建设</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立足群众日益多元的服务需求，及时制定、修订相关规范性文件，做好各项政策法规之间的衔接配套，形成与经济社会发展相适应的民政政策法规体系。严格依法行政，健全完善行政执法责任制和过错追究制度，建立权责明确、行为规范、监督有效、保障有力的民政行政执法工作机制。建立职权法定工作机制，全面推进民政权力依法设置和公开透明运行机制建设。建立健全权力清单、责任清单制度。完善重大行政决策程序制度。深化行政审批制度改革，强化简政放权。落实“双随机”</w:t>
      </w:r>
      <w:r>
        <w:rPr>
          <w:rFonts w:ascii="仿宋_GB2312" w:hAnsi="黑体" w:eastAsia="仿宋_GB2312"/>
          <w:b w:val="0"/>
          <w:spacing w:val="0"/>
          <w:sz w:val="32"/>
          <w:szCs w:val="32"/>
        </w:rPr>
        <w:t xml:space="preserve"> </w:t>
      </w:r>
      <w:r>
        <w:rPr>
          <w:rFonts w:hint="eastAsia" w:ascii="仿宋_GB2312" w:hAnsi="黑体" w:eastAsia="仿宋_GB2312"/>
          <w:b w:val="0"/>
          <w:spacing w:val="0"/>
          <w:sz w:val="32"/>
          <w:szCs w:val="32"/>
        </w:rPr>
        <w:t>抽查，规范事中事后监管。规范和改进审批行为，简化审批程序，方便群众办事创业。深入开展民政法治宣传和普法教育，为切实提高依法行政水平奠定基础。</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第三节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强化投入保障</w:t>
      </w:r>
    </w:p>
    <w:p>
      <w:pPr>
        <w:pStyle w:val="22"/>
        <w:pageBreakBefore w:val="0"/>
        <w:kinsoku/>
        <w:wordWrap/>
        <w:topLinePunct w:val="0"/>
        <w:autoSpaceDE/>
        <w:autoSpaceDN/>
        <w:bidi w:val="0"/>
        <w:adjustRightInd/>
        <w:snapToGrid/>
        <w:spacing w:line="580" w:lineRule="exact"/>
        <w:ind w:firstLine="627" w:firstLineChars="196"/>
        <w:jc w:val="left"/>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ind w:firstLine="640" w:firstLineChars="200"/>
        <w:jc w:val="left"/>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建立完善与经济社会发展水平相适应的民政事业经费增长机制，积极鼓励和引导社会力量投入社会福利和公共服务领域，充分发挥慈善捐赠、经常性社会捐助募集资金的辅助作用，形成以政府购买服务、政府项目补贴等方式为核心，社会力量广泛参与的多渠道、多形式、多层次的民政事业发展资金筹措机制。加强资金监管，防范资金风险，全面推行民政项目经费绩效评估，提高资金使用效益，增强民政保障能力。</w:t>
      </w:r>
    </w:p>
    <w:p>
      <w:pPr>
        <w:pStyle w:val="22"/>
        <w:pageBreakBefore w:val="0"/>
        <w:kinsoku/>
        <w:wordWrap/>
        <w:topLinePunct w:val="0"/>
        <w:autoSpaceDE/>
        <w:autoSpaceDN/>
        <w:bidi w:val="0"/>
        <w:adjustRightInd/>
        <w:snapToGrid/>
        <w:spacing w:line="580" w:lineRule="exact"/>
        <w:ind w:firstLine="627" w:firstLineChars="196"/>
        <w:jc w:val="left"/>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第四节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加强队伍建设</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Calibri" w:eastAsia="仿宋_GB2312"/>
          <w:bCs/>
          <w:color w:val="000000"/>
          <w:spacing w:val="0"/>
          <w:sz w:val="32"/>
          <w:szCs w:val="32"/>
          <w:shd w:val="clear" w:color="auto" w:fill="FFFFFF"/>
        </w:rPr>
      </w:pPr>
      <w:r>
        <w:rPr>
          <w:rFonts w:hint="eastAsia" w:ascii="仿宋_GB2312" w:hAnsi="黑体" w:eastAsia="仿宋_GB2312"/>
          <w:b w:val="0"/>
          <w:spacing w:val="0"/>
          <w:sz w:val="32"/>
          <w:szCs w:val="32"/>
        </w:rPr>
        <w:t>以建立专业化、职业化的民政队伍为目标，培养民政领军人才，加强行政管理人才、企事业单位管理人才、专业技术人才和技能人才队伍建设，培育发展数量充足、结构合理、素质优良的社会工作专业人才队伍。建立民政人才定期培训制度，完善民政干部继续教育和培训制度，加强思想政治、业务技能学习教育。加强民政综合执法队伍建设，全面履行民政综合执法监督职能，规范民政行政行为。加强基层民政力量建设，推动乡镇（街道）民政工作机构规范化建设，采取政府购买服务、以奖代补、设置基层民政公益性岗位等方式，协调推动基层民政工作机构设置、人员配备、经费保障、办公条件改善等工作，确保各项工作任务在基层得到全面落实。</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第五节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创新服务方式</w:t>
      </w:r>
    </w:p>
    <w:p>
      <w:pPr>
        <w:pStyle w:val="22"/>
        <w:pageBreakBefore w:val="0"/>
        <w:kinsoku/>
        <w:wordWrap/>
        <w:topLinePunct w:val="0"/>
        <w:autoSpaceDE/>
        <w:autoSpaceDN/>
        <w:bidi w:val="0"/>
        <w:adjustRightInd/>
        <w:snapToGrid/>
        <w:spacing w:line="580" w:lineRule="exact"/>
        <w:ind w:firstLine="630" w:firstLineChars="196"/>
        <w:jc w:val="both"/>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运用大数据、云计算技术，建设民政云服务支撑平台，增强民政信息安全保障，提升信息化对科学决策的支撑作用，为民政工作创新发展提供强有力的技术支撑。加强民政门户网站、政务微信建设，提升民政新闻宣传现代化水平和政务公开工作水平。加大民政政策宣传力度，积极借助网络平台、社会组织等资源，扩大宣传覆盖面，优化民政事业发展的舆论环境。加强民政政策理论研究工作，通过政策创制、政策落地，推动民政事业创新发展、转型发展。</w:t>
      </w:r>
    </w:p>
    <w:p>
      <w:pPr>
        <w:pStyle w:val="22"/>
        <w:pageBreakBefore w:val="0"/>
        <w:kinsoku/>
        <w:wordWrap/>
        <w:topLinePunct w:val="0"/>
        <w:autoSpaceDE/>
        <w:autoSpaceDN/>
        <w:bidi w:val="0"/>
        <w:adjustRightInd/>
        <w:snapToGrid/>
        <w:spacing w:line="580" w:lineRule="exact"/>
        <w:ind w:firstLine="627" w:firstLineChars="196"/>
        <w:jc w:val="both"/>
        <w:textAlignment w:val="auto"/>
        <w:rPr>
          <w:rFonts w:ascii="仿宋_GB2312" w:hAnsi="黑体" w:eastAsia="仿宋_GB2312"/>
          <w:b w:val="0"/>
          <w:spacing w:val="0"/>
          <w:sz w:val="32"/>
          <w:szCs w:val="32"/>
        </w:rPr>
      </w:pPr>
    </w:p>
    <w:p>
      <w:pPr>
        <w:pStyle w:val="3"/>
        <w:pageBreakBefore w:val="0"/>
        <w:kinsoku/>
        <w:wordWrap/>
        <w:topLinePunct w:val="0"/>
        <w:autoSpaceDE/>
        <w:autoSpaceDN/>
        <w:bidi w:val="0"/>
        <w:adjustRightInd/>
        <w:snapToGrid/>
        <w:spacing w:before="0" w:after="0" w:line="580" w:lineRule="exact"/>
        <w:jc w:val="center"/>
        <w:textAlignment w:val="auto"/>
        <w:rPr>
          <w:rFonts w:ascii="黑体" w:eastAsia="黑体" w:cs="楷体_GB2312"/>
          <w:kern w:val="2"/>
          <w:sz w:val="32"/>
          <w:szCs w:val="32"/>
        </w:rPr>
      </w:pPr>
      <w:r>
        <w:rPr>
          <w:rFonts w:hint="eastAsia" w:ascii="黑体" w:hAnsi="楷体_GB2312" w:eastAsia="黑体" w:cs="楷体_GB2312"/>
          <w:kern w:val="2"/>
          <w:sz w:val="32"/>
          <w:szCs w:val="32"/>
        </w:rPr>
        <w:t>第六节</w:t>
      </w:r>
      <w:r>
        <w:rPr>
          <w:rFonts w:ascii="黑体" w:hAnsi="楷体_GB2312" w:eastAsia="黑体" w:cs="楷体_GB2312"/>
          <w:kern w:val="2"/>
          <w:sz w:val="32"/>
          <w:szCs w:val="32"/>
        </w:rPr>
        <w:t xml:space="preserve">  </w:t>
      </w:r>
      <w:r>
        <w:rPr>
          <w:rFonts w:hint="eastAsia" w:ascii="黑体" w:hAnsi="楷体_GB2312" w:eastAsia="黑体" w:cs="楷体_GB2312"/>
          <w:kern w:val="2"/>
          <w:sz w:val="32"/>
          <w:szCs w:val="32"/>
        </w:rPr>
        <w:t>统筹民政领域安全发展</w:t>
      </w:r>
    </w:p>
    <w:p>
      <w:pPr>
        <w:pageBreakBefore w:val="0"/>
        <w:kinsoku/>
        <w:wordWrap/>
        <w:topLinePunct w:val="0"/>
        <w:autoSpaceDE/>
        <w:autoSpaceDN/>
        <w:bidi w:val="0"/>
        <w:adjustRightInd/>
        <w:snapToGrid/>
        <w:spacing w:line="580" w:lineRule="exact"/>
        <w:textAlignment w:val="auto"/>
        <w:rPr>
          <w:rFonts w:ascii="仿宋_GB2312" w:hAnsi="黑体" w:eastAsia="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黑体" w:eastAsia="仿宋_GB2312"/>
          <w:sz w:val="32"/>
          <w:szCs w:val="32"/>
          <w:lang w:val="zh-CN"/>
        </w:rPr>
      </w:pPr>
      <w:r>
        <w:rPr>
          <w:rFonts w:hint="eastAsia" w:ascii="仿宋_GB2312" w:hAnsi="黑体" w:eastAsia="仿宋_GB2312"/>
          <w:sz w:val="32"/>
          <w:szCs w:val="32"/>
          <w:lang w:val="zh-CN"/>
        </w:rPr>
        <w:t>牢固树立安全发展理念，强化底线思维，教育引导民政系统党员干部时刻绷紧意识形态安全、民政服务机构安全、网络安全、保密安全四根弦，始终坚持中心工作与安全发展工作“两手抓、两手硬”。建立健全民政领域风险防范化解工作机制，严格落实安全生产责任制，完善安全隐患排查和预防防控体系，持续深入开展养老服务机构、社会福利院、儿童福利院、婚姻收养服务机构、殡仪服务机构、流浪乞讨人员救助管理站等民政服务机构安全风险隐患排查整治。全力配合做好疫情防控外防输入、内防反弹工作，坚持常态化精准防控和局部应急处置有机结合，严格执行“四早”措施，完善常态化监测预警工作措施，</w:t>
      </w:r>
      <w:r>
        <w:rPr>
          <w:rFonts w:hint="eastAsia" w:ascii="仿宋_GB2312" w:hAnsi="黑体" w:eastAsia="仿宋_GB2312"/>
          <w:sz w:val="32"/>
          <w:szCs w:val="32"/>
        </w:rPr>
        <w:t>健全应急处置工作机制</w:t>
      </w:r>
      <w:r>
        <w:rPr>
          <w:rFonts w:hint="eastAsia" w:ascii="仿宋_GB2312" w:hAnsi="黑体" w:eastAsia="仿宋_GB2312"/>
          <w:sz w:val="32"/>
          <w:szCs w:val="32"/>
          <w:lang w:val="zh-CN"/>
        </w:rPr>
        <w:t>。</w:t>
      </w:r>
    </w:p>
    <w:p>
      <w:pPr>
        <w:pStyle w:val="22"/>
        <w:pageBreakBefore w:val="0"/>
        <w:kinsoku/>
        <w:wordWrap/>
        <w:topLinePunct w:val="0"/>
        <w:autoSpaceDE/>
        <w:autoSpaceDN/>
        <w:bidi w:val="0"/>
        <w:adjustRightInd/>
        <w:snapToGrid/>
        <w:spacing w:line="580" w:lineRule="exact"/>
        <w:ind w:firstLine="627" w:firstLineChars="196"/>
        <w:jc w:val="both"/>
        <w:textAlignment w:val="auto"/>
        <w:rPr>
          <w:rFonts w:ascii="仿宋_GB2312" w:hAnsi="黑体" w:eastAsia="仿宋_GB2312"/>
          <w:b w:val="0"/>
          <w:spacing w:val="0"/>
          <w:sz w:val="32"/>
          <w:szCs w:val="32"/>
        </w:rPr>
      </w:pPr>
    </w:p>
    <w:p>
      <w:pPr>
        <w:pStyle w:val="22"/>
        <w:pageBreakBefore w:val="0"/>
        <w:numPr>
          <w:ilvl w:val="0"/>
          <w:numId w:val="3"/>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强化监督考核</w:t>
      </w:r>
    </w:p>
    <w:p>
      <w:pPr>
        <w:pStyle w:val="22"/>
        <w:pageBreakBefore w:val="0"/>
        <w:kinsoku/>
        <w:wordWrap/>
        <w:topLinePunct w:val="0"/>
        <w:autoSpaceDE/>
        <w:autoSpaceDN/>
        <w:bidi w:val="0"/>
        <w:adjustRightInd/>
        <w:snapToGrid/>
        <w:spacing w:line="580" w:lineRule="exact"/>
        <w:jc w:val="both"/>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Calibri" w:eastAsia="仿宋_GB2312"/>
          <w:bCs/>
          <w:color w:val="000000"/>
          <w:spacing w:val="0"/>
          <w:sz w:val="32"/>
          <w:szCs w:val="32"/>
          <w:shd w:val="clear" w:color="auto" w:fill="FFFFFF"/>
        </w:rPr>
      </w:pPr>
      <w:r>
        <w:rPr>
          <w:rFonts w:hint="eastAsia" w:ascii="仿宋_GB2312" w:hAnsi="黑体" w:eastAsia="仿宋_GB2312"/>
          <w:b w:val="0"/>
          <w:spacing w:val="0"/>
          <w:sz w:val="32"/>
          <w:szCs w:val="32"/>
        </w:rPr>
        <w:t>高度重视民政事业发展，切实加强组织领导，把民政工作纳入政府工作的重要议事日程和干部绩效考核体系，把更多的民政任务指标纳入科学发展考评体系。建立完善部门协调机制、激励机制、问责机制、考核评价和廉政制度，切实做到责任到位、措施到位、投入到位、管理到位。围绕规划，科学制定实施方案，分解目标任务，落实工作责任，抓好督查落实，确保各项目标任务落实到位。加强对规划实施的监督检查、跟踪分析，建立民政事业发展状况监测体系，确保《规划》重点指标和主要任务圆满完成。</w:t>
      </w:r>
    </w:p>
    <w:sectPr>
      <w:footerReference r:id="rId3" w:type="default"/>
      <w:footerReference r:id="rId4" w:type="even"/>
      <w:pgSz w:w="11906" w:h="16838"/>
      <w:pgMar w:top="1701"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w:altName w:val="HakusyuTenkoin_kk"/>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22</w:t>
    </w:r>
    <w:r>
      <w:rPr>
        <w:rStyle w:val="12"/>
      </w:rPr>
      <w:fldChar w:fldCharType="end"/>
    </w:r>
  </w:p>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BCEBBC"/>
    <w:multiLevelType w:val="singleLevel"/>
    <w:tmpl w:val="CFBCEBBC"/>
    <w:lvl w:ilvl="0" w:tentative="0">
      <w:start w:val="1"/>
      <w:numFmt w:val="chineseCounting"/>
      <w:suff w:val="space"/>
      <w:lvlText w:val="第%1节"/>
      <w:lvlJc w:val="left"/>
      <w:rPr>
        <w:rFonts w:hint="eastAsia" w:cs="Times New Roman"/>
      </w:rPr>
    </w:lvl>
  </w:abstractNum>
  <w:abstractNum w:abstractNumId="1">
    <w:nsid w:val="E26F8757"/>
    <w:multiLevelType w:val="singleLevel"/>
    <w:tmpl w:val="E26F8757"/>
    <w:lvl w:ilvl="0" w:tentative="0">
      <w:start w:val="7"/>
      <w:numFmt w:val="chineseCounting"/>
      <w:suff w:val="space"/>
      <w:lvlText w:val="第%1节"/>
      <w:lvlJc w:val="left"/>
      <w:rPr>
        <w:rFonts w:hint="eastAsia" w:cs="Times New Roman"/>
      </w:rPr>
    </w:lvl>
  </w:abstractNum>
  <w:abstractNum w:abstractNumId="2">
    <w:nsid w:val="F8033C56"/>
    <w:multiLevelType w:val="singleLevel"/>
    <w:tmpl w:val="F8033C56"/>
    <w:lvl w:ilvl="0" w:tentative="0">
      <w:start w:val="1"/>
      <w:numFmt w:val="chineseCounting"/>
      <w:suff w:val="space"/>
      <w:lvlText w:val="第%1节"/>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D0"/>
    <w:rsid w:val="00011DFA"/>
    <w:rsid w:val="000225D9"/>
    <w:rsid w:val="0004134D"/>
    <w:rsid w:val="00051F96"/>
    <w:rsid w:val="000633E7"/>
    <w:rsid w:val="0009074A"/>
    <w:rsid w:val="00093EC3"/>
    <w:rsid w:val="000A0782"/>
    <w:rsid w:val="000A3D0F"/>
    <w:rsid w:val="000A67C6"/>
    <w:rsid w:val="000C156F"/>
    <w:rsid w:val="000E654A"/>
    <w:rsid w:val="000F63A1"/>
    <w:rsid w:val="00105A52"/>
    <w:rsid w:val="00130115"/>
    <w:rsid w:val="00133FE6"/>
    <w:rsid w:val="001364D4"/>
    <w:rsid w:val="00136BDD"/>
    <w:rsid w:val="00136EA9"/>
    <w:rsid w:val="0015145C"/>
    <w:rsid w:val="0016629A"/>
    <w:rsid w:val="00186C2B"/>
    <w:rsid w:val="00192670"/>
    <w:rsid w:val="001A6AAE"/>
    <w:rsid w:val="001A77D4"/>
    <w:rsid w:val="001B63E5"/>
    <w:rsid w:val="001D0C5B"/>
    <w:rsid w:val="001D475D"/>
    <w:rsid w:val="001F1554"/>
    <w:rsid w:val="001F5CBA"/>
    <w:rsid w:val="0020450F"/>
    <w:rsid w:val="002202B6"/>
    <w:rsid w:val="00230EE5"/>
    <w:rsid w:val="002353B1"/>
    <w:rsid w:val="002613A1"/>
    <w:rsid w:val="00273277"/>
    <w:rsid w:val="00284843"/>
    <w:rsid w:val="002C0DA4"/>
    <w:rsid w:val="002C7DE5"/>
    <w:rsid w:val="002D0F94"/>
    <w:rsid w:val="002E0034"/>
    <w:rsid w:val="002F03F4"/>
    <w:rsid w:val="002F4CE1"/>
    <w:rsid w:val="00306B84"/>
    <w:rsid w:val="00311DF8"/>
    <w:rsid w:val="00317A6F"/>
    <w:rsid w:val="00333E41"/>
    <w:rsid w:val="00336FE4"/>
    <w:rsid w:val="00343C1A"/>
    <w:rsid w:val="00362727"/>
    <w:rsid w:val="003833D4"/>
    <w:rsid w:val="003900EA"/>
    <w:rsid w:val="003A0370"/>
    <w:rsid w:val="003B5735"/>
    <w:rsid w:val="003C6942"/>
    <w:rsid w:val="003E0C32"/>
    <w:rsid w:val="003F0541"/>
    <w:rsid w:val="003F4E67"/>
    <w:rsid w:val="00431E5E"/>
    <w:rsid w:val="00433337"/>
    <w:rsid w:val="00445E5D"/>
    <w:rsid w:val="004563A3"/>
    <w:rsid w:val="0046497E"/>
    <w:rsid w:val="00464A7B"/>
    <w:rsid w:val="0047716A"/>
    <w:rsid w:val="004823FF"/>
    <w:rsid w:val="00494C55"/>
    <w:rsid w:val="00497478"/>
    <w:rsid w:val="004B020B"/>
    <w:rsid w:val="00500869"/>
    <w:rsid w:val="005125C6"/>
    <w:rsid w:val="00515BA1"/>
    <w:rsid w:val="00536E47"/>
    <w:rsid w:val="00567A3A"/>
    <w:rsid w:val="00567E53"/>
    <w:rsid w:val="00575467"/>
    <w:rsid w:val="00592D0B"/>
    <w:rsid w:val="005A0AE8"/>
    <w:rsid w:val="005A163A"/>
    <w:rsid w:val="005B7F19"/>
    <w:rsid w:val="005E1691"/>
    <w:rsid w:val="005E21C8"/>
    <w:rsid w:val="005F2076"/>
    <w:rsid w:val="005F6A7F"/>
    <w:rsid w:val="00610620"/>
    <w:rsid w:val="00620632"/>
    <w:rsid w:val="006233A3"/>
    <w:rsid w:val="006364D0"/>
    <w:rsid w:val="0064672A"/>
    <w:rsid w:val="006546AB"/>
    <w:rsid w:val="0066424B"/>
    <w:rsid w:val="0069777B"/>
    <w:rsid w:val="006F3719"/>
    <w:rsid w:val="006F6A32"/>
    <w:rsid w:val="00710D1C"/>
    <w:rsid w:val="007249C0"/>
    <w:rsid w:val="00733E2A"/>
    <w:rsid w:val="00745CB2"/>
    <w:rsid w:val="0075145F"/>
    <w:rsid w:val="007515B1"/>
    <w:rsid w:val="00751AB8"/>
    <w:rsid w:val="00752902"/>
    <w:rsid w:val="00772920"/>
    <w:rsid w:val="0077350C"/>
    <w:rsid w:val="00781FD9"/>
    <w:rsid w:val="007B3883"/>
    <w:rsid w:val="007B4254"/>
    <w:rsid w:val="007D075B"/>
    <w:rsid w:val="007D2B2C"/>
    <w:rsid w:val="007E3FD6"/>
    <w:rsid w:val="007F5F40"/>
    <w:rsid w:val="008023DE"/>
    <w:rsid w:val="008151FB"/>
    <w:rsid w:val="00871630"/>
    <w:rsid w:val="0089601B"/>
    <w:rsid w:val="008B6032"/>
    <w:rsid w:val="008C5A7E"/>
    <w:rsid w:val="008D547C"/>
    <w:rsid w:val="008F1DE9"/>
    <w:rsid w:val="008F54FB"/>
    <w:rsid w:val="009014A8"/>
    <w:rsid w:val="00921ED8"/>
    <w:rsid w:val="00963F4D"/>
    <w:rsid w:val="009701FF"/>
    <w:rsid w:val="0098168A"/>
    <w:rsid w:val="009A048D"/>
    <w:rsid w:val="009A0F68"/>
    <w:rsid w:val="00A13BC3"/>
    <w:rsid w:val="00A53DCA"/>
    <w:rsid w:val="00A57C1C"/>
    <w:rsid w:val="00A649C6"/>
    <w:rsid w:val="00A66F6E"/>
    <w:rsid w:val="00A7290D"/>
    <w:rsid w:val="00A768E5"/>
    <w:rsid w:val="00AA2D09"/>
    <w:rsid w:val="00AB2A0A"/>
    <w:rsid w:val="00AB3286"/>
    <w:rsid w:val="00AD0AA7"/>
    <w:rsid w:val="00AE1D3B"/>
    <w:rsid w:val="00B2702C"/>
    <w:rsid w:val="00B31018"/>
    <w:rsid w:val="00B37120"/>
    <w:rsid w:val="00B4308D"/>
    <w:rsid w:val="00B54348"/>
    <w:rsid w:val="00B643C6"/>
    <w:rsid w:val="00B831C7"/>
    <w:rsid w:val="00BA7583"/>
    <w:rsid w:val="00BD3CC7"/>
    <w:rsid w:val="00BE1B64"/>
    <w:rsid w:val="00C275F6"/>
    <w:rsid w:val="00C27C42"/>
    <w:rsid w:val="00C42311"/>
    <w:rsid w:val="00C507CD"/>
    <w:rsid w:val="00C54481"/>
    <w:rsid w:val="00C6461B"/>
    <w:rsid w:val="00C67E12"/>
    <w:rsid w:val="00C84321"/>
    <w:rsid w:val="00C922CF"/>
    <w:rsid w:val="00C975B6"/>
    <w:rsid w:val="00CD1CF4"/>
    <w:rsid w:val="00CE2A82"/>
    <w:rsid w:val="00CF16FC"/>
    <w:rsid w:val="00D270C9"/>
    <w:rsid w:val="00D30B85"/>
    <w:rsid w:val="00D65244"/>
    <w:rsid w:val="00D6743D"/>
    <w:rsid w:val="00D94E7D"/>
    <w:rsid w:val="00DA598C"/>
    <w:rsid w:val="00DB0116"/>
    <w:rsid w:val="00DC1DC3"/>
    <w:rsid w:val="00DD1AD0"/>
    <w:rsid w:val="00DD2E72"/>
    <w:rsid w:val="00DD7993"/>
    <w:rsid w:val="00DF08B8"/>
    <w:rsid w:val="00DF320D"/>
    <w:rsid w:val="00E0474A"/>
    <w:rsid w:val="00E25CC0"/>
    <w:rsid w:val="00E26EEE"/>
    <w:rsid w:val="00E30958"/>
    <w:rsid w:val="00E4555A"/>
    <w:rsid w:val="00E45AEC"/>
    <w:rsid w:val="00E54DAE"/>
    <w:rsid w:val="00E64148"/>
    <w:rsid w:val="00E65B3F"/>
    <w:rsid w:val="00EA27AB"/>
    <w:rsid w:val="00EA4F52"/>
    <w:rsid w:val="00EB1BE6"/>
    <w:rsid w:val="00EC48CD"/>
    <w:rsid w:val="00EE06A3"/>
    <w:rsid w:val="00F052D6"/>
    <w:rsid w:val="00F07E80"/>
    <w:rsid w:val="00F1015D"/>
    <w:rsid w:val="00F1138D"/>
    <w:rsid w:val="00F21F9E"/>
    <w:rsid w:val="00F25CE4"/>
    <w:rsid w:val="00F26C16"/>
    <w:rsid w:val="00F319FF"/>
    <w:rsid w:val="00F40EF5"/>
    <w:rsid w:val="00F77701"/>
    <w:rsid w:val="00F93FB8"/>
    <w:rsid w:val="00FB7ECE"/>
    <w:rsid w:val="00FE0D77"/>
    <w:rsid w:val="03A27C48"/>
    <w:rsid w:val="053B39FD"/>
    <w:rsid w:val="0B9C3FA3"/>
    <w:rsid w:val="12F40394"/>
    <w:rsid w:val="183453BC"/>
    <w:rsid w:val="18740E99"/>
    <w:rsid w:val="1A0845D0"/>
    <w:rsid w:val="1DB777D9"/>
    <w:rsid w:val="1EBD67FB"/>
    <w:rsid w:val="275C095E"/>
    <w:rsid w:val="28DD0C4F"/>
    <w:rsid w:val="35396682"/>
    <w:rsid w:val="37927232"/>
    <w:rsid w:val="3B1B02F8"/>
    <w:rsid w:val="3D24734F"/>
    <w:rsid w:val="3F2A36AD"/>
    <w:rsid w:val="3FAD47A0"/>
    <w:rsid w:val="41D74D79"/>
    <w:rsid w:val="41ED0FEA"/>
    <w:rsid w:val="42C55765"/>
    <w:rsid w:val="44524DC8"/>
    <w:rsid w:val="4ECB0231"/>
    <w:rsid w:val="5B8867D0"/>
    <w:rsid w:val="66436AE4"/>
    <w:rsid w:val="69AA06F1"/>
    <w:rsid w:val="6AA456FE"/>
    <w:rsid w:val="73C12641"/>
    <w:rsid w:val="7CDC22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4"/>
    <w:qFormat/>
    <w:locked/>
    <w:uiPriority w:val="99"/>
    <w:pPr>
      <w:keepNext/>
      <w:keepLines/>
      <w:spacing w:before="260" w:after="260" w:line="416" w:lineRule="auto"/>
      <w:outlineLvl w:val="1"/>
    </w:pPr>
    <w:rPr>
      <w:rFonts w:ascii="Cambria" w:hAnsi="Cambria" w:eastAsia="楷体_GB2312"/>
      <w:b/>
      <w:bCs/>
      <w:kern w:val="0"/>
    </w:rPr>
  </w:style>
  <w:style w:type="paragraph" w:styleId="4">
    <w:name w:val="heading 3"/>
    <w:basedOn w:val="1"/>
    <w:next w:val="1"/>
    <w:link w:val="15"/>
    <w:qFormat/>
    <w:locked/>
    <w:uiPriority w:val="99"/>
    <w:pPr>
      <w:keepNext/>
      <w:keepLines/>
      <w:spacing w:line="413" w:lineRule="auto"/>
      <w:outlineLvl w:val="2"/>
    </w:pPr>
    <w:rPr>
      <w:b/>
      <w:kern w:val="0"/>
      <w:sz w:val="20"/>
      <w:szCs w:val="20"/>
    </w:rPr>
  </w:style>
  <w:style w:type="character" w:default="1" w:styleId="10">
    <w:name w:val="Default Paragraph Font"/>
    <w:semiHidden/>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link w:val="16"/>
    <w:semiHidden/>
    <w:qFormat/>
    <w:uiPriority w:val="99"/>
    <w:pPr>
      <w:snapToGrid w:val="0"/>
      <w:jc w:val="left"/>
    </w:pPr>
    <w:rPr>
      <w:rFonts w:eastAsia="仿宋_GB2312"/>
      <w:sz w:val="18"/>
      <w:szCs w:val="18"/>
    </w:rPr>
  </w:style>
  <w:style w:type="paragraph" w:styleId="5">
    <w:name w:val="Body Text Indent"/>
    <w:basedOn w:val="1"/>
    <w:link w:val="17"/>
    <w:semiHidden/>
    <w:qFormat/>
    <w:uiPriority w:val="99"/>
    <w:pPr>
      <w:spacing w:after="120"/>
      <w:ind w:left="420" w:leftChars="200"/>
    </w:pPr>
  </w:style>
  <w:style w:type="paragraph" w:styleId="6">
    <w:name w:val="footer"/>
    <w:basedOn w:val="1"/>
    <w:link w:val="18"/>
    <w:semiHidden/>
    <w:qFormat/>
    <w:uiPriority w:val="99"/>
    <w:pPr>
      <w:tabs>
        <w:tab w:val="center" w:pos="4153"/>
        <w:tab w:val="right" w:pos="8306"/>
      </w:tabs>
      <w:snapToGrid w:val="0"/>
      <w:jc w:val="left"/>
    </w:pPr>
    <w:rPr>
      <w:sz w:val="18"/>
      <w:szCs w:val="18"/>
    </w:rPr>
  </w:style>
  <w:style w:type="paragraph" w:styleId="7">
    <w:name w:val="Body Text First Indent 2"/>
    <w:basedOn w:val="5"/>
    <w:link w:val="19"/>
    <w:qFormat/>
    <w:uiPriority w:val="99"/>
    <w:pPr>
      <w:ind w:firstLine="420" w:firstLineChars="200"/>
    </w:pPr>
    <w:rPr>
      <w:szCs w:val="24"/>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locked/>
    <w:uiPriority w:val="99"/>
    <w:rPr>
      <w:rFonts w:cs="Times New Roman"/>
      <w:b/>
    </w:rPr>
  </w:style>
  <w:style w:type="character" w:styleId="12">
    <w:name w:val="page number"/>
    <w:basedOn w:val="10"/>
    <w:qFormat/>
    <w:uiPriority w:val="99"/>
    <w:rPr>
      <w:rFonts w:cs="Times New Roman"/>
    </w:rPr>
  </w:style>
  <w:style w:type="character" w:customStyle="1" w:styleId="14">
    <w:name w:val="Heading 2 Char"/>
    <w:basedOn w:val="10"/>
    <w:link w:val="3"/>
    <w:semiHidden/>
    <w:qFormat/>
    <w:locked/>
    <w:uiPriority w:val="99"/>
    <w:rPr>
      <w:rFonts w:ascii="Cambria" w:hAnsi="Cambria" w:eastAsia="宋体" w:cs="Times New Roman"/>
      <w:b/>
      <w:bCs/>
      <w:sz w:val="32"/>
      <w:szCs w:val="32"/>
    </w:rPr>
  </w:style>
  <w:style w:type="character" w:customStyle="1" w:styleId="15">
    <w:name w:val="Heading 3 Char"/>
    <w:basedOn w:val="10"/>
    <w:link w:val="4"/>
    <w:qFormat/>
    <w:locked/>
    <w:uiPriority w:val="99"/>
    <w:rPr>
      <w:rFonts w:ascii="Calibri" w:hAnsi="Calibri" w:cs="Times New Roman"/>
      <w:b/>
      <w:kern w:val="0"/>
    </w:rPr>
  </w:style>
  <w:style w:type="character" w:customStyle="1" w:styleId="16">
    <w:name w:val="Footnote Text Char"/>
    <w:basedOn w:val="10"/>
    <w:link w:val="2"/>
    <w:semiHidden/>
    <w:qFormat/>
    <w:locked/>
    <w:uiPriority w:val="99"/>
    <w:rPr>
      <w:rFonts w:ascii="Calibri" w:hAnsi="Calibri" w:cs="Times New Roman"/>
      <w:sz w:val="18"/>
      <w:szCs w:val="18"/>
    </w:rPr>
  </w:style>
  <w:style w:type="character" w:customStyle="1" w:styleId="17">
    <w:name w:val="Body Text Indent Char"/>
    <w:basedOn w:val="10"/>
    <w:link w:val="5"/>
    <w:semiHidden/>
    <w:qFormat/>
    <w:locked/>
    <w:uiPriority w:val="99"/>
    <w:rPr>
      <w:rFonts w:cs="Times New Roman"/>
    </w:rPr>
  </w:style>
  <w:style w:type="character" w:customStyle="1" w:styleId="18">
    <w:name w:val="Footer Char"/>
    <w:basedOn w:val="10"/>
    <w:link w:val="6"/>
    <w:semiHidden/>
    <w:qFormat/>
    <w:locked/>
    <w:uiPriority w:val="99"/>
    <w:rPr>
      <w:rFonts w:cs="Times New Roman"/>
      <w:sz w:val="18"/>
      <w:szCs w:val="18"/>
    </w:rPr>
  </w:style>
  <w:style w:type="character" w:customStyle="1" w:styleId="19">
    <w:name w:val="Body Text First Indent 2 Char"/>
    <w:basedOn w:val="17"/>
    <w:link w:val="7"/>
    <w:qFormat/>
    <w:locked/>
    <w:uiPriority w:val="99"/>
    <w:rPr>
      <w:rFonts w:ascii="Calibri" w:hAnsi="Calibri" w:eastAsia="宋体"/>
      <w:sz w:val="24"/>
      <w:szCs w:val="24"/>
    </w:rPr>
  </w:style>
  <w:style w:type="character" w:customStyle="1" w:styleId="20">
    <w:name w:val="Header Char"/>
    <w:basedOn w:val="10"/>
    <w:link w:val="8"/>
    <w:semiHidden/>
    <w:qFormat/>
    <w:locked/>
    <w:uiPriority w:val="99"/>
    <w:rPr>
      <w:rFonts w:cs="Times New Roman"/>
      <w:sz w:val="18"/>
      <w:szCs w:val="18"/>
    </w:rPr>
  </w:style>
  <w:style w:type="paragraph" w:customStyle="1" w:styleId="21">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2">
    <w:name w:val="标题小标宋"/>
    <w:basedOn w:val="1"/>
    <w:qFormat/>
    <w:uiPriority w:val="99"/>
    <w:pPr>
      <w:spacing w:line="720" w:lineRule="exact"/>
      <w:jc w:val="center"/>
    </w:pPr>
    <w:rPr>
      <w:rFonts w:ascii="宋体" w:hAnsi="宋体" w:eastAsia="方正小标宋_GBK"/>
      <w:b/>
      <w:spacing w:val="10"/>
      <w:sz w:val="44"/>
      <w:szCs w:val="44"/>
    </w:rPr>
  </w:style>
  <w:style w:type="paragraph" w:customStyle="1" w:styleId="23">
    <w:name w:val="0"/>
    <w:basedOn w:val="1"/>
    <w:qFormat/>
    <w:uiPriority w:val="99"/>
    <w:pPr>
      <w:widowControl/>
      <w:snapToGrid w:val="0"/>
      <w:spacing w:line="408" w:lineRule="auto"/>
      <w:ind w:left="1"/>
      <w:textAlignment w:val="bottom"/>
    </w:pPr>
    <w:rPr>
      <w:rFonts w:ascii="Times New Roman" w:hAnsi="Times New Roman"/>
      <w:color w:val="000000"/>
      <w:kern w:val="0"/>
      <w:szCs w:val="21"/>
    </w:rPr>
  </w:style>
  <w:style w:type="paragraph" w:customStyle="1" w:styleId="24">
    <w:name w:val="Char Char Char Char"/>
    <w:basedOn w:val="1"/>
    <w:qFormat/>
    <w:uiPriority w:val="99"/>
    <w:pPr>
      <w:widowControl/>
      <w:spacing w:after="160" w:line="240" w:lineRule="exact"/>
      <w:jc w:val="left"/>
    </w:pPr>
    <w:rPr>
      <w:rFonts w:ascii="Verdana" w:hAnsi="Verdana" w:eastAsia="仿宋_GB2312"/>
      <w:kern w:val="0"/>
      <w:sz w:val="30"/>
      <w:szCs w:val="3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29</Pages>
  <Words>2221</Words>
  <Characters>12663</Characters>
  <Lines>0</Lines>
  <Paragraphs>0</Paragraphs>
  <TotalTime>174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2020-07-06T06:44:00Z</dcterms:created>
  <dc:creator>new</dc:creator>
  <cp:lastModifiedBy>Administrator</cp:lastModifiedBy>
  <cp:lastPrinted>2021-08-16T02:48:00Z</cp:lastPrinted>
  <dcterms:modified xsi:type="dcterms:W3CDTF">2021-11-09T07:25:33Z</dcterms:modified>
  <dc:title>济宁市兖州区“十四五”民政事业</dc:title>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