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004"/>
        <w:gridCol w:w="3050"/>
        <w:gridCol w:w="3150"/>
        <w:gridCol w:w="5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9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en-US" w:eastAsia="zh-CN"/>
              </w:rPr>
              <w:t>兖州区退役军人事务局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执法职责、依据、权限、程序清单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执法职责</w:t>
            </w:r>
          </w:p>
        </w:tc>
        <w:tc>
          <w:tcPr>
            <w:tcW w:w="30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执法依据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执法权限</w:t>
            </w:r>
          </w:p>
        </w:tc>
        <w:tc>
          <w:tcPr>
            <w:tcW w:w="5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执法程序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执法类型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事项名称</w:t>
            </w:r>
          </w:p>
        </w:tc>
        <w:tc>
          <w:tcPr>
            <w:tcW w:w="305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315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  <w:tc>
          <w:tcPr>
            <w:tcW w:w="5517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对不履行军人优待义务的处罚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《军人抚恤优待条例》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《山东省军人抚恤优待办法》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对不履行烈士遗属优待义务的处罚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《烈士褒扬条例》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对不履行安置义务单位的处罚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《退役士兵安置条例》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对冒领、骗取烈士褒扬金、抚恤金、优待金、补助金及骗取医药费行为的处罚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《烈士褒扬条例》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《山东省军人抚恤优待办法》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55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立案→调查取证→立案审查、法制审核→行政处罚告知→告知书送达→作出行政处罚决定→结案归档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5"/>
          <w:szCs w:val="2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0F10"/>
    <w:rsid w:val="7D5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2021-12-29T06:18:00Z</dcterms:created>
  <dc:creator>柏温</dc:creator>
  <cp:lastModifiedBy>柏温</cp:lastModifiedBy>
  <dcterms:modified xsi:type="dcterms:W3CDTF">2021-12-29T06:30:05Z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5E7DD5DA67B348339C600B250F32AA36</vt:lpwstr>
  </property>
</Properties>
</file>