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11440">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36ABDFAE">
      <w:pPr>
        <w:spacing w:line="660" w:lineRule="exact"/>
        <w:ind w:left="556"/>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年济宁市兖州区科技发展计划</w:t>
      </w:r>
    </w:p>
    <w:p w14:paraId="21EEFC00">
      <w:pPr>
        <w:spacing w:line="660" w:lineRule="exact"/>
        <w:ind w:left="556"/>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政策引导类项目申报指南</w:t>
      </w:r>
    </w:p>
    <w:p w14:paraId="61D087E1">
      <w:pPr>
        <w:spacing w:before="156" w:beforeLines="50"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一、技术创新类</w:t>
      </w:r>
    </w:p>
    <w:p w14:paraId="4B7C81CC">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围绕我区传统产业升级、战略性新兴产业引导和新兴业态培育，重点支持橡胶轮胎、造纸包装、食品加工、新一代信息技术、高端装备制造、新能源新材料、高端化工等优势产业，正在</w:t>
      </w:r>
      <w:r>
        <w:rPr>
          <w:rFonts w:hint="eastAsia"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的行业共性技术研发</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关键核心技术突破</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新技术新工艺研究应用</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新产品研发</w:t>
      </w:r>
      <w:r>
        <w:rPr>
          <w:rFonts w:hint="eastAsia" w:ascii="Times New Roman" w:hAnsi="Times New Roman" w:eastAsia="仿宋_GB2312" w:cs="Times New Roman"/>
          <w:color w:val="auto"/>
          <w:sz w:val="32"/>
          <w:szCs w:val="32"/>
          <w:lang w:eastAsia="zh-CN"/>
        </w:rPr>
        <w:t>等</w:t>
      </w:r>
      <w:r>
        <w:rPr>
          <w:rFonts w:hint="eastAsia"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，均可申报</w:t>
      </w:r>
      <w:r>
        <w:rPr>
          <w:rFonts w:hint="default" w:ascii="Times New Roman" w:hAnsi="Times New Roman" w:eastAsia="仿宋_GB2312" w:cs="Times New Roman"/>
          <w:color w:val="auto"/>
          <w:sz w:val="32"/>
          <w:szCs w:val="32"/>
        </w:rPr>
        <w:t>。</w:t>
      </w:r>
    </w:p>
    <w:p w14:paraId="52A91E9D">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二、科技成果转化类</w:t>
      </w:r>
    </w:p>
    <w:p w14:paraId="2E00F708">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年以来企业</w:t>
      </w:r>
      <w:r>
        <w:rPr>
          <w:rFonts w:hint="default" w:ascii="Times New Roman" w:hAnsi="Times New Roman" w:eastAsia="仿宋_GB2312" w:cs="Times New Roman"/>
          <w:color w:val="auto"/>
          <w:sz w:val="32"/>
          <w:szCs w:val="32"/>
          <w:lang w:eastAsia="zh-CN"/>
        </w:rPr>
        <w:t>自有</w:t>
      </w:r>
      <w:r>
        <w:rPr>
          <w:rFonts w:hint="default" w:ascii="Times New Roman" w:hAnsi="Times New Roman" w:eastAsia="仿宋_GB2312" w:cs="Times New Roman"/>
          <w:color w:val="auto"/>
          <w:sz w:val="32"/>
          <w:szCs w:val="32"/>
        </w:rPr>
        <w:t>专利、国家新药、集成电路布图设计专用权、软件著作权等知识产权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牵头或参与</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国家</w:t>
      </w:r>
      <w:r>
        <w:rPr>
          <w:rFonts w:hint="default" w:ascii="Times New Roman" w:hAnsi="Times New Roman" w:eastAsia="仿宋_GB2312" w:cs="Times New Roman"/>
          <w:color w:val="auto"/>
          <w:sz w:val="32"/>
          <w:szCs w:val="32"/>
          <w:lang w:eastAsia="zh-CN"/>
        </w:rPr>
        <w:t>、行业、地方等</w:t>
      </w:r>
      <w:r>
        <w:rPr>
          <w:rFonts w:hint="default" w:ascii="Times New Roman" w:hAnsi="Times New Roman" w:eastAsia="仿宋_GB2312" w:cs="Times New Roman"/>
          <w:color w:val="auto"/>
          <w:sz w:val="32"/>
          <w:szCs w:val="32"/>
        </w:rPr>
        <w:t>技术标准在企业进行转化和产业化的；企业通技术交易</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引进先进技术成果在我区落地</w:t>
      </w:r>
      <w:r>
        <w:rPr>
          <w:rFonts w:hint="default" w:ascii="Times New Roman" w:hAnsi="Times New Roman" w:eastAsia="仿宋_GB2312" w:cs="Times New Roman"/>
          <w:color w:val="auto"/>
          <w:sz w:val="32"/>
          <w:szCs w:val="32"/>
          <w:lang w:eastAsia="zh-CN"/>
        </w:rPr>
        <w:t>转化</w:t>
      </w:r>
      <w:r>
        <w:rPr>
          <w:rFonts w:hint="default" w:ascii="Times New Roman" w:hAnsi="Times New Roman" w:eastAsia="仿宋_GB2312" w:cs="Times New Roman"/>
          <w:color w:val="auto"/>
          <w:sz w:val="32"/>
          <w:szCs w:val="32"/>
        </w:rPr>
        <w:t>的，均可申报。</w:t>
      </w:r>
    </w:p>
    <w:p w14:paraId="6DE3A7B0">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三、科技创新平台类</w:t>
      </w:r>
    </w:p>
    <w:p w14:paraId="240D976E">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全区单位自建的研发机构均可申报，立项一年后顺利通过验收的，认定为“兖州区企业研发中心”。</w:t>
      </w:r>
    </w:p>
    <w:p w14:paraId="2CA64956">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需满足如下条件：</w:t>
      </w:r>
    </w:p>
    <w:p w14:paraId="56D512D1">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1、有良好的学术研究氛围和健全的科研管理规章制度。</w:t>
      </w:r>
    </w:p>
    <w:p w14:paraId="16F82621">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2、有明确的研究开发方向与计划，拥有一定数量的专利或技术成果。</w:t>
      </w:r>
    </w:p>
    <w:p w14:paraId="154B7292">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3、有独立的研发场所。面积原则上不低于30平方米，能够满足办公、研讨、检测、试验等研发活动的需要。</w:t>
      </w:r>
    </w:p>
    <w:p w14:paraId="18EAE48F">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4、有开展研发活动所需的试验、测量、分析等仪器设备。</w:t>
      </w:r>
    </w:p>
    <w:p w14:paraId="048B2C9D">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5、有固定的研发人员。大专以上学历专业技术研发人员不少于3人，原则上中、高级专业技术人员的比例不低于30%。</w:t>
      </w:r>
    </w:p>
    <w:p w14:paraId="754C315F">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6、设有研发经费专账，能够满足机构建设和开展研发活动的基本需求。</w:t>
      </w:r>
    </w:p>
    <w:p w14:paraId="536BBADA">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7、有长期的技术支撑。需与高校院所建立长期产学研合作关系，明确联合共建目标任务和工作职责。</w:t>
      </w:r>
    </w:p>
    <w:p w14:paraId="5F568857">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8、有正在进行的研发活动。</w:t>
      </w:r>
    </w:p>
    <w:p w14:paraId="75B316AD">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四、社会民生及乡村振兴类（含医疗卫生）</w:t>
      </w:r>
    </w:p>
    <w:p w14:paraId="5CDB280F">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民生类重点支持正在开展的大气污染防控、水污染治理、土壤修复、城市建设与管理、建筑工程、园林绿化、新型城镇化技术、城市供水技术、道路交通、智能安防技术、地质等领域的技术研究与应用。乡村振兴类重点支持正在开展的特色农作物及畜禽种植资源发掘、农田水利（含节水农业）、植物保护、畜禽重大疫病防控、新型肥料、农业废弃物综合利用、土壤、耕地污染生态修复、农业气象、农业机械及装备等领域共性关键技术研究与示范。县域优势特色农业、畜牧、水产、林业产业新品种、新技术、新产品、新工艺、新模式等关键技术、瓶颈技术、共性技术的研发与示范。医疗卫生类重点支持开展的智慧医疗技术、重大疾病防控技术、精准医疗技术、中医药和中西医结合领域的研究、公共卫生、基层卫生适宜技术转化应用研究、医养结合。</w:t>
      </w:r>
    </w:p>
    <w:p w14:paraId="74CC0DAA">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五、产学研合作类</w:t>
      </w:r>
    </w:p>
    <w:p w14:paraId="37B285F4">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与高校、科研院所202</w:t>
      </w:r>
      <w:r>
        <w:rPr>
          <w:rFonts w:hint="eastAsia" w:eastAsia="仿宋_GB2312" w:cs="Times New Roman"/>
          <w:color w:val="auto"/>
          <w:sz w:val="32"/>
          <w:szCs w:val="32"/>
          <w:lang w:val="en-US" w:eastAsia="zh-CN"/>
        </w:rPr>
        <w:t>5</w:t>
      </w:r>
      <w:bookmarkStart w:id="0" w:name="_GoBack"/>
      <w:bookmarkEnd w:id="0"/>
      <w:r>
        <w:rPr>
          <w:rFonts w:hint="default" w:ascii="Times New Roman" w:hAnsi="Times New Roman" w:eastAsia="仿宋_GB2312" w:cs="Times New Roman"/>
          <w:color w:val="auto"/>
          <w:sz w:val="32"/>
          <w:szCs w:val="32"/>
        </w:rPr>
        <w:t>年1月1日后签订的有效期内产学研合作项目均可申报。</w:t>
      </w:r>
    </w:p>
    <w:p w14:paraId="26021923">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六、软科学类</w:t>
      </w:r>
    </w:p>
    <w:p w14:paraId="3D5F364F">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我区经济社会发展的重点、热点和难点问题，提出相应的对策措施、发展思路，重点围绕科技创新、产业发展、乡村振兴、新农村建设、资源与生态环境、体制改革、社会公共服务、公共文化、人才建设等方面的研究课题均可申报。</w:t>
      </w:r>
    </w:p>
    <w:p w14:paraId="297BBFA7">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七、基础研究类</w:t>
      </w:r>
    </w:p>
    <w:p w14:paraId="7202DB3C">
      <w:r>
        <w:rPr>
          <w:rFonts w:hint="default" w:ascii="Times New Roman" w:hAnsi="Times New Roman" w:eastAsia="仿宋_GB2312" w:cs="Times New Roman"/>
          <w:color w:val="auto"/>
          <w:sz w:val="32"/>
          <w:szCs w:val="32"/>
        </w:rPr>
        <w:t>跟踪学科前沿、技术发展趋势和最新热点，跟踪上级基础研究布局的重点方向，组织开展的前瞻性基础研究和应用基础研究。重点围绕经济社会发展和新旧动能转换等重大战略需求，突出“从 0 到 1”原创，提出重大科学问题，能够催生核心关键技术、引领性技术、现代工程技术、颠覆性技术和获得自主知识产权的重大装备及零部件的理论研究均可申报。</w:t>
      </w:r>
    </w:p>
    <w:sectPr>
      <w:pgSz w:w="11906" w:h="16838"/>
      <w:pgMar w:top="2098" w:right="1361"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17D0A"/>
    <w:rsid w:val="5684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1"/>
    <w:qFormat/>
    <w:uiPriority w:val="0"/>
    <w:pPr>
      <w:widowControl w:val="0"/>
      <w:ind w:firstLine="420" w:firstLineChars="200"/>
      <w:jc w:val="both"/>
    </w:pPr>
    <w:rPr>
      <w:rFonts w:ascii="Times New Roman" w:hAnsi="Times New Roman" w:eastAsia="宋体" w:cs="Times New Roman"/>
      <w:kern w:val="2"/>
      <w:sz w:val="32"/>
      <w:szCs w:val="20"/>
      <w:lang w:val="en-US" w:eastAsia="zh-CN" w:bidi="ar-SA"/>
    </w:rPr>
  </w:style>
  <w:style w:type="paragraph" w:styleId="4">
    <w:name w:val="Body Text Indent"/>
    <w:basedOn w:val="1"/>
    <w:next w:val="5"/>
    <w:qFormat/>
    <w:uiPriority w:val="0"/>
    <w:pPr>
      <w:ind w:firstLine="680"/>
    </w:pPr>
    <w:rPr>
      <w:rFonts w:ascii="仿宋_GB2312" w:hAnsi="创艺简标宋" w:eastAsia="仿宋_GB2312" w:cs="Times New Roman"/>
      <w:sz w:val="32"/>
      <w:szCs w:val="20"/>
    </w:rPr>
  </w:style>
  <w:style w:type="paragraph" w:styleId="5">
    <w:name w:val="Body Text Indent 2"/>
    <w:basedOn w:val="1"/>
    <w:next w:val="3"/>
    <w:qFormat/>
    <w:uiPriority w:val="0"/>
    <w:pPr>
      <w:spacing w:line="580" w:lineRule="exact"/>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1287</Characters>
  <Lines>0</Lines>
  <Paragraphs>0</Paragraphs>
  <TotalTime>0</TotalTime>
  <ScaleCrop>false</ScaleCrop>
  <LinksUpToDate>false</LinksUpToDate>
  <CharactersWithSpaces>1290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2025-05-15T00:58:00Z</dcterms:created>
  <dc:creator>Administrator</dc:creator>
  <cp:lastModifiedBy>陈锡鼎</cp:lastModifiedBy>
  <dcterms:modified xsi:type="dcterms:W3CDTF">2025-05-15T01:51:59Z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eyJoZGlkIjoiM2ZkOWNkM2I5Njc3YTc3ODY5ZDM2NzE2MzRlYWZmOGUiLCJ1c2VySWQiOiIyNzIwNzcyMjcifQ==</vt:lpwstr>
  </property>
  <property fmtid="{D5CDD505-2E9C-101B-9397-08002B2CF9AE}" pid="4" name="ICV">
    <vt:lpwstr>BAB2BD3A5C4C49F183B539A9766A322B_12</vt:lpwstr>
  </property>
</Properties>
</file>