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default" w:eastAsia="方正小标宋简体"/>
          <w:b/>
          <w:color w:val="000000" w:themeColor="text1"/>
          <w:sz w:val="44"/>
          <w:szCs w:val="44"/>
          <w:highlight w:val="none"/>
          <w:lang w:val="en-US" w:eastAsia="zh-CN"/>
          <w14:textFill>
            <w14:solidFill>
              <w14:schemeClr w14:val="tx1"/>
            </w14:solidFill>
          </w14:textFill>
        </w:rPr>
      </w:pPr>
      <w:r>
        <w:rPr>
          <w:rFonts w:hint="eastAsia" w:eastAsia="方正小标宋简体"/>
          <w:b/>
          <w:color w:val="000000" w:themeColor="text1"/>
          <w:sz w:val="44"/>
          <w:szCs w:val="44"/>
          <w:highlight w:val="none"/>
          <w:lang w:val="en-US" w:eastAsia="zh-CN"/>
          <w14:textFill>
            <w14:solidFill>
              <w14:schemeClr w14:val="tx1"/>
            </w14:solidFill>
          </w14:textFill>
        </w:rPr>
        <w:t xml:space="preserve"> </w:t>
      </w:r>
      <w:bookmarkStart w:id="1" w:name="_GoBack"/>
      <w:r>
        <w:rPr>
          <w:rFonts w:hint="eastAsia" w:eastAsia="方正小标宋简体"/>
          <w:b/>
          <w:color w:val="000000" w:themeColor="text1"/>
          <w:sz w:val="44"/>
          <w:szCs w:val="44"/>
          <w:highlight w:val="none"/>
          <w14:textFill>
            <w14:solidFill>
              <w14:schemeClr w14:val="tx1"/>
            </w14:solidFill>
          </w14:textFill>
        </w:rPr>
        <w:t>济宁市兖州区</w:t>
      </w:r>
      <w:r>
        <w:rPr>
          <w:rFonts w:hint="eastAsia" w:eastAsia="方正小标宋简体"/>
          <w:b/>
          <w:color w:val="000000" w:themeColor="text1"/>
          <w:sz w:val="44"/>
          <w:szCs w:val="44"/>
          <w:highlight w:val="none"/>
          <w:lang w:val="en-US" w:eastAsia="zh-CN"/>
          <w14:textFill>
            <w14:solidFill>
              <w14:schemeClr w14:val="tx1"/>
            </w14:solidFill>
          </w14:textFill>
        </w:rPr>
        <w:t>财政局</w:t>
      </w:r>
    </w:p>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themeColor="text1"/>
          <w:sz w:val="44"/>
          <w:szCs w:val="44"/>
          <w:highlight w:val="none"/>
          <w14:textFill>
            <w14:solidFill>
              <w14:schemeClr w14:val="tx1"/>
            </w14:solidFill>
          </w14:textFill>
        </w:rPr>
      </w:pPr>
      <w:r>
        <w:rPr>
          <w:rFonts w:eastAsia="方正小标宋简体"/>
          <w:b/>
          <w:color w:val="000000" w:themeColor="text1"/>
          <w:sz w:val="44"/>
          <w:szCs w:val="44"/>
          <w:highlight w:val="none"/>
          <w14:textFill>
            <w14:solidFill>
              <w14:schemeClr w14:val="tx1"/>
            </w14:solidFill>
          </w14:textFill>
        </w:rPr>
        <w:t>202</w:t>
      </w:r>
      <w:r>
        <w:rPr>
          <w:rFonts w:hint="eastAsia" w:eastAsia="方正小标宋简体"/>
          <w:b/>
          <w:color w:val="000000" w:themeColor="text1"/>
          <w:sz w:val="44"/>
          <w:szCs w:val="44"/>
          <w:highlight w:val="none"/>
          <w:lang w:val="en-US" w:eastAsia="zh-CN"/>
          <w14:textFill>
            <w14:solidFill>
              <w14:schemeClr w14:val="tx1"/>
            </w14:solidFill>
          </w14:textFill>
        </w:rPr>
        <w:t>4</w:t>
      </w:r>
      <w:r>
        <w:rPr>
          <w:rFonts w:eastAsia="方正小标宋简体"/>
          <w:b/>
          <w:color w:val="000000" w:themeColor="text1"/>
          <w:sz w:val="44"/>
          <w:szCs w:val="44"/>
          <w:highlight w:val="none"/>
          <w14:textFill>
            <w14:solidFill>
              <w14:schemeClr w14:val="tx1"/>
            </w14:solidFill>
          </w14:textFill>
        </w:rPr>
        <w:t>年政府信息公开工作年度报告</w:t>
      </w:r>
      <w:bookmarkEnd w:id="1"/>
    </w:p>
    <w:p>
      <w:pPr>
        <w:spacing w:line="590" w:lineRule="exact"/>
        <w:ind w:right="-100" w:rightChars="-50" w:firstLine="643" w:firstLineChars="200"/>
        <w:rPr>
          <w:rFonts w:eastAsia="方正仿宋简体"/>
          <w:b/>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themeColor="text1"/>
          <w:sz w:val="32"/>
          <w:szCs w:val="32"/>
          <w:highlight w:val="none"/>
          <w14:textFill>
            <w14:solidFill>
              <w14:schemeClr w14:val="tx1"/>
            </w14:solidFill>
          </w14:textFill>
        </w:rPr>
      </w:pPr>
      <w:r>
        <w:rPr>
          <w:rFonts w:eastAsia="方正仿宋简体"/>
          <w:b/>
          <w:color w:val="000000" w:themeColor="text1"/>
          <w:sz w:val="32"/>
          <w:szCs w:val="32"/>
          <w:highlight w:val="none"/>
          <w14:textFill>
            <w14:solidFill>
              <w14:schemeClr w14:val="tx1"/>
            </w14:solidFill>
          </w14:textFill>
        </w:rPr>
        <w:t>本报告由济宁市兖州区</w:t>
      </w:r>
      <w:r>
        <w:rPr>
          <w:rFonts w:hint="eastAsia" w:eastAsia="方正仿宋简体"/>
          <w:b/>
          <w:color w:val="000000" w:themeColor="text1"/>
          <w:sz w:val="32"/>
          <w:szCs w:val="32"/>
          <w:highlight w:val="none"/>
          <w:lang w:val="en-US" w:eastAsia="zh-CN"/>
          <w14:textFill>
            <w14:solidFill>
              <w14:schemeClr w14:val="tx1"/>
            </w14:solidFill>
          </w14:textFill>
        </w:rPr>
        <w:t>财政局</w:t>
      </w:r>
      <w:r>
        <w:rPr>
          <w:rFonts w:eastAsia="方正仿宋简体"/>
          <w:b/>
          <w:color w:val="000000" w:themeColor="text1"/>
          <w:sz w:val="32"/>
          <w:szCs w:val="32"/>
          <w:highlight w:val="none"/>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themeColor="text1"/>
          <w:sz w:val="32"/>
          <w:szCs w:val="32"/>
          <w:highlight w:val="none"/>
          <w14:textFill>
            <w14:solidFill>
              <w14:schemeClr w14:val="tx1"/>
            </w14:solidFill>
          </w14:textFill>
        </w:rPr>
      </w:pPr>
      <w:r>
        <w:rPr>
          <w:rFonts w:eastAsia="方正仿宋简体"/>
          <w:b/>
          <w:color w:val="000000" w:themeColor="text1"/>
          <w:sz w:val="32"/>
          <w:szCs w:val="32"/>
          <w:highlight w:val="none"/>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themeColor="text1"/>
          <w:sz w:val="32"/>
          <w:szCs w:val="32"/>
          <w:highlight w:val="none"/>
          <w14:textFill>
            <w14:solidFill>
              <w14:schemeClr w14:val="tx1"/>
            </w14:solidFill>
          </w14:textFill>
        </w:rPr>
      </w:pPr>
      <w:r>
        <w:rPr>
          <w:rFonts w:eastAsia="方正仿宋简体"/>
          <w:b/>
          <w:color w:val="000000" w:themeColor="text1"/>
          <w:sz w:val="32"/>
          <w:szCs w:val="32"/>
          <w:highlight w:val="none"/>
          <w14:textFill>
            <w14:solidFill>
              <w14:schemeClr w14:val="tx1"/>
            </w14:solidFill>
          </w14:textFill>
        </w:rPr>
        <w:t>本报告所列数据的统计期限自202</w:t>
      </w:r>
      <w:r>
        <w:rPr>
          <w:rFonts w:hint="eastAsia" w:eastAsia="方正仿宋简体"/>
          <w:b/>
          <w:color w:val="000000" w:themeColor="text1"/>
          <w:sz w:val="32"/>
          <w:szCs w:val="32"/>
          <w:highlight w:val="none"/>
          <w:lang w:val="en-US" w:eastAsia="zh-CN"/>
          <w14:textFill>
            <w14:solidFill>
              <w14:schemeClr w14:val="tx1"/>
            </w14:solidFill>
          </w14:textFill>
        </w:rPr>
        <w:t>4</w:t>
      </w:r>
      <w:r>
        <w:rPr>
          <w:rFonts w:eastAsia="方正仿宋简体"/>
          <w:b/>
          <w:color w:val="000000" w:themeColor="text1"/>
          <w:sz w:val="32"/>
          <w:szCs w:val="32"/>
          <w:highlight w:val="none"/>
          <w14:textFill>
            <w14:solidFill>
              <w14:schemeClr w14:val="tx1"/>
            </w14:solidFill>
          </w14:textFill>
        </w:rPr>
        <w:t>年1月1日起至202</w:t>
      </w:r>
      <w:r>
        <w:rPr>
          <w:rFonts w:hint="eastAsia" w:eastAsia="方正仿宋简体"/>
          <w:b/>
          <w:color w:val="000000" w:themeColor="text1"/>
          <w:sz w:val="32"/>
          <w:szCs w:val="32"/>
          <w:highlight w:val="none"/>
          <w:lang w:val="en-US" w:eastAsia="zh-CN"/>
          <w14:textFill>
            <w14:solidFill>
              <w14:schemeClr w14:val="tx1"/>
            </w14:solidFill>
          </w14:textFill>
        </w:rPr>
        <w:t>4</w:t>
      </w:r>
      <w:r>
        <w:rPr>
          <w:rFonts w:eastAsia="方正仿宋简体"/>
          <w:b/>
          <w:color w:val="000000" w:themeColor="text1"/>
          <w:sz w:val="32"/>
          <w:szCs w:val="32"/>
          <w:highlight w:val="none"/>
          <w14:textFill>
            <w14:solidFill>
              <w14:schemeClr w14:val="tx1"/>
            </w14:solidFill>
          </w14:textFill>
        </w:rPr>
        <w:t>年12月31日止。本报告电子版可在“中国·</w:t>
      </w:r>
      <w:r>
        <w:rPr>
          <w:rFonts w:hint="eastAsia" w:eastAsia="方正仿宋简体"/>
          <w:b/>
          <w:color w:val="000000" w:themeColor="text1"/>
          <w:sz w:val="32"/>
          <w:szCs w:val="32"/>
          <w:highlight w:val="none"/>
          <w14:textFill>
            <w14:solidFill>
              <w14:schemeClr w14:val="tx1"/>
            </w14:solidFill>
          </w14:textFill>
        </w:rPr>
        <w:t>兖州</w:t>
      </w:r>
      <w:r>
        <w:rPr>
          <w:rFonts w:eastAsia="方正仿宋简体"/>
          <w:b/>
          <w:color w:val="000000" w:themeColor="text1"/>
          <w:sz w:val="32"/>
          <w:szCs w:val="32"/>
          <w:highlight w:val="none"/>
          <w14:textFill>
            <w14:solidFill>
              <w14:schemeClr w14:val="tx1"/>
            </w14:solidFill>
          </w14:textFill>
        </w:rPr>
        <w:t>”政府门户网站（www.yanzhou.gov.cn）查阅或下载。如对本报告有疑问，请与济宁市兖州区</w:t>
      </w:r>
      <w:r>
        <w:rPr>
          <w:rFonts w:hint="eastAsia" w:eastAsia="方正仿宋简体"/>
          <w:b/>
          <w:color w:val="000000" w:themeColor="text1"/>
          <w:sz w:val="32"/>
          <w:szCs w:val="32"/>
          <w:highlight w:val="none"/>
          <w:lang w:val="en-US" w:eastAsia="zh-CN"/>
          <w14:textFill>
            <w14:solidFill>
              <w14:schemeClr w14:val="tx1"/>
            </w14:solidFill>
          </w14:textFill>
        </w:rPr>
        <w:t>财政局</w:t>
      </w:r>
      <w:r>
        <w:rPr>
          <w:rFonts w:eastAsia="方正仿宋简体"/>
          <w:b/>
          <w:color w:val="000000" w:themeColor="text1"/>
          <w:sz w:val="32"/>
          <w:szCs w:val="32"/>
          <w:highlight w:val="none"/>
          <w14:textFill>
            <w14:solidFill>
              <w14:schemeClr w14:val="tx1"/>
            </w14:solidFill>
          </w14:textFill>
        </w:rPr>
        <w:t>联系（地址：济宁市兖州区</w:t>
      </w:r>
      <w:r>
        <w:rPr>
          <w:rFonts w:hint="eastAsia" w:eastAsia="方正仿宋简体"/>
          <w:b/>
          <w:color w:val="000000" w:themeColor="text1"/>
          <w:sz w:val="32"/>
          <w:szCs w:val="32"/>
          <w:highlight w:val="none"/>
          <w:lang w:val="en-US" w:eastAsia="zh-CN"/>
          <w14:textFill>
            <w14:solidFill>
              <w14:schemeClr w14:val="tx1"/>
            </w14:solidFill>
          </w14:textFill>
        </w:rPr>
        <w:t>建设中路133号</w:t>
      </w:r>
      <w:r>
        <w:rPr>
          <w:rFonts w:eastAsia="方正仿宋简体"/>
          <w:b/>
          <w:color w:val="000000" w:themeColor="text1"/>
          <w:sz w:val="32"/>
          <w:szCs w:val="32"/>
          <w:highlight w:val="none"/>
          <w14:textFill>
            <w14:solidFill>
              <w14:schemeClr w14:val="tx1"/>
            </w14:solidFill>
          </w14:textFill>
        </w:rPr>
        <w:t>，联系电话：0537</w:t>
      </w:r>
      <w:r>
        <w:rPr>
          <w:rFonts w:hint="eastAsia" w:eastAsia="方正仿宋简体"/>
          <w:b/>
          <w:color w:val="000000" w:themeColor="text1"/>
          <w:sz w:val="32"/>
          <w:szCs w:val="32"/>
          <w:highlight w:val="none"/>
          <w14:textFill>
            <w14:solidFill>
              <w14:schemeClr w14:val="tx1"/>
            </w14:solidFill>
          </w14:textFill>
        </w:rPr>
        <w:t>—</w:t>
      </w:r>
      <w:r>
        <w:rPr>
          <w:rFonts w:hint="eastAsia" w:eastAsia="方正仿宋简体"/>
          <w:b/>
          <w:color w:val="000000" w:themeColor="text1"/>
          <w:sz w:val="32"/>
          <w:szCs w:val="32"/>
          <w:highlight w:val="none"/>
          <w:lang w:val="en-US" w:eastAsia="zh-CN"/>
          <w14:textFill>
            <w14:solidFill>
              <w14:schemeClr w14:val="tx1"/>
            </w14:solidFill>
          </w14:textFill>
        </w:rPr>
        <w:t>3410845</w:t>
      </w:r>
      <w:r>
        <w:rPr>
          <w:rFonts w:eastAsia="方正仿宋简体"/>
          <w:b/>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themeColor="text1"/>
          <w:sz w:val="32"/>
          <w:szCs w:val="32"/>
          <w:highlight w:val="none"/>
          <w14:textFill>
            <w14:solidFill>
              <w14:schemeClr w14:val="tx1"/>
            </w14:solidFill>
          </w14:textFill>
        </w:rPr>
      </w:pPr>
      <w:r>
        <w:rPr>
          <w:rFonts w:eastAsia="方正黑体简体"/>
          <w:b/>
          <w:color w:val="000000" w:themeColor="text1"/>
          <w:sz w:val="32"/>
          <w:szCs w:val="32"/>
          <w:highlight w:val="none"/>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ascii="Times New Roman" w:hAnsi="Times New Roman" w:eastAsia="方正仿宋简体" w:cs="Times New Roman"/>
          <w:b/>
          <w:color w:val="000000" w:themeColor="text1"/>
          <w:sz w:val="32"/>
          <w:szCs w:val="32"/>
          <w:highlight w:val="none"/>
          <w14:textFill>
            <w14:solidFill>
              <w14:schemeClr w14:val="tx1"/>
            </w14:solidFill>
          </w14:textFill>
        </w:rPr>
      </w:pPr>
      <w:r>
        <w:rPr>
          <w:rFonts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2024年，</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兖州区财政局</w:t>
      </w:r>
      <w:r>
        <w:rPr>
          <w:rFonts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严格贯彻落实国家</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和省市</w:t>
      </w:r>
      <w:r>
        <w:rPr>
          <w:rFonts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关于政务公开的各项要求，持续深化</w:t>
      </w:r>
      <w:r>
        <w:rPr>
          <w:rFonts w:hint="eastAsia" w:eastAsia="方正仿宋简体" w:cs="Times New Roman"/>
          <w:b/>
          <w:color w:val="000000" w:themeColor="text1"/>
          <w:sz w:val="32"/>
          <w:szCs w:val="32"/>
          <w:highlight w:val="none"/>
          <w:lang w:val="en-US" w:eastAsia="zh-CN"/>
          <w14:textFill>
            <w14:solidFill>
              <w14:schemeClr w14:val="tx1"/>
            </w14:solidFill>
          </w14:textFill>
        </w:rPr>
        <w:t>政府</w:t>
      </w:r>
      <w:r>
        <w:rPr>
          <w:rFonts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信息公开工作，致力于打造透明、高效、服务型</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机关</w:t>
      </w:r>
      <w:r>
        <w:rPr>
          <w:rFonts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，政务公开工作取得显著成效。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themeColor="text1"/>
          <w:sz w:val="32"/>
          <w:szCs w:val="32"/>
          <w:highlight w:val="none"/>
          <w:lang w:eastAsia="zh-CN"/>
          <w14:textFill>
            <w14:solidFill>
              <w14:schemeClr w14:val="tx1"/>
            </w14:solidFill>
          </w14:textFill>
        </w:rPr>
      </w:pPr>
      <w:r>
        <w:rPr>
          <w:rFonts w:hint="eastAsia" w:eastAsia="方正楷体简体"/>
          <w:b/>
          <w:color w:val="000000" w:themeColor="text1"/>
          <w:sz w:val="32"/>
          <w:szCs w:val="32"/>
          <w:highlight w:val="none"/>
          <w:lang w:val="en-US" w:eastAsia="zh-CN"/>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202</w:t>
      </w:r>
      <w:r>
        <w:rPr>
          <w:rFonts w:hint="eastAsia" w:eastAsia="方正仿宋简体" w:cs="Times New Roman"/>
          <w:b/>
          <w:bCs/>
          <w:color w:val="000000" w:themeColor="text1"/>
          <w:sz w:val="32"/>
          <w:szCs w:val="32"/>
          <w:highlight w:val="none"/>
          <w:lang w:val="en-US" w:eastAsia="zh-CN"/>
          <w14:textFill>
            <w14:solidFill>
              <w14:schemeClr w14:val="tx1"/>
            </w14:solidFill>
          </w14:textFill>
        </w:rPr>
        <w:t>4</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年，区财政局持续完善政务公开制度框架，规范公开流程，拓展信息公开的广度与深度，及时主动公开各类政府信息，有效保障了公民的知情权。全年主动公开政府信息共</w:t>
      </w:r>
      <w:r>
        <w:rPr>
          <w:rFonts w:hint="eastAsia" w:eastAsia="方正仿宋简体" w:cs="Times New Roman"/>
          <w:b/>
          <w:bCs/>
          <w:color w:val="000000" w:themeColor="text1"/>
          <w:sz w:val="32"/>
          <w:szCs w:val="32"/>
          <w:highlight w:val="none"/>
          <w:lang w:val="en-US" w:eastAsia="zh-CN"/>
          <w14:textFill>
            <w14:solidFill>
              <w14:schemeClr w14:val="tx1"/>
            </w14:solidFill>
          </w14:textFill>
        </w:rPr>
        <w:t>318</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条，其中：财政预算决算信息</w:t>
      </w:r>
      <w:r>
        <w:rPr>
          <w:rFonts w:hint="eastAsia" w:eastAsia="方正仿宋简体" w:cs="Times New Roman"/>
          <w:b/>
          <w:bCs/>
          <w:color w:val="000000" w:themeColor="text1"/>
          <w:sz w:val="32"/>
          <w:szCs w:val="32"/>
          <w:highlight w:val="none"/>
          <w:lang w:val="en-US" w:eastAsia="zh-CN"/>
          <w14:textFill>
            <w14:solidFill>
              <w14:schemeClr w14:val="tx1"/>
            </w14:solidFill>
          </w14:textFill>
        </w:rPr>
        <w:t>189</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条；行政事业性收费</w:t>
      </w:r>
      <w:r>
        <w:rPr>
          <w:rFonts w:hint="eastAsia" w:eastAsia="方正仿宋简体" w:cs="Times New Roman"/>
          <w:b/>
          <w:bCs/>
          <w:color w:val="000000" w:themeColor="text1"/>
          <w:sz w:val="32"/>
          <w:szCs w:val="32"/>
          <w:highlight w:val="none"/>
          <w:lang w:val="en-US" w:eastAsia="zh-CN"/>
          <w14:textFill>
            <w14:solidFill>
              <w14:schemeClr w14:val="tx1"/>
            </w14:solidFill>
          </w14:textFill>
        </w:rPr>
        <w:t>10</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条；政府采购信息</w:t>
      </w:r>
      <w:r>
        <w:rPr>
          <w:rFonts w:hint="eastAsia" w:eastAsia="方正仿宋简体" w:cs="Times New Roman"/>
          <w:b/>
          <w:bCs/>
          <w:color w:val="000000" w:themeColor="text1"/>
          <w:sz w:val="32"/>
          <w:szCs w:val="32"/>
          <w:highlight w:val="none"/>
          <w:lang w:val="en-US" w:eastAsia="zh-CN"/>
          <w14:textFill>
            <w14:solidFill>
              <w14:schemeClr w14:val="tx1"/>
            </w14:solidFill>
          </w14:textFill>
        </w:rPr>
        <w:t>23</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条；国资国企信息</w:t>
      </w:r>
      <w:r>
        <w:rPr>
          <w:rFonts w:hint="eastAsia" w:eastAsia="方正仿宋简体" w:cs="Times New Roman"/>
          <w:b/>
          <w:bCs/>
          <w:color w:val="000000" w:themeColor="text1"/>
          <w:sz w:val="32"/>
          <w:szCs w:val="32"/>
          <w:highlight w:val="none"/>
          <w:lang w:val="en-US" w:eastAsia="zh-CN"/>
          <w14:textFill>
            <w14:solidFill>
              <w14:schemeClr w14:val="tx1"/>
            </w14:solidFill>
          </w14:textFill>
        </w:rPr>
        <w:t>41</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条</w:t>
      </w:r>
      <w:r>
        <w:rPr>
          <w:rFonts w:hint="eastAsia" w:eastAsia="方正仿宋简体" w:cs="Times New Roman"/>
          <w:b/>
          <w:bCs/>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行政权力运行公开信息</w:t>
      </w:r>
      <w:r>
        <w:rPr>
          <w:rFonts w:hint="eastAsia" w:eastAsia="方正仿宋简体" w:cs="Times New Roman"/>
          <w:b/>
          <w:bCs/>
          <w:color w:val="000000" w:themeColor="text1"/>
          <w:sz w:val="32"/>
          <w:szCs w:val="32"/>
          <w:highlight w:val="none"/>
          <w:lang w:val="en-US" w:eastAsia="zh-CN"/>
          <w14:textFill>
            <w14:solidFill>
              <w14:schemeClr w14:val="tx1"/>
            </w14:solidFill>
          </w14:textFill>
        </w:rPr>
        <w:t>20</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条</w:t>
      </w:r>
      <w:r>
        <w:rPr>
          <w:rFonts w:hint="eastAsia" w:eastAsia="方正仿宋简体" w:cs="Times New Roman"/>
          <w:b/>
          <w:bCs/>
          <w:color w:val="000000" w:themeColor="text1"/>
          <w:sz w:val="32"/>
          <w:szCs w:val="32"/>
          <w:highlight w:val="none"/>
          <w:lang w:val="en-US" w:eastAsia="zh-CN"/>
          <w14:textFill>
            <w14:solidFill>
              <w14:schemeClr w14:val="tx1"/>
            </w14:solidFill>
          </w14:textFill>
        </w:rPr>
        <w:t>。</w:t>
      </w:r>
    </w:p>
    <w:p>
      <w:pPr>
        <w:pStyle w:val="3"/>
        <w:bidi w:val="0"/>
        <w:jc w:val="center"/>
        <w:rPr>
          <w:rFonts w:hint="eastAsia" w:ascii="Times New Roman" w:hAnsi="Times New Roman" w:eastAsia="方正仿宋简体" w:cs="Times New Roman"/>
          <w:b/>
          <w:bCs/>
          <w:color w:val="000000" w:themeColor="text1"/>
          <w:sz w:val="32"/>
          <w:szCs w:val="32"/>
          <w:highlight w:val="none"/>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bidi="ar-SA"/>
          <w14:textFill>
            <w14:solidFill>
              <w14:schemeClr w14:val="tx1"/>
            </w14:solidFill>
          </w14:textFill>
        </w:rPr>
        <w:drawing>
          <wp:inline distT="0" distB="0" distL="114300" distR="114300">
            <wp:extent cx="4723130" cy="2143760"/>
            <wp:effectExtent l="4445" t="5080" r="1206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themeColor="text1"/>
          <w:sz w:val="32"/>
          <w:szCs w:val="32"/>
          <w:highlight w:val="none"/>
          <w:lang w:eastAsia="zh-CN"/>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（二）依申请公开</w:t>
      </w:r>
      <w:r>
        <w:rPr>
          <w:rFonts w:hint="eastAsia" w:eastAsia="方正楷体简体"/>
          <w:b/>
          <w:color w:val="000000" w:themeColor="text1"/>
          <w:sz w:val="32"/>
          <w:szCs w:val="32"/>
          <w:highlight w:val="none"/>
          <w:lang w:eastAsia="zh-CN"/>
          <w14:textFill>
            <w14:solidFill>
              <w14:schemeClr w14:val="tx1"/>
            </w14:solidFill>
          </w14:textFill>
        </w:rPr>
        <w:t>情况</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202</w:t>
      </w:r>
      <w:r>
        <w:rPr>
          <w:rFonts w:hint="eastAsia" w:eastAsia="方正仿宋简体" w:cs="Times New Roman"/>
          <w:b/>
          <w:bCs/>
          <w:color w:val="000000" w:themeColor="text1"/>
          <w:sz w:val="32"/>
          <w:szCs w:val="32"/>
          <w:highlight w:val="none"/>
          <w:lang w:val="en-US" w:eastAsia="zh-CN"/>
          <w14:textFill>
            <w14:solidFill>
              <w14:schemeClr w14:val="tx1"/>
            </w14:solidFill>
          </w14:textFill>
        </w:rPr>
        <w:t>4</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年，我局收到</w:t>
      </w:r>
      <w:r>
        <w:rPr>
          <w:rFonts w:hint="eastAsia" w:eastAsia="方正仿宋简体" w:cs="Times New Roman"/>
          <w:b/>
          <w:bCs/>
          <w:color w:val="000000" w:themeColor="text1"/>
          <w:sz w:val="32"/>
          <w:szCs w:val="32"/>
          <w:highlight w:val="none"/>
          <w:lang w:val="en-US" w:eastAsia="zh-CN"/>
          <w14:textFill>
            <w14:solidFill>
              <w14:schemeClr w14:val="tx1"/>
            </w14:solidFill>
          </w14:textFill>
        </w:rPr>
        <w:t>1件</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依申请公开信息</w:t>
      </w:r>
      <w:r>
        <w:rPr>
          <w:rFonts w:hint="eastAsia" w:eastAsia="方正仿宋简体" w:cs="Times New Roman"/>
          <w:b/>
          <w:bCs/>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均已按照我区和单位的依申请公开政府信息制度和流程进行回复。区财政局依申请公开政府信息没有收取任何费用。未收到因答复不当导致引起的行政复议或行政诉讼案件。</w:t>
      </w:r>
    </w:p>
    <w:p>
      <w:pPr>
        <w:pStyle w:val="3"/>
        <w:bidi w:val="0"/>
        <w:jc w:val="center"/>
        <w:rPr>
          <w:rFonts w:hint="eastAsia" w:ascii="Times New Roman" w:hAnsi="Times New Roman" w:eastAsia="方正仿宋简体" w:cs="Times New Roman"/>
          <w:b/>
          <w:bCs/>
          <w:color w:val="000000" w:themeColor="text1"/>
          <w:sz w:val="32"/>
          <w:szCs w:val="32"/>
          <w:highlight w:val="none"/>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bidi="ar-SA"/>
          <w14:textFill>
            <w14:solidFill>
              <w14:schemeClr w14:val="tx1"/>
            </w14:solidFill>
          </w14:textFill>
        </w:rPr>
        <w:drawing>
          <wp:inline distT="0" distB="0" distL="114300" distR="114300">
            <wp:extent cx="4160520" cy="2425065"/>
            <wp:effectExtent l="4445" t="4445" r="10795" b="889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bidi w:val="0"/>
        <w:jc w:val="center"/>
        <w:rPr>
          <w:rFonts w:hint="eastAsia" w:eastAsia="宋体"/>
          <w:b/>
          <w:bCs/>
          <w:color w:val="000000" w:themeColor="text1"/>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bCs/>
          <w:color w:val="000000" w:themeColor="text1"/>
          <w:sz w:val="32"/>
          <w:szCs w:val="32"/>
          <w:highlight w:val="none"/>
          <w:lang w:val="en-US" w:eastAsia="zh-CN"/>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（三）</w:t>
      </w:r>
      <w:r>
        <w:rPr>
          <w:rFonts w:hint="eastAsia" w:eastAsia="方正楷体简体"/>
          <w:b/>
          <w:color w:val="000000" w:themeColor="text1"/>
          <w:sz w:val="32"/>
          <w:szCs w:val="32"/>
          <w:highlight w:val="none"/>
          <w14:textFill>
            <w14:solidFill>
              <w14:schemeClr w14:val="tx1"/>
            </w14:solidFill>
          </w14:textFill>
        </w:rPr>
        <w:t>政府信息管理</w:t>
      </w:r>
      <w:r>
        <w:rPr>
          <w:rFonts w:hint="eastAsia" w:eastAsia="方正楷体简体"/>
          <w:b/>
          <w:color w:val="000000" w:themeColor="text1"/>
          <w:sz w:val="32"/>
          <w:szCs w:val="32"/>
          <w:highlight w:val="none"/>
          <w:lang w:eastAsia="zh-CN"/>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建立健全信息审核发布机制，明确各科室信息报送职责，严格把关信息质量，从源头保障公开信息准确性。加强政府信息动态管理，定期对政务进行全面筛查，依据法律法规修订、政策调整及工作实际进展进行及时调整，高效推动信息更新迭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themeColor="text1"/>
          <w:sz w:val="32"/>
          <w:szCs w:val="32"/>
          <w:highlight w:val="none"/>
          <w:lang w:eastAsia="zh-CN"/>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（四）政府信息公开平台建设</w:t>
      </w:r>
      <w:r>
        <w:rPr>
          <w:rFonts w:hint="eastAsia" w:eastAsia="方正楷体简体"/>
          <w:b/>
          <w:color w:val="000000" w:themeColor="text1"/>
          <w:sz w:val="32"/>
          <w:szCs w:val="32"/>
          <w:highlight w:val="none"/>
          <w:lang w:eastAsia="zh-CN"/>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对预决算栏目进行改版升级，将预决算信息公开栏目细分为集中公开和部门公开两大板块，</w:t>
      </w:r>
      <w:r>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同时采用报表、文字相结合等方式，做到解释说明与数字相呼应，</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方便群众在线点击查阅，提升群众对财政工作和财政政策的知晓度和参与率。</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themeColor="text1"/>
          <w:sz w:val="32"/>
          <w:szCs w:val="32"/>
          <w:highlight w:val="none"/>
          <w:lang w:val="en-US" w:eastAsia="zh-CN"/>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监督保障</w:t>
      </w:r>
      <w:r>
        <w:rPr>
          <w:rFonts w:hint="eastAsia" w:eastAsia="方正楷体简体"/>
          <w:b/>
          <w:color w:val="000000" w:themeColor="text1"/>
          <w:sz w:val="32"/>
          <w:szCs w:val="32"/>
          <w:highlight w:val="none"/>
          <w:lang w:eastAsia="zh-CN"/>
          <w14:textFill>
            <w14:solidFill>
              <w14:schemeClr w14:val="tx1"/>
            </w14:solidFill>
          </w14:textFill>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bidi="ar-SA"/>
          <w14:textFill>
            <w14:solidFill>
              <w14:schemeClr w14:val="tx1"/>
            </w14:solidFill>
          </w14:textFill>
        </w:rPr>
        <w:t>一是强化组织领导。根据工作调整和人员变动明确各科室单位政务公开职责，切实保障政务公开工作有序推进。二是强化监督指导。政务公开领导小组办公室负责局政务公开日常工作，严格按照政务公开基本目录规定的时间节点梳理公开事项，协调配合相关责任科室及时公开应公开信息</w:t>
      </w:r>
      <w:r>
        <w:rPr>
          <w:rFonts w:hint="eastAsia" w:eastAsia="方正仿宋简体" w:cs="Times New Roman"/>
          <w:b/>
          <w:bCs/>
          <w:color w:val="000000" w:themeColor="text1"/>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themeColor="text1"/>
          <w:sz w:val="32"/>
          <w:szCs w:val="32"/>
          <w:highlight w:val="none"/>
          <w14:textFill>
            <w14:solidFill>
              <w14:schemeClr w14:val="tx1"/>
            </w14:solidFill>
          </w14:textFill>
        </w:rPr>
      </w:pPr>
      <w:r>
        <w:rPr>
          <w:rFonts w:eastAsia="方正黑体简体"/>
          <w:b/>
          <w:color w:val="000000" w:themeColor="text1"/>
          <w:sz w:val="32"/>
          <w:szCs w:val="32"/>
          <w:highlight w:val="none"/>
          <w14:textFill>
            <w14:solidFill>
              <w14:schemeClr w14:val="tx1"/>
            </w14:solidFill>
          </w14:textFill>
        </w:rPr>
        <w:t>二、主动公开政府信息情况</w:t>
      </w:r>
    </w:p>
    <w:tbl>
      <w:tblPr>
        <w:tblStyle w:val="7"/>
        <w:tblW w:w="8520" w:type="dxa"/>
        <w:tblInd w:w="0" w:type="dxa"/>
        <w:tblLayout w:type="fixed"/>
        <w:tblCellMar>
          <w:top w:w="0" w:type="dxa"/>
          <w:left w:w="108" w:type="dxa"/>
          <w:bottom w:w="0" w:type="dxa"/>
          <w:right w:w="108" w:type="dxa"/>
        </w:tblCellMar>
      </w:tblPr>
      <w:tblGrid>
        <w:gridCol w:w="2127"/>
        <w:gridCol w:w="2128"/>
        <w:gridCol w:w="2128"/>
        <w:gridCol w:w="2137"/>
      </w:tblGrid>
      <w:tr>
        <w:tblPrEx>
          <w:tblLayout w:type="fixed"/>
          <w:tblCellMar>
            <w:top w:w="0" w:type="dxa"/>
            <w:left w:w="108" w:type="dxa"/>
            <w:bottom w:w="0" w:type="dxa"/>
            <w:right w:w="108" w:type="dxa"/>
          </w:tblCellMar>
        </w:tblPrEx>
        <w:trPr>
          <w:trHeight w:val="567" w:hRule="atLeast"/>
        </w:trPr>
        <w:tc>
          <w:tcPr>
            <w:tcW w:w="852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color w:val="000000" w:themeColor="text1"/>
                <w:kern w:val="0"/>
                <w:szCs w:val="21"/>
                <w:highlight w:val="none"/>
                <w14:textFill>
                  <w14:solidFill>
                    <w14:schemeClr w14:val="tx1"/>
                  </w14:solidFill>
                </w14:textFill>
              </w:rPr>
            </w:pPr>
            <w:r>
              <w:rPr>
                <w:rFonts w:hint="eastAsia" w:ascii="Times New Roman" w:hAnsi="Times New Roman" w:eastAsia="黑体" w:cs="宋体"/>
                <w:color w:val="000000" w:themeColor="text1"/>
                <w:kern w:val="0"/>
                <w:szCs w:val="21"/>
                <w:highlight w:val="none"/>
                <w14:textFill>
                  <w14:solidFill>
                    <w14:schemeClr w14:val="tx1"/>
                  </w14:solidFill>
                </w14:textFill>
              </w:rPr>
              <w:t>第二十条第（一）项</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信息内容</w:t>
            </w:r>
          </w:p>
        </w:tc>
        <w:tc>
          <w:tcPr>
            <w:tcW w:w="2128" w:type="dxa"/>
            <w:tcBorders>
              <w:top w:val="nil"/>
              <w:left w:val="nil"/>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本年制发件数</w:t>
            </w:r>
          </w:p>
        </w:tc>
        <w:tc>
          <w:tcPr>
            <w:tcW w:w="2128" w:type="dxa"/>
            <w:tcBorders>
              <w:top w:val="nil"/>
              <w:left w:val="nil"/>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本年废止件数</w:t>
            </w:r>
          </w:p>
        </w:tc>
        <w:tc>
          <w:tcPr>
            <w:tcW w:w="2137" w:type="dxa"/>
            <w:tcBorders>
              <w:top w:val="nil"/>
              <w:left w:val="nil"/>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现行有效件数</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规章</w:t>
            </w:r>
          </w:p>
        </w:tc>
        <w:tc>
          <w:tcPr>
            <w:tcW w:w="2128" w:type="dxa"/>
            <w:tcBorders>
              <w:top w:val="nil"/>
              <w:left w:val="nil"/>
              <w:bottom w:val="single" w:color="auto" w:sz="8" w:space="0"/>
              <w:right w:val="single" w:color="auto" w:sz="8" w:space="0"/>
            </w:tcBorders>
            <w:vAlign w:val="center"/>
          </w:tcPr>
          <w:p>
            <w:pPr>
              <w:widowControl/>
              <w:jc w:val="cente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t>0</w:t>
            </w:r>
          </w:p>
        </w:tc>
        <w:tc>
          <w:tcPr>
            <w:tcW w:w="2128" w:type="dxa"/>
            <w:tcBorders>
              <w:top w:val="nil"/>
              <w:left w:val="nil"/>
              <w:bottom w:val="single" w:color="auto" w:sz="8" w:space="0"/>
              <w:right w:val="single" w:color="auto" w:sz="8" w:space="0"/>
            </w:tcBorders>
            <w:vAlign w:val="center"/>
          </w:tcPr>
          <w:p>
            <w:pPr>
              <w:widowControl/>
              <w:jc w:val="cente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t>0</w:t>
            </w:r>
          </w:p>
        </w:tc>
        <w:tc>
          <w:tcPr>
            <w:tcW w:w="2137" w:type="dxa"/>
            <w:tcBorders>
              <w:top w:val="nil"/>
              <w:left w:val="nil"/>
              <w:bottom w:val="single" w:color="auto" w:sz="8" w:space="0"/>
              <w:right w:val="single" w:color="auto" w:sz="8" w:space="0"/>
            </w:tcBorders>
            <w:vAlign w:val="center"/>
          </w:tcPr>
          <w:p>
            <w:pPr>
              <w:widowControl/>
              <w:jc w:val="center"/>
              <w:rPr>
                <w:rFonts w:hint="eastAsia" w:ascii="Times New Roman" w:hAnsi="Times New Roman" w:eastAsia="仿宋_GB2312" w:cs="Calibri"/>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Calibri"/>
                <w:color w:val="000000" w:themeColor="text1"/>
                <w:kern w:val="0"/>
                <w:szCs w:val="21"/>
                <w:highlight w:val="none"/>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行政规范性文件</w:t>
            </w:r>
          </w:p>
        </w:tc>
        <w:tc>
          <w:tcPr>
            <w:tcW w:w="2128" w:type="dxa"/>
            <w:tcBorders>
              <w:top w:val="nil"/>
              <w:left w:val="nil"/>
              <w:bottom w:val="single" w:color="auto" w:sz="8" w:space="0"/>
              <w:right w:val="single" w:color="auto" w:sz="8" w:space="0"/>
            </w:tcBorders>
            <w:vAlign w:val="center"/>
          </w:tcPr>
          <w:p>
            <w:pPr>
              <w:widowControl/>
              <w:jc w:val="center"/>
              <w:rPr>
                <w:rFonts w:hint="default" w:ascii="Times New Roman" w:hAnsi="Times New Roman" w:eastAsia="仿宋_GB2312" w:cs="宋体"/>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t>0</w:t>
            </w:r>
          </w:p>
        </w:tc>
        <w:tc>
          <w:tcPr>
            <w:tcW w:w="2128" w:type="dxa"/>
            <w:tcBorders>
              <w:top w:val="nil"/>
              <w:left w:val="nil"/>
              <w:bottom w:val="single" w:color="auto" w:sz="8" w:space="0"/>
              <w:right w:val="single" w:color="auto" w:sz="8" w:space="0"/>
            </w:tcBorders>
            <w:vAlign w:val="center"/>
          </w:tcPr>
          <w:p>
            <w:pPr>
              <w:widowControl/>
              <w:jc w:val="center"/>
              <w:rPr>
                <w:rFonts w:hint="default" w:ascii="Times New Roman" w:hAnsi="Times New Roman" w:eastAsia="仿宋_GB2312" w:cs="宋体"/>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t>0</w:t>
            </w:r>
          </w:p>
        </w:tc>
        <w:tc>
          <w:tcPr>
            <w:tcW w:w="2137" w:type="dxa"/>
            <w:tcBorders>
              <w:top w:val="nil"/>
              <w:left w:val="nil"/>
              <w:bottom w:val="single" w:color="auto" w:sz="8" w:space="0"/>
              <w:right w:val="single" w:color="auto" w:sz="8" w:space="0"/>
            </w:tcBorders>
            <w:vAlign w:val="center"/>
          </w:tcPr>
          <w:p>
            <w:pPr>
              <w:widowControl/>
              <w:jc w:val="center"/>
              <w:rPr>
                <w:rFonts w:hint="default" w:ascii="Times New Roman" w:hAnsi="Times New Roman" w:eastAsia="仿宋_GB2312" w:cs="Calibri"/>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Calibri"/>
                <w:color w:val="000000" w:themeColor="text1"/>
                <w:kern w:val="0"/>
                <w:szCs w:val="21"/>
                <w:highlight w:val="none"/>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852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color w:val="000000" w:themeColor="text1"/>
                <w:kern w:val="0"/>
                <w:szCs w:val="21"/>
                <w:highlight w:val="none"/>
                <w14:textFill>
                  <w14:solidFill>
                    <w14:schemeClr w14:val="tx1"/>
                  </w14:solidFill>
                </w14:textFill>
              </w:rPr>
            </w:pPr>
            <w:r>
              <w:rPr>
                <w:rFonts w:hint="eastAsia" w:ascii="Times New Roman" w:hAnsi="Times New Roman" w:eastAsia="黑体" w:cs="宋体"/>
                <w:color w:val="000000" w:themeColor="text1"/>
                <w:kern w:val="0"/>
                <w:szCs w:val="21"/>
                <w:highlight w:val="none"/>
                <w14:textFill>
                  <w14:solidFill>
                    <w14:schemeClr w14:val="tx1"/>
                  </w14:solidFill>
                </w14:textFill>
              </w:rPr>
              <w:t>第二十条第（五）项</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信息内容</w:t>
            </w:r>
          </w:p>
        </w:tc>
        <w:tc>
          <w:tcPr>
            <w:tcW w:w="6393" w:type="dxa"/>
            <w:gridSpan w:val="3"/>
            <w:tcBorders>
              <w:top w:val="single" w:color="auto" w:sz="8" w:space="0"/>
              <w:left w:val="nil"/>
              <w:bottom w:val="single" w:color="auto" w:sz="8" w:space="0"/>
              <w:right w:val="single" w:color="000000"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本年处理决定数量</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行政许可</w:t>
            </w:r>
          </w:p>
        </w:tc>
        <w:tc>
          <w:tcPr>
            <w:tcW w:w="6393" w:type="dxa"/>
            <w:gridSpan w:val="3"/>
            <w:tcBorders>
              <w:top w:val="single" w:color="auto" w:sz="8" w:space="0"/>
              <w:left w:val="nil"/>
              <w:bottom w:val="single" w:color="auto" w:sz="8" w:space="0"/>
              <w:right w:val="single" w:color="000000" w:sz="8" w:space="0"/>
            </w:tcBorders>
            <w:vAlign w:val="center"/>
          </w:tcPr>
          <w:p>
            <w:pPr>
              <w:widowControl/>
              <w:jc w:val="center"/>
              <w:rPr>
                <w:rFonts w:hint="default" w:ascii="Times New Roman" w:hAnsi="Times New Roman" w:eastAsia="仿宋_GB2312" w:cs="Calibri"/>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Calibri"/>
                <w:color w:val="000000" w:themeColor="text1"/>
                <w:kern w:val="0"/>
                <w:szCs w:val="21"/>
                <w:highlight w:val="none"/>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852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color w:val="000000" w:themeColor="text1"/>
                <w:kern w:val="0"/>
                <w:szCs w:val="21"/>
                <w:highlight w:val="none"/>
                <w14:textFill>
                  <w14:solidFill>
                    <w14:schemeClr w14:val="tx1"/>
                  </w14:solidFill>
                </w14:textFill>
              </w:rPr>
            </w:pPr>
            <w:r>
              <w:rPr>
                <w:rFonts w:hint="eastAsia" w:ascii="Times New Roman" w:hAnsi="Times New Roman" w:eastAsia="黑体" w:cs="宋体"/>
                <w:color w:val="000000" w:themeColor="text1"/>
                <w:kern w:val="0"/>
                <w:szCs w:val="21"/>
                <w:highlight w:val="none"/>
                <w14:textFill>
                  <w14:solidFill>
                    <w14:schemeClr w14:val="tx1"/>
                  </w14:solidFill>
                </w14:textFill>
              </w:rPr>
              <w:t>第二十条第（六）项</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信息内容</w:t>
            </w:r>
          </w:p>
        </w:tc>
        <w:tc>
          <w:tcPr>
            <w:tcW w:w="6393" w:type="dxa"/>
            <w:gridSpan w:val="3"/>
            <w:tcBorders>
              <w:top w:val="single" w:color="auto" w:sz="8" w:space="0"/>
              <w:left w:val="nil"/>
              <w:bottom w:val="single" w:color="auto" w:sz="8" w:space="0"/>
              <w:right w:val="single" w:color="000000"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本年处理决定数量</w:t>
            </w:r>
          </w:p>
        </w:tc>
      </w:tr>
      <w:tr>
        <w:tblPrEx>
          <w:tblLayout w:type="fixed"/>
          <w:tblCellMar>
            <w:top w:w="0" w:type="dxa"/>
            <w:left w:w="108" w:type="dxa"/>
            <w:bottom w:w="0" w:type="dxa"/>
            <w:right w:w="108" w:type="dxa"/>
          </w:tblCellMar>
        </w:tblPrEx>
        <w:trPr>
          <w:trHeight w:val="567" w:hRule="atLeast"/>
        </w:trPr>
        <w:tc>
          <w:tcPr>
            <w:tcW w:w="2127" w:type="dxa"/>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行政处罚</w:t>
            </w:r>
          </w:p>
        </w:tc>
        <w:tc>
          <w:tcPr>
            <w:tcW w:w="6393" w:type="dxa"/>
            <w:gridSpan w:val="3"/>
            <w:tcBorders>
              <w:top w:val="single" w:color="auto" w:sz="8" w:space="0"/>
              <w:left w:val="single" w:color="auto" w:sz="8" w:space="0"/>
              <w:bottom w:val="single" w:color="auto" w:sz="8" w:space="0"/>
              <w:right w:val="single" w:color="auto" w:sz="8" w:space="0"/>
            </w:tcBorders>
            <w:vAlign w:val="center"/>
          </w:tcPr>
          <w:p>
            <w:pPr>
              <w:widowControl/>
              <w:tabs>
                <w:tab w:val="center" w:pos="3247"/>
              </w:tabs>
              <w:jc w:val="center"/>
              <w:rPr>
                <w:rFonts w:hint="default" w:ascii="Times New Roman" w:hAnsi="Times New Roman" w:eastAsia="仿宋_GB2312" w:cs="宋体"/>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2127" w:type="dxa"/>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行政强制</w:t>
            </w:r>
          </w:p>
        </w:tc>
        <w:tc>
          <w:tcPr>
            <w:tcW w:w="6393" w:type="dxa"/>
            <w:gridSpan w:val="3"/>
            <w:tcBorders>
              <w:top w:val="single" w:color="auto" w:sz="8" w:space="0"/>
              <w:left w:val="nil"/>
              <w:bottom w:val="single" w:color="auto" w:sz="8" w:space="0"/>
              <w:right w:val="single" w:color="000000" w:sz="8" w:space="0"/>
            </w:tcBorders>
            <w:vAlign w:val="center"/>
          </w:tcPr>
          <w:p>
            <w:pPr>
              <w:widowControl/>
              <w:jc w:val="center"/>
              <w:rPr>
                <w:rFonts w:hint="default" w:ascii="Times New Roman" w:hAnsi="Times New Roman" w:eastAsia="仿宋_GB2312" w:cs="宋体"/>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highlight w:val="none"/>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852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color w:val="000000" w:themeColor="text1"/>
                <w:kern w:val="0"/>
                <w:szCs w:val="21"/>
                <w:highlight w:val="none"/>
                <w14:textFill>
                  <w14:solidFill>
                    <w14:schemeClr w14:val="tx1"/>
                  </w14:solidFill>
                </w14:textFill>
              </w:rPr>
            </w:pPr>
            <w:r>
              <w:rPr>
                <w:rFonts w:hint="eastAsia" w:ascii="Times New Roman" w:hAnsi="Times New Roman" w:eastAsia="黑体" w:cs="宋体"/>
                <w:color w:val="000000" w:themeColor="text1"/>
                <w:kern w:val="0"/>
                <w:szCs w:val="21"/>
                <w:highlight w:val="none"/>
                <w14:textFill>
                  <w14:solidFill>
                    <w14:schemeClr w14:val="tx1"/>
                  </w14:solidFill>
                </w14:textFill>
              </w:rPr>
              <w:t>第二十条第（八）项</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信息内容</w:t>
            </w:r>
          </w:p>
        </w:tc>
        <w:tc>
          <w:tcPr>
            <w:tcW w:w="6393" w:type="dxa"/>
            <w:gridSpan w:val="3"/>
            <w:tcBorders>
              <w:top w:val="single" w:color="auto" w:sz="8" w:space="0"/>
              <w:left w:val="nil"/>
              <w:bottom w:val="single" w:color="auto" w:sz="8" w:space="0"/>
              <w:right w:val="single" w:color="000000" w:sz="8" w:space="0"/>
            </w:tcBorders>
            <w:vAlign w:val="center"/>
          </w:tcPr>
          <w:p>
            <w:pPr>
              <w:widowControl/>
              <w:jc w:val="center"/>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本年收费金额（单位：万元）</w:t>
            </w:r>
          </w:p>
        </w:tc>
      </w:tr>
      <w:tr>
        <w:tblPrEx>
          <w:tblLayout w:type="fixed"/>
          <w:tblCellMar>
            <w:top w:w="0" w:type="dxa"/>
            <w:left w:w="108" w:type="dxa"/>
            <w:bottom w:w="0" w:type="dxa"/>
            <w:right w:w="108" w:type="dxa"/>
          </w:tblCellMar>
        </w:tblPrEx>
        <w:trPr>
          <w:trHeight w:val="567" w:hRule="atLeast"/>
        </w:trPr>
        <w:tc>
          <w:tcPr>
            <w:tcW w:w="2127" w:type="dxa"/>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仿宋_GB2312" w:cs="宋体"/>
                <w:color w:val="000000" w:themeColor="text1"/>
                <w:kern w:val="0"/>
                <w:szCs w:val="21"/>
                <w:highlight w:val="none"/>
                <w14:textFill>
                  <w14:solidFill>
                    <w14:schemeClr w14:val="tx1"/>
                  </w14:solidFill>
                </w14:textFill>
              </w:rPr>
            </w:pPr>
            <w:r>
              <w:rPr>
                <w:rFonts w:hint="eastAsia" w:ascii="Times New Roman" w:hAnsi="Times New Roman" w:eastAsia="仿宋_GB2312" w:cs="宋体"/>
                <w:color w:val="000000" w:themeColor="text1"/>
                <w:kern w:val="0"/>
                <w:szCs w:val="21"/>
                <w:highlight w:val="none"/>
                <w14:textFill>
                  <w14:solidFill>
                    <w14:schemeClr w14:val="tx1"/>
                  </w14:solidFill>
                </w14:textFill>
              </w:rPr>
              <w:t>行政事业性收费</w:t>
            </w:r>
          </w:p>
        </w:tc>
        <w:tc>
          <w:tcPr>
            <w:tcW w:w="6393" w:type="dxa"/>
            <w:gridSpan w:val="3"/>
            <w:tcBorders>
              <w:top w:val="single" w:color="auto" w:sz="8" w:space="0"/>
              <w:left w:val="nil"/>
              <w:bottom w:val="single" w:color="auto" w:sz="8" w:space="0"/>
              <w:right w:val="single" w:color="000000" w:sz="8" w:space="0"/>
            </w:tcBorders>
            <w:vAlign w:val="center"/>
          </w:tcPr>
          <w:p>
            <w:pPr>
              <w:widowControl/>
              <w:jc w:val="center"/>
              <w:rPr>
                <w:rFonts w:hint="default" w:ascii="Times New Roman" w:hAnsi="Times New Roman" w:eastAsia="仿宋_GB2312" w:cs="Calibri"/>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_GB2312" w:cs="Calibri"/>
                <w:color w:val="000000" w:themeColor="text1"/>
                <w:kern w:val="0"/>
                <w:szCs w:val="21"/>
                <w:highlight w:val="none"/>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黑体简体"/>
          <w:b/>
          <w:color w:val="000000" w:themeColor="text1"/>
          <w:sz w:val="32"/>
          <w:szCs w:val="32"/>
          <w:highlight w:val="none"/>
          <w:lang w:eastAsia="zh-CN"/>
          <w14:textFill>
            <w14:solidFill>
              <w14:schemeClr w14:val="tx1"/>
            </w14:solidFill>
          </w14:textFill>
        </w:rPr>
      </w:pPr>
      <w:r>
        <w:rPr>
          <w:rFonts w:eastAsia="方正黑体简体"/>
          <w:b/>
          <w:color w:val="000000" w:themeColor="text1"/>
          <w:sz w:val="32"/>
          <w:szCs w:val="32"/>
          <w:highlight w:val="none"/>
          <w14:textFill>
            <w14:solidFill>
              <w14:schemeClr w14:val="tx1"/>
            </w14:solidFill>
          </w14:textFill>
        </w:rPr>
        <w:t>三、收到和处理政府信息公开申请情况</w:t>
      </w:r>
    </w:p>
    <w:tbl>
      <w:tblPr>
        <w:tblStyle w:val="7"/>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trPr>
        <w:tc>
          <w:tcPr>
            <w:tcW w:w="5093" w:type="dxa"/>
            <w:gridSpan w:val="3"/>
            <w:vMerge w:val="restart"/>
            <w:tcMar>
              <w:left w:w="108" w:type="dxa"/>
              <w:right w:w="108" w:type="dxa"/>
            </w:tcMar>
            <w:vAlign w:val="center"/>
          </w:tcPr>
          <w:p>
            <w:pPr>
              <w:widowControl/>
              <w:jc w:val="center"/>
              <w:rPr>
                <w:rFonts w:ascii="Times New Roman" w:hAnsi="Times New Roman" w:eastAsia="楷体_GB2312"/>
                <w:color w:val="000000" w:themeColor="text1"/>
                <w:kern w:val="0"/>
                <w:szCs w:val="21"/>
                <w:highlight w:val="none"/>
                <w14:textFill>
                  <w14:solidFill>
                    <w14:schemeClr w14:val="tx1"/>
                  </w14:solidFill>
                </w14:textFill>
              </w:rPr>
            </w:pPr>
            <w:r>
              <w:rPr>
                <w:rFonts w:hint="eastAsia" w:ascii="Times New Roman" w:hAnsi="Times New Roman" w:eastAsia="楷体_GB2312"/>
                <w:color w:val="000000" w:themeColor="text1"/>
                <w:kern w:val="0"/>
                <w:szCs w:val="21"/>
                <w:highlight w:val="none"/>
                <w14:textFill>
                  <w14:solidFill>
                    <w14:schemeClr w14:val="tx1"/>
                  </w14:solidFill>
                </w14:textFill>
              </w:rPr>
              <w:t>（本列数据的勾稽关系为：第一项加第二项之和，</w:t>
            </w:r>
          </w:p>
          <w:p>
            <w:pPr>
              <w:widowControl/>
              <w:jc w:val="center"/>
              <w:rPr>
                <w:rFonts w:ascii="Times New Roman" w:hAnsi="Times New Roman" w:eastAsia="仿宋_GB2312"/>
                <w:color w:val="000000" w:themeColor="text1"/>
                <w:szCs w:val="21"/>
                <w:highlight w:val="none"/>
                <w14:textFill>
                  <w14:solidFill>
                    <w14:schemeClr w14:val="tx1"/>
                  </w14:solidFill>
                </w14:textFill>
              </w:rPr>
            </w:pPr>
            <w:r>
              <w:rPr>
                <w:rFonts w:hint="eastAsia" w:ascii="Times New Roman" w:hAnsi="Times New Roman" w:eastAsia="楷体_GB2312"/>
                <w:color w:val="000000" w:themeColor="text1"/>
                <w:kern w:val="0"/>
                <w:szCs w:val="21"/>
                <w:highlight w:val="none"/>
                <w14:textFill>
                  <w14:solidFill>
                    <w14:schemeClr w14:val="tx1"/>
                  </w14:solidFill>
                </w14:textFill>
              </w:rPr>
              <w:t>等于第三项加第四项之和）</w:t>
            </w:r>
          </w:p>
        </w:tc>
        <w:tc>
          <w:tcPr>
            <w:tcW w:w="4820" w:type="dxa"/>
            <w:gridSpan w:val="7"/>
            <w:tcMar>
              <w:left w:w="108" w:type="dxa"/>
              <w:right w:w="108" w:type="dxa"/>
            </w:tcMar>
            <w:vAlign w:val="center"/>
          </w:tcPr>
          <w:p>
            <w:pPr>
              <w:widowControl/>
              <w:spacing w:line="320" w:lineRule="exact"/>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5093" w:type="dxa"/>
            <w:gridSpan w:val="3"/>
            <w:vMerge w:val="continue"/>
            <w:tcMar>
              <w:left w:w="108" w:type="dxa"/>
              <w:right w:w="108" w:type="dxa"/>
            </w:tcMar>
            <w:vAlign w:val="center"/>
          </w:tcPr>
          <w:p>
            <w:pPr>
              <w:jc w:val="center"/>
              <w:rPr>
                <w:rFonts w:ascii="Times New Roman" w:hAnsi="Times New Roman" w:eastAsia="仿宋_GB2312"/>
                <w:color w:val="000000" w:themeColor="text1"/>
                <w:szCs w:val="21"/>
                <w:highlight w:val="none"/>
                <w14:textFill>
                  <w14:solidFill>
                    <w14:schemeClr w14:val="tx1"/>
                  </w14:solidFill>
                </w14:textFill>
              </w:rPr>
            </w:pPr>
          </w:p>
        </w:tc>
        <w:tc>
          <w:tcPr>
            <w:tcW w:w="829" w:type="dxa"/>
            <w:vMerge w:val="restart"/>
            <w:tcMar>
              <w:left w:w="108" w:type="dxa"/>
              <w:right w:w="108" w:type="dxa"/>
            </w:tcMar>
            <w:vAlign w:val="center"/>
          </w:tcPr>
          <w:p>
            <w:pPr>
              <w:widowControl/>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自然人</w:t>
            </w:r>
          </w:p>
        </w:tc>
        <w:tc>
          <w:tcPr>
            <w:tcW w:w="3140" w:type="dxa"/>
            <w:gridSpan w:val="5"/>
            <w:tcMar>
              <w:left w:w="108" w:type="dxa"/>
              <w:right w:w="108" w:type="dxa"/>
            </w:tcMar>
            <w:vAlign w:val="center"/>
          </w:tcPr>
          <w:p>
            <w:pPr>
              <w:widowControl/>
              <w:spacing w:line="320" w:lineRule="exact"/>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法人或其他组织</w:t>
            </w:r>
          </w:p>
        </w:tc>
        <w:tc>
          <w:tcPr>
            <w:tcW w:w="851" w:type="dxa"/>
            <w:vMerge w:val="restart"/>
            <w:tcMar>
              <w:left w:w="108" w:type="dxa"/>
              <w:right w:w="108" w:type="dxa"/>
            </w:tcMar>
            <w:vAlign w:val="center"/>
          </w:tcPr>
          <w:p>
            <w:pPr>
              <w:widowControl/>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trPr>
        <w:tc>
          <w:tcPr>
            <w:tcW w:w="5093" w:type="dxa"/>
            <w:gridSpan w:val="3"/>
            <w:vMerge w:val="continue"/>
            <w:tcMar>
              <w:left w:w="108" w:type="dxa"/>
              <w:right w:w="108" w:type="dxa"/>
            </w:tcMar>
            <w:vAlign w:val="center"/>
          </w:tcPr>
          <w:p>
            <w:pPr>
              <w:jc w:val="center"/>
              <w:rPr>
                <w:rFonts w:ascii="Times New Roman" w:hAnsi="Times New Roman" w:eastAsia="仿宋_GB2312"/>
                <w:color w:val="000000" w:themeColor="text1"/>
                <w:szCs w:val="21"/>
                <w:highlight w:val="none"/>
                <w14:textFill>
                  <w14:solidFill>
                    <w14:schemeClr w14:val="tx1"/>
                  </w14:solidFill>
                </w14:textFill>
              </w:rPr>
            </w:pPr>
          </w:p>
        </w:tc>
        <w:tc>
          <w:tcPr>
            <w:tcW w:w="829" w:type="dxa"/>
            <w:vMerge w:val="continue"/>
            <w:tcMar>
              <w:left w:w="108" w:type="dxa"/>
              <w:right w:w="108" w:type="dxa"/>
            </w:tcMar>
            <w:vAlign w:val="center"/>
          </w:tcPr>
          <w:p>
            <w:pPr>
              <w:jc w:val="center"/>
              <w:rPr>
                <w:rFonts w:ascii="Times New Roman" w:hAnsi="Times New Roman" w:eastAsia="黑体"/>
                <w:color w:val="000000" w:themeColor="text1"/>
                <w:szCs w:val="21"/>
                <w:highlight w:val="none"/>
                <w14:textFill>
                  <w14:solidFill>
                    <w14:schemeClr w14:val="tx1"/>
                  </w14:solidFill>
                </w14:textFill>
              </w:rPr>
            </w:pPr>
          </w:p>
        </w:tc>
        <w:tc>
          <w:tcPr>
            <w:tcW w:w="567" w:type="dxa"/>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商业企业</w:t>
            </w:r>
          </w:p>
        </w:tc>
        <w:tc>
          <w:tcPr>
            <w:tcW w:w="567" w:type="dxa"/>
            <w:tcMar>
              <w:left w:w="108" w:type="dxa"/>
              <w:right w:w="108" w:type="dxa"/>
            </w:tcMar>
            <w:vAlign w:val="center"/>
          </w:tcPr>
          <w:p>
            <w:pPr>
              <w:widowControl/>
              <w:spacing w:line="320" w:lineRule="exact"/>
              <w:ind w:left="-102" w:leftChars="-51" w:right="-102" w:rightChars="-51"/>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科研机构</w:t>
            </w:r>
          </w:p>
        </w:tc>
        <w:tc>
          <w:tcPr>
            <w:tcW w:w="731" w:type="dxa"/>
            <w:tcMar>
              <w:left w:w="108" w:type="dxa"/>
              <w:right w:w="108" w:type="dxa"/>
            </w:tcMar>
            <w:vAlign w:val="center"/>
          </w:tcPr>
          <w:p>
            <w:pPr>
              <w:widowControl/>
              <w:spacing w:line="320" w:lineRule="exact"/>
              <w:ind w:left="-102" w:leftChars="-51" w:right="-102" w:rightChars="-51"/>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社会公益组织</w:t>
            </w:r>
          </w:p>
        </w:tc>
        <w:tc>
          <w:tcPr>
            <w:tcW w:w="708" w:type="dxa"/>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法律服务机构</w:t>
            </w:r>
          </w:p>
        </w:tc>
        <w:tc>
          <w:tcPr>
            <w:tcW w:w="567" w:type="dxa"/>
            <w:tcMar>
              <w:left w:w="108" w:type="dxa"/>
              <w:right w:w="108" w:type="dxa"/>
            </w:tcMar>
            <w:vAlign w:val="center"/>
          </w:tcPr>
          <w:p>
            <w:pPr>
              <w:widowControl/>
              <w:spacing w:line="360" w:lineRule="exact"/>
              <w:ind w:left="-60" w:leftChars="-30" w:right="-128" w:rightChars="-64"/>
              <w:jc w:val="center"/>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其他</w:t>
            </w:r>
          </w:p>
        </w:tc>
        <w:tc>
          <w:tcPr>
            <w:tcW w:w="851" w:type="dxa"/>
            <w:vMerge w:val="continue"/>
            <w:tcMar>
              <w:left w:w="108" w:type="dxa"/>
              <w:right w:w="108" w:type="dxa"/>
            </w:tcMar>
            <w:vAlign w:val="center"/>
          </w:tcPr>
          <w:p>
            <w:pPr>
              <w:jc w:val="center"/>
              <w:rPr>
                <w:rFonts w:ascii="Times New Roman" w:hAnsi="Times New Roman" w:eastAsia="仿宋_GB2312"/>
                <w:color w:val="000000" w:themeColor="text1"/>
                <w:szCs w:val="21"/>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trPr>
        <w:tc>
          <w:tcPr>
            <w:tcW w:w="5093" w:type="dxa"/>
            <w:gridSpan w:val="3"/>
            <w:tcMar>
              <w:left w:w="108" w:type="dxa"/>
              <w:right w:w="108" w:type="dxa"/>
            </w:tcMar>
            <w:vAlign w:val="center"/>
          </w:tcPr>
          <w:p>
            <w:pPr>
              <w:widowControl/>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一、本年新收政府信息公开申请数量</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eastAsia="仿宋_GB2312"/>
                <w:color w:val="000000" w:themeColor="text1"/>
                <w:szCs w:val="21"/>
                <w:highlight w:val="none"/>
                <w:lang w:val="en-US" w:eastAsia="zh-CN"/>
                <w14:textFill>
                  <w14:solidFill>
                    <w14:schemeClr w14:val="tx1"/>
                  </w14:solidFill>
                </w14:textFill>
              </w:rPr>
              <w:t>1</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eastAsia="仿宋_GB2312"/>
                <w:color w:val="000000" w:themeColor="text1"/>
                <w:szCs w:val="21"/>
                <w:highlight w:val="none"/>
                <w:lang w:val="en-US" w:eastAsia="zh-CN"/>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trPr>
        <w:tc>
          <w:tcPr>
            <w:tcW w:w="5093" w:type="dxa"/>
            <w:gridSpan w:val="3"/>
            <w:tcMar>
              <w:left w:w="108" w:type="dxa"/>
              <w:right w:w="108" w:type="dxa"/>
            </w:tcMar>
            <w:vAlign w:val="center"/>
          </w:tcPr>
          <w:p>
            <w:pPr>
              <w:widowControl/>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二、上年结转政府信息公开申请数量</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restart"/>
            <w:tcMar>
              <w:left w:w="108" w:type="dxa"/>
              <w:right w:w="108" w:type="dxa"/>
            </w:tcMar>
            <w:vAlign w:val="center"/>
          </w:tcPr>
          <w:p>
            <w:pPr>
              <w:widowControl/>
              <w:spacing w:after="180"/>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三、本年度办理结果</w:t>
            </w:r>
          </w:p>
        </w:tc>
        <w:tc>
          <w:tcPr>
            <w:tcW w:w="4677" w:type="dxa"/>
            <w:gridSpan w:val="2"/>
            <w:tcMar>
              <w:left w:w="108" w:type="dxa"/>
              <w:right w:w="108" w:type="dxa"/>
            </w:tcMar>
            <w:vAlign w:val="center"/>
          </w:tcPr>
          <w:p>
            <w:pPr>
              <w:widowControl/>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（一）予以公开</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4677" w:type="dxa"/>
            <w:gridSpan w:val="2"/>
            <w:tcMar>
              <w:left w:w="108" w:type="dxa"/>
              <w:right w:w="108" w:type="dxa"/>
            </w:tcMar>
            <w:vAlign w:val="center"/>
          </w:tcPr>
          <w:p>
            <w:pPr>
              <w:widowControl/>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（二）部分公开（区分处理的，只计这一情形，不计其他情形）</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（三）不予公开</w:t>
            </w: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1.属于国家秘密</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2.其他法律行政法规禁止公开</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3.危及“三安全一稳定”</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4.保护第三方合法权益</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5.属于三类内部事务信息</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6.属于四类过程性信息</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7.属于行政执法案卷</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8.属于行政查询事项</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（四）无法提供</w:t>
            </w: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1.本机关不掌握相关政府信息</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eastAsia="仿宋_GB2312"/>
                <w:color w:val="000000" w:themeColor="text1"/>
                <w:szCs w:val="21"/>
                <w:highlight w:val="none"/>
                <w:lang w:val="en-US" w:eastAsia="zh-CN"/>
                <w14:textFill>
                  <w14:solidFill>
                    <w14:schemeClr w14:val="tx1"/>
                  </w14:solidFill>
                </w14:textFill>
              </w:rPr>
              <w:t>1</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eastAsia="仿宋_GB2312"/>
                <w:color w:val="000000" w:themeColor="text1"/>
                <w:szCs w:val="21"/>
                <w:highlight w:val="none"/>
                <w:lang w:val="en-US" w:eastAsia="zh-CN"/>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2.没有现成信息需要另行制作</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3.补正后申请内容仍不明确</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（五）不予处理</w:t>
            </w: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1.信访举报投诉类申请</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2.重复申请</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3.要求提供公开出版物</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trPr>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4.无正当理由大量反复申请</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highlight w:val="none"/>
                <w14:textFill>
                  <w14:solidFill>
                    <w14:schemeClr w14:val="tx1"/>
                  </w14:solidFill>
                </w14:textFill>
              </w:rPr>
            </w:pPr>
          </w:p>
        </w:tc>
        <w:tc>
          <w:tcPr>
            <w:tcW w:w="297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ascii="Times New Roman" w:hAnsi="Times New Roman" w:eastAsia="仿宋_GB2312"/>
                <w:color w:val="000000" w:themeColor="text1"/>
                <w:szCs w:val="21"/>
                <w:highlight w:val="none"/>
                <w14:textFill>
                  <w14:solidFill>
                    <w14:schemeClr w14:val="tx1"/>
                  </w14:solidFill>
                </w14:textFill>
              </w:rPr>
            </w:pPr>
            <w:r>
              <w:rPr>
                <w:rFonts w:hint="eastAsia" w:ascii="Times New Roman" w:hAnsi="Times New Roman" w:eastAsia="仿宋_GB2312"/>
                <w:color w:val="000000" w:themeColor="text1"/>
                <w:kern w:val="0"/>
                <w:szCs w:val="21"/>
                <w:highlight w:val="none"/>
                <w14:textFill>
                  <w14:solidFill>
                    <w14:schemeClr w14:val="tx1"/>
                  </w14:solidFill>
                </w14:textFill>
              </w:rPr>
              <w:t>出具已获取信息</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kern w:val="0"/>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（六）其他处理</w:t>
            </w:r>
          </w:p>
        </w:tc>
        <w:tc>
          <w:tcPr>
            <w:tcW w:w="2976" w:type="dxa"/>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1.申请人无正当理由逾期不补正、行政机关不再处理其政府信息公开申请</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widowControl/>
              <w:spacing w:line="300" w:lineRule="exact"/>
              <w:rPr>
                <w:rFonts w:ascii="Times New Roman" w:hAnsi="Times New Roman" w:eastAsia="黑体"/>
                <w:color w:val="000000" w:themeColor="text1"/>
                <w:kern w:val="0"/>
                <w:szCs w:val="21"/>
                <w:highlight w:val="none"/>
                <w14:textFill>
                  <w14:solidFill>
                    <w14:schemeClr w14:val="tx1"/>
                  </w14:solidFill>
                </w14:textFill>
              </w:rPr>
            </w:pPr>
          </w:p>
        </w:tc>
        <w:tc>
          <w:tcPr>
            <w:tcW w:w="2976" w:type="dxa"/>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2.申请人逾期未按收费通知要求缴纳费用、行政机关不再处理其政府信息公开申请</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1701" w:type="dxa"/>
            <w:vMerge w:val="continue"/>
            <w:tcMar>
              <w:left w:w="108" w:type="dxa"/>
              <w:right w:w="108" w:type="dxa"/>
            </w:tcMar>
            <w:vAlign w:val="center"/>
          </w:tcPr>
          <w:p>
            <w:pPr>
              <w:widowControl/>
              <w:spacing w:line="300" w:lineRule="exact"/>
              <w:rPr>
                <w:rFonts w:ascii="Times New Roman" w:hAnsi="Times New Roman" w:eastAsia="黑体"/>
                <w:color w:val="000000" w:themeColor="text1"/>
                <w:kern w:val="0"/>
                <w:szCs w:val="21"/>
                <w:highlight w:val="none"/>
                <w14:textFill>
                  <w14:solidFill>
                    <w14:schemeClr w14:val="tx1"/>
                  </w14:solidFill>
                </w14:textFill>
              </w:rPr>
            </w:pPr>
          </w:p>
        </w:tc>
        <w:tc>
          <w:tcPr>
            <w:tcW w:w="2976" w:type="dxa"/>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3.其他</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416" w:type="dxa"/>
            <w:vMerge w:val="continue"/>
            <w:tcMar>
              <w:left w:w="108" w:type="dxa"/>
              <w:right w:w="108" w:type="dxa"/>
            </w:tcMar>
            <w:vAlign w:val="center"/>
          </w:tcPr>
          <w:p>
            <w:pPr>
              <w:rPr>
                <w:rFonts w:ascii="Times New Roman" w:hAnsi="Times New Roman" w:eastAsia="黑体"/>
                <w:color w:val="000000" w:themeColor="text1"/>
                <w:szCs w:val="21"/>
                <w:highlight w:val="none"/>
                <w14:textFill>
                  <w14:solidFill>
                    <w14:schemeClr w14:val="tx1"/>
                  </w14:solidFill>
                </w14:textFill>
              </w:rPr>
            </w:pPr>
          </w:p>
        </w:tc>
        <w:tc>
          <w:tcPr>
            <w:tcW w:w="4677" w:type="dxa"/>
            <w:gridSpan w:val="2"/>
            <w:tcMar>
              <w:left w:w="108" w:type="dxa"/>
              <w:right w:w="108" w:type="dxa"/>
            </w:tcMar>
            <w:vAlign w:val="center"/>
          </w:tcPr>
          <w:p>
            <w:pPr>
              <w:widowControl/>
              <w:spacing w:line="300" w:lineRule="exact"/>
              <w:rPr>
                <w:rFonts w:ascii="Times New Roman" w:hAnsi="Times New Roman" w:eastAsia="黑体"/>
                <w:color w:val="000000" w:themeColor="text1"/>
                <w:kern w:val="0"/>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（七）总计</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eastAsia="仿宋_GB2312"/>
                <w:color w:val="000000" w:themeColor="text1"/>
                <w:szCs w:val="21"/>
                <w:highlight w:val="none"/>
                <w:lang w:val="en-US" w:eastAsia="zh-CN"/>
                <w14:textFill>
                  <w14:solidFill>
                    <w14:schemeClr w14:val="tx1"/>
                  </w14:solidFill>
                </w14:textFill>
              </w:rPr>
              <w:t>1</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eastAsia="仿宋_GB2312"/>
                <w:color w:val="000000" w:themeColor="text1"/>
                <w:szCs w:val="21"/>
                <w:highlight w:val="none"/>
                <w:lang w:val="en-US" w:eastAsia="zh-CN"/>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c>
          <w:tcPr>
            <w:tcW w:w="5093" w:type="dxa"/>
            <w:gridSpan w:val="3"/>
            <w:tcMar>
              <w:left w:w="108" w:type="dxa"/>
              <w:right w:w="108" w:type="dxa"/>
            </w:tcMar>
            <w:vAlign w:val="center"/>
          </w:tcPr>
          <w:p>
            <w:pPr>
              <w:widowControl/>
              <w:spacing w:line="300" w:lineRule="exact"/>
              <w:rPr>
                <w:rFonts w:ascii="Times New Roman" w:hAnsi="Times New Roman" w:eastAsia="黑体"/>
                <w:color w:val="000000" w:themeColor="text1"/>
                <w:kern w:val="0"/>
                <w:szCs w:val="21"/>
                <w:highlight w:val="none"/>
                <w14:textFill>
                  <w14:solidFill>
                    <w14:schemeClr w14:val="tx1"/>
                  </w14:solidFill>
                </w14:textFill>
              </w:rPr>
            </w:pPr>
            <w:r>
              <w:rPr>
                <w:rFonts w:hint="eastAsia" w:ascii="Times New Roman" w:hAnsi="Times New Roman" w:eastAsia="黑体"/>
                <w:color w:val="000000" w:themeColor="text1"/>
                <w:kern w:val="0"/>
                <w:szCs w:val="21"/>
                <w:highlight w:val="none"/>
                <w14:textFill>
                  <w14:solidFill>
                    <w14:schemeClr w14:val="tx1"/>
                  </w14:solidFill>
                </w14:textFill>
              </w:rPr>
              <w:t>四、结转下年度继续办理</w:t>
            </w:r>
          </w:p>
        </w:tc>
        <w:tc>
          <w:tcPr>
            <w:tcW w:w="82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3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70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56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c>
          <w:tcPr>
            <w:tcW w:w="85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highlight w:val="none"/>
                <w:lang w:val="en-US" w:eastAsia="zh-CN"/>
                <w14:textFill>
                  <w14:solidFill>
                    <w14:schemeClr w14:val="tx1"/>
                  </w14:solidFill>
                </w14:textFill>
              </w:rPr>
            </w:pPr>
            <w:r>
              <w:rPr>
                <w:rFonts w:hint="eastAsia" w:ascii="Times New Roman" w:hAnsi="Times New Roman" w:eastAsia="仿宋_GB2312"/>
                <w:color w:val="000000" w:themeColor="text1"/>
                <w:szCs w:val="21"/>
                <w:highlight w:val="none"/>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方正黑体简体"/>
          <w:b/>
          <w:color w:val="000000" w:themeColor="text1"/>
          <w:sz w:val="32"/>
          <w:szCs w:val="32"/>
          <w:highlight w:val="none"/>
          <w14:textFill>
            <w14:solidFill>
              <w14:schemeClr w14:val="tx1"/>
            </w14:solidFill>
          </w14:textFill>
        </w:rPr>
      </w:pPr>
      <w:r>
        <w:rPr>
          <w:rFonts w:eastAsia="方正黑体简体"/>
          <w:b/>
          <w:color w:val="000000" w:themeColor="text1"/>
          <w:sz w:val="32"/>
          <w:szCs w:val="32"/>
          <w:highlight w:val="none"/>
          <w14:textFill>
            <w14:solidFill>
              <w14:schemeClr w14:val="tx1"/>
            </w14:solidFill>
          </w14:textFill>
        </w:rPr>
        <w:t>四、政府信息公开行政复议、行政诉讼情况</w:t>
      </w:r>
    </w:p>
    <w:tbl>
      <w:tblPr>
        <w:tblStyle w:val="7"/>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ind w:left="-142" w:leftChars="-71" w:right="-162" w:rightChars="-81"/>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w:t>
            </w:r>
          </w:p>
          <w:p>
            <w:pPr>
              <w:widowControl/>
              <w:ind w:left="-142" w:leftChars="-71" w:right="-162" w:rightChars="-81"/>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ind w:left="-41" w:leftChars="-21" w:right="-126" w:rightChars="-63" w:hanging="1"/>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78" w:leftChars="-39" w:right="-92" w:rightChars="-46"/>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112" w:leftChars="-56" w:right="-112" w:rightChars="-56"/>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尚未</w:t>
            </w:r>
          </w:p>
          <w:p>
            <w:pPr>
              <w:widowControl/>
              <w:ind w:left="-112" w:leftChars="-56" w:right="-112" w:rightChars="-56"/>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320" w:lineRule="exact"/>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总</w:t>
            </w:r>
          </w:p>
          <w:p>
            <w:pPr>
              <w:widowControl/>
              <w:spacing w:line="320" w:lineRule="exact"/>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000000" w:themeColor="text1"/>
                <w:highlight w:val="none"/>
                <w14:textFill>
                  <w14:solidFill>
                    <w14:schemeClr w14:val="tx1"/>
                  </w14:solidFill>
                </w14:textFill>
              </w:rPr>
            </w:pPr>
            <w:bookmarkStart w:id="0" w:name="_Hlk67039688"/>
            <w:r>
              <w:rPr>
                <w:rFonts w:ascii="黑体" w:hAnsi="黑体" w:eastAsia="黑体"/>
                <w:color w:val="000000" w:themeColor="text1"/>
                <w:kern w:val="0"/>
                <w:sz w:val="20"/>
                <w:szCs w:val="20"/>
                <w:highlight w:val="none"/>
                <w14:textFill>
                  <w14:solidFill>
                    <w14:schemeClr w14:val="tx1"/>
                  </w14:solidFill>
                </w14:textFill>
              </w:rPr>
              <w:t>复议后起诉</w:t>
            </w:r>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黑体" w:hAnsi="黑体" w:eastAsia="黑体"/>
                <w:color w:val="000000" w:themeColor="text1"/>
                <w:sz w:val="24"/>
                <w:highlight w:val="none"/>
                <w14:textFill>
                  <w14:solidFill>
                    <w14:schemeClr w14:val="tx1"/>
                  </w14:solidFill>
                </w14:textFill>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ascii="黑体" w:hAnsi="黑体" w:eastAsia="黑体"/>
                <w:color w:val="000000" w:themeColor="text1"/>
                <w:sz w:val="24"/>
                <w:highlight w:val="none"/>
                <w14:textFill>
                  <w14:solidFill>
                    <w14:schemeClr w14:val="tx1"/>
                  </w14:solidFill>
                </w14:textFill>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olor w:val="000000" w:themeColor="text1"/>
                <w:sz w:val="24"/>
                <w:highlight w:val="none"/>
                <w14:textFill>
                  <w14:solidFill>
                    <w14:schemeClr w14:val="tx1"/>
                  </w14:solidFill>
                </w14:textFill>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olor w:val="000000" w:themeColor="text1"/>
                <w:sz w:val="24"/>
                <w:highlight w:val="none"/>
                <w14:textFill>
                  <w14:solidFill>
                    <w14:schemeClr w14:val="tx1"/>
                  </w14:solidFill>
                </w14:textFill>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olor w:val="000000" w:themeColor="text1"/>
                <w:sz w:val="24"/>
                <w:highlight w:val="none"/>
                <w14:textFill>
                  <w14:solidFill>
                    <w14:schemeClr w14:val="tx1"/>
                  </w14:solidFill>
                </w14:textFill>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ind w:left="-100" w:leftChars="-50" w:right="-120" w:rightChars="-60"/>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ind w:left="-82" w:leftChars="-41" w:right="-84" w:rightChars="-42"/>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20" w:leftChars="-60" w:right="-130" w:rightChars="-65"/>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其他</w:t>
            </w:r>
          </w:p>
          <w:p>
            <w:pPr>
              <w:widowControl/>
              <w:ind w:left="-120" w:leftChars="-60" w:right="-130" w:rightChars="-65"/>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56" w:leftChars="-78" w:right="-146" w:rightChars="-73"/>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尚未</w:t>
            </w:r>
          </w:p>
          <w:p>
            <w:pPr>
              <w:widowControl/>
              <w:ind w:left="-156" w:leftChars="-78" w:right="-146" w:rightChars="-73"/>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94" w:leftChars="-47" w:right="-74" w:rightChars="-37"/>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30" w:leftChars="-65" w:right="-118" w:rightChars="-59"/>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w:t>
            </w:r>
          </w:p>
          <w:p>
            <w:pPr>
              <w:widowControl/>
              <w:ind w:left="-130" w:leftChars="-65" w:right="-118" w:rightChars="-59"/>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65" w:leftChars="-83" w:right="-128" w:rightChars="-64" w:hanging="1"/>
              <w:jc w:val="center"/>
              <w:rPr>
                <w:rFonts w:ascii="黑体" w:hAnsi="黑体" w:eastAsia="黑体"/>
                <w:color w:val="000000" w:themeColor="text1"/>
                <w:kern w:val="0"/>
                <w:sz w:val="20"/>
                <w:szCs w:val="20"/>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其他</w:t>
            </w:r>
          </w:p>
          <w:p>
            <w:pPr>
              <w:widowControl/>
              <w:ind w:left="-165" w:leftChars="-83" w:right="-128" w:rightChars="-64" w:hanging="1"/>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64" w:leftChars="-33" w:right="-100" w:rightChars="-50" w:hanging="2" w:hangingChars="1"/>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000000" w:themeColor="text1"/>
                <w:highlight w:val="none"/>
                <w14:textFill>
                  <w14:solidFill>
                    <w14:schemeClr w14:val="tx1"/>
                  </w14:solidFill>
                </w14:textFill>
              </w:rPr>
            </w:pPr>
            <w:r>
              <w:rPr>
                <w:rFonts w:ascii="黑体" w:hAnsi="黑体" w:eastAsia="黑体"/>
                <w:color w:val="000000" w:themeColor="text1"/>
                <w:kern w:val="0"/>
                <w:sz w:val="20"/>
                <w:szCs w:val="20"/>
                <w:highlight w:val="none"/>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4"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4"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4"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58"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550"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6"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c>
          <w:tcPr>
            <w:tcW w:w="606"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themeColor="text1"/>
          <w:sz w:val="32"/>
          <w:szCs w:val="32"/>
          <w:highlight w:val="none"/>
          <w14:textFill>
            <w14:solidFill>
              <w14:schemeClr w14:val="tx1"/>
            </w14:solidFill>
          </w14:textFill>
        </w:rPr>
      </w:pPr>
      <w:r>
        <w:rPr>
          <w:rFonts w:eastAsia="方正黑体简体"/>
          <w:b/>
          <w:color w:val="000000" w:themeColor="text1"/>
          <w:sz w:val="32"/>
          <w:szCs w:val="32"/>
          <w:highlight w:val="none"/>
          <w14:textFill>
            <w14:solidFill>
              <w14:schemeClr w14:val="tx1"/>
            </w14:solidFill>
          </w14:textFill>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存在问题：</w:t>
      </w:r>
      <w:r>
        <w:rPr>
          <w:rFonts w:hint="eastAsia" w:eastAsia="方正仿宋简体" w:cs="Times New Roman"/>
          <w:b/>
          <w:bCs/>
          <w:color w:val="000000" w:themeColor="text1"/>
          <w:sz w:val="32"/>
          <w:szCs w:val="32"/>
          <w:highlight w:val="none"/>
          <w:lang w:val="en-US" w:eastAsia="zh-CN"/>
          <w14:textFill>
            <w14:solidFill>
              <w14:schemeClr w14:val="tx1"/>
            </w14:solidFill>
          </w14:textFill>
        </w:rPr>
        <w:t>一是对政府信息公开工作的认识有待进一步深化；二是</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政府信息公开</w:t>
      </w:r>
      <w:r>
        <w:rPr>
          <w:rFonts w:hint="eastAsia" w:eastAsia="方正仿宋简体" w:cs="Times New Roman"/>
          <w:b/>
          <w:bCs/>
          <w:color w:val="000000" w:themeColor="text1"/>
          <w:sz w:val="32"/>
          <w:szCs w:val="32"/>
          <w:highlight w:val="none"/>
          <w:lang w:val="en-US" w:eastAsia="zh-CN"/>
          <w14:textFill>
            <w14:solidFill>
              <w14:schemeClr w14:val="tx1"/>
            </w14:solidFill>
          </w14:textFill>
        </w:rPr>
        <w:t>内容有待进一步完善。</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000000" w:themeColor="text1"/>
          <w:kern w:val="0"/>
          <w:sz w:val="32"/>
          <w:szCs w:val="32"/>
          <w:highlight w:val="none"/>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2025年，将从以下几个方面重点改进：</w:t>
      </w:r>
      <w:r>
        <w:rPr>
          <w:rFonts w:hint="eastAsia" w:ascii="Times New Roman" w:hAnsi="Times New Roman" w:eastAsia="方正仿宋简体" w:cs="Times New Roman"/>
          <w:b/>
          <w:bCs/>
          <w:color w:val="000000" w:themeColor="text1"/>
          <w:kern w:val="0"/>
          <w:sz w:val="32"/>
          <w:szCs w:val="32"/>
          <w:highlight w:val="none"/>
          <w:lang w:val="en-US" w:eastAsia="zh-CN" w:bidi="ar-SA"/>
          <w14:textFill>
            <w14:solidFill>
              <w14:schemeClr w14:val="tx1"/>
            </w14:solidFill>
          </w14:textFill>
        </w:rPr>
        <w:t>一是提高思想认识，进一步深化对政府信息公开的认识，把政府信息公开工作摆到突出位置，扎实做好政府信息公开相关工作。二是夯实工作力量，加强对信息人员的培训，着力提高各科室信息公开意识。三是进一步梳理本单位所掌握的政府信息，紧扣公众所关心关注的热点焦点问题和工作，充实完善公开内容，定期维护，及时回应社会关切</w:t>
      </w:r>
      <w:r>
        <w:rPr>
          <w:rFonts w:hint="eastAsia" w:eastAsia="方正仿宋简体" w:cs="Times New Roman"/>
          <w:b/>
          <w:bCs/>
          <w:color w:val="000000" w:themeColor="text1"/>
          <w:kern w:val="0"/>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themeColor="text1"/>
          <w:sz w:val="32"/>
          <w:szCs w:val="32"/>
          <w:highlight w:val="none"/>
          <w14:textFill>
            <w14:solidFill>
              <w14:schemeClr w14:val="tx1"/>
            </w14:solidFill>
          </w14:textFill>
        </w:rPr>
      </w:pPr>
      <w:r>
        <w:rPr>
          <w:rFonts w:eastAsia="方正黑体简体"/>
          <w:b/>
          <w:color w:val="000000" w:themeColor="text1"/>
          <w:sz w:val="32"/>
          <w:szCs w:val="32"/>
          <w:highlight w:val="none"/>
          <w14:textFill>
            <w14:solidFill>
              <w14:schemeClr w14:val="tx1"/>
            </w14:solidFill>
          </w14:textFill>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themeColor="text1"/>
          <w:sz w:val="32"/>
          <w:szCs w:val="32"/>
          <w:highlight w:val="none"/>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（一）依据《政府信息公开信息处理费管理办法》收取信息处理费的情况</w:t>
      </w:r>
      <w:r>
        <w:rPr>
          <w:rFonts w:hint="eastAsia" w:eastAsia="方正楷体简体"/>
          <w:b/>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2024年，</w:t>
      </w:r>
      <w:r>
        <w:rPr>
          <w:rFonts w:hint="eastAsia" w:eastAsia="方正仿宋简体" w:cs="Times New Roman"/>
          <w:b/>
          <w:bCs/>
          <w:color w:val="000000" w:themeColor="text1"/>
          <w:sz w:val="32"/>
          <w:szCs w:val="32"/>
          <w:highlight w:val="none"/>
          <w:lang w:val="en-US" w:eastAsia="zh-CN"/>
          <w14:textFill>
            <w14:solidFill>
              <w14:schemeClr w14:val="tx1"/>
            </w14:solidFill>
          </w14:textFill>
        </w:rPr>
        <w:t>区</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财政局不存在收取信息处理费情况。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themeColor="text1"/>
          <w:sz w:val="32"/>
          <w:szCs w:val="32"/>
          <w:highlight w:val="none"/>
          <w14:textFill>
            <w14:solidFill>
              <w14:schemeClr w14:val="tx1"/>
            </w14:solidFill>
          </w14:textFill>
        </w:rPr>
      </w:pPr>
      <w:r>
        <w:rPr>
          <w:rFonts w:hint="eastAsia" w:eastAsia="方正楷体简体"/>
          <w:b/>
          <w:color w:val="000000" w:themeColor="text1"/>
          <w:sz w:val="32"/>
          <w:szCs w:val="32"/>
          <w:highlight w:val="none"/>
          <w14:textFill>
            <w14:solidFill>
              <w14:schemeClr w14:val="tx1"/>
            </w14:solidFill>
          </w14:textFill>
        </w:rPr>
        <w:t>（二）</w:t>
      </w:r>
      <w:r>
        <w:rPr>
          <w:rFonts w:eastAsia="方正楷体简体"/>
          <w:b/>
          <w:color w:val="000000" w:themeColor="text1"/>
          <w:sz w:val="32"/>
          <w:szCs w:val="32"/>
          <w:highlight w:val="none"/>
          <w14:textFill>
            <w14:solidFill>
              <w14:schemeClr w14:val="tx1"/>
            </w14:solidFill>
          </w14:textFill>
        </w:rPr>
        <w:t>本行政机关落实上级年度政务公开工作要点情况</w:t>
      </w:r>
      <w:r>
        <w:rPr>
          <w:rFonts w:hint="eastAsia" w:eastAsia="方正楷体简体"/>
          <w:b/>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eastAsia="方正仿宋简体" w:cs="Times New Roman"/>
          <w:b/>
          <w:bCs/>
          <w:color w:val="000000" w:themeColor="text1"/>
          <w:sz w:val="32"/>
          <w:szCs w:val="32"/>
          <w:highlight w:val="none"/>
          <w:lang w:val="en-US" w:eastAsia="zh-CN"/>
          <w14:textFill>
            <w14:solidFill>
              <w14:schemeClr w14:val="tx1"/>
            </w14:solidFill>
          </w14:textFill>
        </w:rPr>
        <w:t>2024年，</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区财政局紧紧围绕财政中心工作，细化政务公开工作任务，动态完善重点领域公开职责明细</w:t>
      </w:r>
      <w:r>
        <w:rPr>
          <w:rFonts w:hint="eastAsia" w:eastAsia="方正仿宋简体" w:cs="Times New Roman"/>
          <w:b/>
          <w:bCs/>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进一步明确责任分工、公开频率、要素标准等，切实做到“常规内容定期公开、临时工作随时公开、定性工作长期公开”</w:t>
      </w:r>
      <w:r>
        <w:rPr>
          <w:rFonts w:hint="eastAsia" w:eastAsia="方正仿宋简体" w:cs="Times New Roman"/>
          <w:b/>
          <w:bCs/>
          <w:color w:val="000000" w:themeColor="text1"/>
          <w:sz w:val="32"/>
          <w:szCs w:val="32"/>
          <w:highlight w:val="none"/>
          <w:lang w:val="en-US" w:eastAsia="zh-CN"/>
          <w14:textFill>
            <w14:solidFill>
              <w14:schemeClr w14:val="tx1"/>
            </w14:solidFill>
          </w14:textFill>
        </w:rPr>
        <w:t>。强</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化保密审查，结合局保密工作有关规定，严格履行政务公开保密审查程序，兼顾公开透明与安全稳定。切实做到了政务运行和政务公开融合互促、同步推进。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themeColor="text1"/>
          <w:sz w:val="32"/>
          <w:szCs w:val="32"/>
          <w:highlight w:val="none"/>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（三）人大代表建议和政协提案办理结果公开情况</w:t>
      </w:r>
      <w:r>
        <w:rPr>
          <w:rFonts w:hint="eastAsia" w:eastAsia="方正楷体简体"/>
          <w:b/>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202</w:t>
      </w:r>
      <w:r>
        <w:rPr>
          <w:rFonts w:hint="eastAsia" w:eastAsia="方正仿宋简体" w:cs="Times New Roman"/>
          <w:b/>
          <w:bCs/>
          <w:color w:val="000000" w:themeColor="text1"/>
          <w:sz w:val="32"/>
          <w:szCs w:val="32"/>
          <w:highlight w:val="none"/>
          <w:lang w:val="en-US" w:eastAsia="zh-CN"/>
          <w14:textFill>
            <w14:solidFill>
              <w14:schemeClr w14:val="tx1"/>
            </w14:solidFill>
          </w14:textFill>
        </w:rPr>
        <w:t>4</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年，</w:t>
      </w:r>
      <w:r>
        <w:rPr>
          <w:rFonts w:hint="eastAsia" w:eastAsia="方正仿宋简体" w:cs="Times New Roman"/>
          <w:b/>
          <w:bCs/>
          <w:color w:val="000000" w:themeColor="text1"/>
          <w:sz w:val="32"/>
          <w:szCs w:val="32"/>
          <w:highlight w:val="none"/>
          <w:lang w:val="en-US" w:eastAsia="zh-CN"/>
          <w14:textFill>
            <w14:solidFill>
              <w14:schemeClr w14:val="tx1"/>
            </w14:solidFill>
          </w14:textFill>
        </w:rPr>
        <w:t>区</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财政局共办理政协委员提案</w:t>
      </w:r>
      <w:r>
        <w:rPr>
          <w:rFonts w:hint="default"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1</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件</w:t>
      </w:r>
      <w:r>
        <w:rPr>
          <w:rFonts w:hint="eastAsia" w:eastAsia="方正仿宋简体" w:cs="Times New Roman"/>
          <w:b/>
          <w:bCs/>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答复均已进行公开。区财政局将进一步加强人大代表建议和政协提案办理结果公开工作，认真履行公开职责，按照积极稳妥、逐步深化的原则，精心组织，周密安排，确保建议和提案办理结果公开工作规范、有序开展。</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themeColor="text1"/>
          <w:sz w:val="32"/>
          <w:szCs w:val="32"/>
          <w:highlight w:val="none"/>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（四）本行政机关年度政务公开工作创新情况</w:t>
      </w:r>
      <w:r>
        <w:rPr>
          <w:rFonts w:hint="eastAsia" w:eastAsia="方正楷体简体"/>
          <w:b/>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将部门所属二级单位全部纳入预决算公开范围，除涉密敏感信息外，实现部门和单位信息“双公开”，亮出财政全部“家底”。</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themeColor="text1"/>
          <w:sz w:val="32"/>
          <w:szCs w:val="32"/>
          <w:highlight w:val="none"/>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（五）本行政机关政府信息公开工作年度报告数据统计需要说明的事项</w:t>
      </w:r>
      <w:r>
        <w:rPr>
          <w:rFonts w:hint="eastAsia" w:eastAsia="方正楷体简体"/>
          <w:b/>
          <w:color w:val="000000" w:themeColor="text1"/>
          <w:sz w:val="32"/>
          <w:szCs w:val="32"/>
          <w:highlight w:val="none"/>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themeColor="text1"/>
          <w:sz w:val="32"/>
          <w:szCs w:val="32"/>
          <w:highlight w:val="none"/>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（六）本行政机关认为需要报告的其他事项</w:t>
      </w:r>
      <w:r>
        <w:rPr>
          <w:rFonts w:hint="eastAsia" w:eastAsia="方正楷体简体"/>
          <w:b/>
          <w:color w:val="000000" w:themeColor="text1"/>
          <w:sz w:val="32"/>
          <w:szCs w:val="32"/>
          <w:highlight w:val="none"/>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themeColor="text1"/>
          <w:sz w:val="32"/>
          <w:szCs w:val="32"/>
          <w:highlight w:val="none"/>
          <w14:textFill>
            <w14:solidFill>
              <w14:schemeClr w14:val="tx1"/>
            </w14:solidFill>
          </w14:textFill>
        </w:rPr>
      </w:pPr>
      <w:r>
        <w:rPr>
          <w:rFonts w:eastAsia="方正楷体简体"/>
          <w:b/>
          <w:color w:val="000000" w:themeColor="text1"/>
          <w:sz w:val="32"/>
          <w:szCs w:val="32"/>
          <w:highlight w:val="none"/>
          <w14:textFill>
            <w14:solidFill>
              <w14:schemeClr w14:val="tx1"/>
            </w14:solidFill>
          </w14:textFill>
        </w:rPr>
        <w:t>（七）其他有关文件专门要求通过政府信息公开工作年度报告予以报告的事项</w:t>
      </w:r>
      <w:r>
        <w:rPr>
          <w:rFonts w:hint="eastAsia" w:eastAsia="方正楷体简体"/>
          <w:b/>
          <w:color w:val="000000" w:themeColor="text1"/>
          <w:sz w:val="32"/>
          <w:szCs w:val="32"/>
          <w:highlight w:val="none"/>
          <w14:textFill>
            <w14:solidFill>
              <w14:schemeClr w14:val="tx1"/>
            </w14:solidFill>
          </w14:textFill>
        </w:rPr>
        <w:t>：</w:t>
      </w:r>
      <w:r>
        <w:rPr>
          <w:rFonts w:hint="eastAsia" w:ascii="Times New Roman" w:hAnsi="Times New Roman" w:eastAsia="方正仿宋简体" w:cs="Times New Roman"/>
          <w:b/>
          <w:bCs/>
          <w:color w:val="000000" w:themeColor="text1"/>
          <w:sz w:val="32"/>
          <w:szCs w:val="32"/>
          <w:highlight w:val="none"/>
          <w:lang w:val="en-US" w:eastAsia="zh-CN"/>
          <w14:textFill>
            <w14:solidFill>
              <w14:schemeClr w14:val="tx1"/>
            </w14:solidFill>
          </w14:textFill>
        </w:rPr>
        <w:t>无</w:t>
      </w:r>
    </w:p>
    <w:p>
      <w:pPr>
        <w:rPr>
          <w:color w:val="000000" w:themeColor="text1"/>
          <w:highlight w:val="none"/>
          <w14:textFill>
            <w14:solidFill>
              <w14:schemeClr w14:val="tx1"/>
            </w14:solidFill>
          </w14:textFill>
        </w:rPr>
      </w:pPr>
    </w:p>
    <w:sectPr>
      <w:footerReference r:id="rId3"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qKiq4BAABLAwAADgAAAGRycy9lMm9Eb2MueG1srVPNThsxEL5X4h0s&#10;34mXI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RqoqKrgEAAEsD&#10;AAAOAAAAAAAAAAEAIAAAAB4BAABkcnMvZTJvRG9jLnhtbFBLBQYAAAAABgAGAFkBAAA+BQAAAAA=&#10;">
              <v:fill on="f" focussize="0,0"/>
              <v:stroke on="f"/>
              <v:imagedata o:title=""/>
              <o:lock v:ext="edit" aspectratio="f"/>
              <v:textbox inset="0mm,0mm,0mm,0mm" style="mso-fit-shape-to-text:t;">
                <w:txbxContent>
                  <w:p>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1EB74"/>
    <w:multiLevelType w:val="singleLevel"/>
    <w:tmpl w:val="35C1EB7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3831c8f0-933e-43fe-87f7-0603fb6f627b"/>
  </w:docVars>
  <w:rsids>
    <w:rsidRoot w:val="6C6F71D5"/>
    <w:rsid w:val="01A47DD0"/>
    <w:rsid w:val="0AE878D4"/>
    <w:rsid w:val="140D5C5D"/>
    <w:rsid w:val="27754587"/>
    <w:rsid w:val="29D777E2"/>
    <w:rsid w:val="37AD50B5"/>
    <w:rsid w:val="3B2441EA"/>
    <w:rsid w:val="3E113DBF"/>
    <w:rsid w:val="402C6FC2"/>
    <w:rsid w:val="4F4B6A0C"/>
    <w:rsid w:val="50D60381"/>
    <w:rsid w:val="545F35ED"/>
    <w:rsid w:val="6C6F71D5"/>
    <w:rsid w:val="75711064"/>
    <w:rsid w:val="EFFD20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libri Light" w:hAnsi="Calibri Light"/>
      <w:b/>
      <w:bCs/>
      <w:sz w:val="32"/>
      <w:szCs w:val="32"/>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next w:val="1"/>
    <w:qFormat/>
    <w:uiPriority w:val="99"/>
    <w:pPr>
      <w:spacing w:after="120"/>
    </w:pPr>
    <w:rPr>
      <w:rFonts w:ascii="Calibri" w:hAnsi="Calibri" w:eastAsia="宋体" w:cs="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样式 标题 1 + 首行缩进:  2 字符"/>
    <w:qFormat/>
    <w:uiPriority w:val="99"/>
    <w:pPr>
      <w:widowControl w:val="0"/>
      <w:spacing w:line="560" w:lineRule="exact"/>
      <w:ind w:firstLine="600" w:firstLineChars="200"/>
      <w:jc w:val="center"/>
    </w:pPr>
    <w:rPr>
      <w:rFonts w:ascii="Times New Roman" w:hAnsi="Times New Roman" w:eastAsia="黑体" w:cs="宋体"/>
      <w:kern w:val="44"/>
      <w:sz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主动公开政府信息</a:t>
            </a:r>
          </a:p>
        </c:rich>
      </c:tx>
      <c:layout/>
      <c:overlay val="0"/>
      <c:spPr>
        <a:noFill/>
        <a:ln>
          <a:noFill/>
        </a:ln>
        <a:effectLst/>
      </c:spPr>
    </c:title>
    <c:autoTitleDeleted val="0"/>
    <c:plotArea>
      <c:layout/>
      <c:pieChart>
        <c:varyColors val="1"/>
        <c:ser>
          <c:idx val="0"/>
          <c:order val="0"/>
          <c:tx>
            <c:strRef>
              <c:f>Sheet1!$B$1</c:f>
              <c:strCache>
                <c:ptCount val="1"/>
                <c:pt idx="0">
                  <c:v>条数</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财政预算决算信息</c:v>
                </c:pt>
                <c:pt idx="1">
                  <c:v>价格与收费</c:v>
                </c:pt>
                <c:pt idx="2">
                  <c:v>政府采购</c:v>
                </c:pt>
                <c:pt idx="3">
                  <c:v>国资国企</c:v>
                </c:pt>
                <c:pt idx="4">
                  <c:v>行政权力运行公开</c:v>
                </c:pt>
              </c:strCache>
            </c:strRef>
          </c:cat>
          <c:val>
            <c:numRef>
              <c:f>Sheet1!$B$2:$B$6</c:f>
              <c:numCache>
                <c:formatCode>General</c:formatCode>
                <c:ptCount val="5"/>
                <c:pt idx="0" c:formatCode="General">
                  <c:v>189</c:v>
                </c:pt>
                <c:pt idx="1" c:formatCode="General">
                  <c:v>10</c:v>
                </c:pt>
                <c:pt idx="2" c:formatCode="General">
                  <c:v>23</c:v>
                </c:pt>
                <c:pt idx="3" c:formatCode="General">
                  <c:v>41</c:v>
                </c:pt>
                <c:pt idx="4" c:formatCode="General">
                  <c:v>20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10171539019087"/>
          <c:y val="0.1319592010199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lineChart>
        <c:grouping val="standard"/>
        <c:varyColors val="0"/>
        <c:ser>
          <c:idx val="0"/>
          <c:order val="0"/>
          <c:tx>
            <c:strRef>
              <c:f>Sheet1!$B$1</c:f>
              <c:strCache>
                <c:ptCount val="1"/>
                <c:pt idx="0">
                  <c:v>收到已申请公开信息数</c:v>
                </c:pt>
              </c:strCache>
            </c:strRef>
          </c:tx>
          <c:spPr>
            <a:ln w="28575" cap="rnd">
              <a:solidFill>
                <a:schemeClr val="accent1"/>
              </a:solidFill>
              <a:round/>
            </a:ln>
            <a:effectLst/>
          </c:spPr>
          <c:marker>
            <c:symbol val="none"/>
          </c:marker>
          <c:dLbls>
            <c:delete val="1"/>
          </c:dLbls>
          <c:cat>
            <c:strRef>
              <c:f>Sheet1!$A$2:$A$5</c:f>
              <c:strCache>
                <c:ptCount val="4"/>
                <c:pt idx="0">
                  <c:v>2021年</c:v>
                </c:pt>
                <c:pt idx="1">
                  <c:v>2022年</c:v>
                </c:pt>
                <c:pt idx="2">
                  <c:v>2023年</c:v>
                </c:pt>
                <c:pt idx="3">
                  <c:v>2024年</c:v>
                </c:pt>
              </c:strCache>
            </c:strRef>
          </c:cat>
          <c:val>
            <c:numRef>
              <c:f>Sheet1!$B$2:$B$5</c:f>
              <c:numCache>
                <c:formatCode>General</c:formatCode>
                <c:ptCount val="4"/>
                <c:pt idx="0" c:formatCode="General">
                  <c:v>4</c:v>
                </c:pt>
                <c:pt idx="1" c:formatCode="General">
                  <c:v>4</c:v>
                </c:pt>
                <c:pt idx="2" c:formatCode="General">
                  <c:v>3</c:v>
                </c:pt>
                <c:pt idx="3" c:formatCode="General">
                  <c:v>1</c:v>
                </c:pt>
              </c:numCache>
            </c:numRef>
          </c:val>
          <c:smooth val="0"/>
        </c:ser>
        <c:dLbls>
          <c:showLegendKey val="0"/>
          <c:showVal val="0"/>
          <c:showCatName val="0"/>
          <c:showSerName val="0"/>
          <c:showPercent val="0"/>
          <c:showBubbleSize val="0"/>
        </c:dLbls>
        <c:marker val="0"/>
        <c:smooth val="0"/>
        <c:axId val="293358641"/>
        <c:axId val="80980519"/>
      </c:lineChart>
      <c:catAx>
        <c:axId val="2933586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980519"/>
        <c:crosses val="autoZero"/>
        <c:auto val="1"/>
        <c:lblAlgn val="ctr"/>
        <c:lblOffset val="100"/>
        <c:noMultiLvlLbl val="0"/>
      </c:catAx>
      <c:valAx>
        <c:axId val="809805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3586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2641</Words>
  <Characters>2732</Characters>
  <Lines>0</Lines>
  <Paragraphs>0</Paragraphs>
  <TotalTime>0</TotalTime>
  <ScaleCrop>false</ScaleCrop>
  <LinksUpToDate>false</LinksUpToDate>
  <CharactersWithSpaces>2733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2025-01-03T13:59:00Z</dcterms:created>
  <dc:creator>年少梦几许</dc:creator>
  <cp:lastModifiedBy>Administrator</cp:lastModifiedBy>
  <dcterms:modified xsi:type="dcterms:W3CDTF">2025-03-05T06:13:52Z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401FA6142F534CBCA062A0F2DE28A535_13</vt:lpwstr>
  </property>
  <property fmtid="{D5CDD505-2E9C-101B-9397-08002B2CF9AE}" pid="4" name="KSOTemplateDocerSaveRecord">
    <vt:lpwstr>eyJoZGlkIjoiOWFlZDg2OTZkYjc2ZWIxOGIwNmI1Y2IxZDNjNDc5MjEiLCJ1c2VySWQiOiIyOTA3NzcxNzMifQ==</vt:lpwstr>
  </property>
</Properties>
</file>