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1135E">
      <w:pPr>
        <w:spacing w:line="590" w:lineRule="exact"/>
        <w:ind w:right="-100" w:rightChars="-50"/>
        <w:jc w:val="center"/>
        <w:rPr>
          <w:rFonts w:hint="default" w:eastAsia="方正小标宋简体"/>
          <w:b/>
          <w:color w:val="000000" w:themeColor="text1"/>
          <w:sz w:val="44"/>
          <w:szCs w:val="44"/>
          <w:lang w:val="en-US" w:eastAsia="zh-CN"/>
          <w14:textFill>
            <w14:solidFill>
              <w14:schemeClr w14:val="tx1"/>
            </w14:solidFill>
          </w14:textFill>
        </w:rPr>
      </w:pPr>
      <w:r>
        <w:rPr>
          <w:rFonts w:hint="eastAsia" w:eastAsia="方正小标宋简体"/>
          <w:b/>
          <w:color w:val="000000" w:themeColor="text1"/>
          <w:sz w:val="44"/>
          <w:szCs w:val="44"/>
          <w14:textFill>
            <w14:solidFill>
              <w14:schemeClr w14:val="tx1"/>
            </w14:solidFill>
          </w14:textFill>
        </w:rPr>
        <w:t>济宁市兖州区</w:t>
      </w:r>
      <w:r>
        <w:rPr>
          <w:rFonts w:hint="eastAsia" w:eastAsia="方正小标宋简体"/>
          <w:b/>
          <w:color w:val="000000" w:themeColor="text1"/>
          <w:sz w:val="44"/>
          <w:szCs w:val="44"/>
          <w:highlight w:val="none"/>
          <w:lang w:val="en-US" w:eastAsia="zh-CN"/>
          <w14:textFill>
            <w14:solidFill>
              <w14:schemeClr w14:val="tx1"/>
            </w14:solidFill>
          </w14:textFill>
        </w:rPr>
        <w:t>财政局</w:t>
      </w:r>
    </w:p>
    <w:p w14:paraId="78C135AE">
      <w:pPr>
        <w:spacing w:line="590" w:lineRule="exact"/>
        <w:ind w:right="-100" w:rightChars="-50"/>
        <w:jc w:val="center"/>
        <w:rPr>
          <w:rFonts w:eastAsia="方正小标宋简体"/>
          <w:b/>
          <w:color w:val="000000" w:themeColor="text1"/>
          <w:sz w:val="44"/>
          <w:szCs w:val="44"/>
          <w14:textFill>
            <w14:solidFill>
              <w14:schemeClr w14:val="tx1"/>
            </w14:solidFill>
          </w14:textFill>
        </w:rPr>
      </w:pPr>
      <w:r>
        <w:rPr>
          <w:rFonts w:eastAsia="方正小标宋简体"/>
          <w:b/>
          <w:color w:val="000000" w:themeColor="text1"/>
          <w:sz w:val="44"/>
          <w:szCs w:val="44"/>
          <w14:textFill>
            <w14:solidFill>
              <w14:schemeClr w14:val="tx1"/>
            </w14:solidFill>
          </w14:textFill>
        </w:rPr>
        <w:t>202</w:t>
      </w:r>
      <w:r>
        <w:rPr>
          <w:rFonts w:hint="eastAsia" w:eastAsia="方正小标宋简体"/>
          <w:b/>
          <w:color w:val="000000" w:themeColor="text1"/>
          <w:sz w:val="44"/>
          <w:szCs w:val="44"/>
          <w:lang w:val="en-US" w:eastAsia="zh-CN"/>
          <w14:textFill>
            <w14:solidFill>
              <w14:schemeClr w14:val="tx1"/>
            </w14:solidFill>
          </w14:textFill>
        </w:rPr>
        <w:t>5</w:t>
      </w:r>
      <w:r>
        <w:rPr>
          <w:rFonts w:eastAsia="方正小标宋简体"/>
          <w:b/>
          <w:color w:val="000000" w:themeColor="text1"/>
          <w:sz w:val="44"/>
          <w:szCs w:val="44"/>
          <w14:textFill>
            <w14:solidFill>
              <w14:schemeClr w14:val="tx1"/>
            </w14:solidFill>
          </w14:textFill>
        </w:rPr>
        <w:t>年政府信息公开工作年度报告</w:t>
      </w:r>
    </w:p>
    <w:p w14:paraId="32689923">
      <w:pPr>
        <w:spacing w:line="590" w:lineRule="exact"/>
        <w:ind w:right="-100" w:rightChars="-50" w:firstLine="643" w:firstLineChars="200"/>
        <w:rPr>
          <w:rFonts w:eastAsia="方正仿宋简体"/>
          <w:b/>
          <w:color w:val="000000" w:themeColor="text1"/>
          <w:sz w:val="32"/>
          <w:szCs w:val="32"/>
          <w14:textFill>
            <w14:solidFill>
              <w14:schemeClr w14:val="tx1"/>
            </w14:solidFill>
          </w14:textFill>
        </w:rPr>
      </w:pPr>
    </w:p>
    <w:p w14:paraId="69F13095">
      <w:pPr>
        <w:keepNext w:val="0"/>
        <w:keepLines w:val="0"/>
        <w:pageBreakBefore w:val="0"/>
        <w:widowControl w:val="0"/>
        <w:kinsoku/>
        <w:wordWrap/>
        <w:overflowPunct/>
        <w:topLinePunct w:val="0"/>
        <w:autoSpaceDE/>
        <w:autoSpaceDN/>
        <w:bidi w:val="0"/>
        <w:adjustRightInd/>
        <w:snapToGrid/>
        <w:spacing w:line="590" w:lineRule="atLeast"/>
        <w:ind w:right="0" w:rightChars="0" w:firstLine="643" w:firstLineChars="200"/>
        <w:textAlignment w:val="auto"/>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本报告由济宁市兖州区</w:t>
      </w:r>
      <w:r>
        <w:rPr>
          <w:rFonts w:hint="eastAsia" w:eastAsia="方正仿宋简体"/>
          <w:b/>
          <w:color w:val="000000" w:themeColor="text1"/>
          <w:sz w:val="32"/>
          <w:szCs w:val="32"/>
          <w:lang w:val="en-US" w:eastAsia="zh-CN"/>
          <w14:textFill>
            <w14:solidFill>
              <w14:schemeClr w14:val="tx1"/>
            </w14:solidFill>
          </w14:textFill>
        </w:rPr>
        <w:t>财政局</w:t>
      </w:r>
      <w:r>
        <w:rPr>
          <w:rFonts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14:paraId="25BD0052">
      <w:pPr>
        <w:keepNext w:val="0"/>
        <w:keepLines w:val="0"/>
        <w:pageBreakBefore w:val="0"/>
        <w:widowControl w:val="0"/>
        <w:kinsoku/>
        <w:wordWrap/>
        <w:overflowPunct/>
        <w:topLinePunct w:val="0"/>
        <w:autoSpaceDE/>
        <w:autoSpaceDN/>
        <w:bidi w:val="0"/>
        <w:adjustRightInd/>
        <w:snapToGrid/>
        <w:spacing w:line="590" w:lineRule="atLeast"/>
        <w:ind w:right="0" w:rightChars="0" w:firstLine="643" w:firstLineChars="200"/>
        <w:textAlignment w:val="auto"/>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14:paraId="311CD438">
      <w:pPr>
        <w:keepNext w:val="0"/>
        <w:keepLines w:val="0"/>
        <w:pageBreakBefore w:val="0"/>
        <w:widowControl w:val="0"/>
        <w:kinsoku/>
        <w:wordWrap/>
        <w:overflowPunct/>
        <w:topLinePunct w:val="0"/>
        <w:autoSpaceDE/>
        <w:autoSpaceDN/>
        <w:bidi w:val="0"/>
        <w:adjustRightInd/>
        <w:snapToGrid/>
        <w:spacing w:line="590" w:lineRule="atLeast"/>
        <w:ind w:right="0" w:rightChars="0" w:firstLine="643" w:firstLineChars="200"/>
        <w:textAlignment w:val="auto"/>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本报告所列数据的统计期限自202</w:t>
      </w:r>
      <w:r>
        <w:rPr>
          <w:rFonts w:hint="eastAsia" w:eastAsia="方正仿宋简体"/>
          <w:b/>
          <w:color w:val="000000" w:themeColor="text1"/>
          <w:sz w:val="32"/>
          <w:szCs w:val="32"/>
          <w:lang w:val="en-US" w:eastAsia="zh-CN"/>
          <w14:textFill>
            <w14:solidFill>
              <w14:schemeClr w14:val="tx1"/>
            </w14:solidFill>
          </w14:textFill>
        </w:rPr>
        <w:t>5</w:t>
      </w:r>
      <w:r>
        <w:rPr>
          <w:rFonts w:eastAsia="方正仿宋简体"/>
          <w:b/>
          <w:color w:val="000000" w:themeColor="text1"/>
          <w:sz w:val="32"/>
          <w:szCs w:val="32"/>
          <w14:textFill>
            <w14:solidFill>
              <w14:schemeClr w14:val="tx1"/>
            </w14:solidFill>
          </w14:textFill>
        </w:rPr>
        <w:t>年1月1日起至202</w:t>
      </w:r>
      <w:r>
        <w:rPr>
          <w:rFonts w:hint="eastAsia" w:eastAsia="方正仿宋简体"/>
          <w:b/>
          <w:color w:val="000000" w:themeColor="text1"/>
          <w:sz w:val="32"/>
          <w:szCs w:val="32"/>
          <w:lang w:val="en-US" w:eastAsia="zh-CN"/>
          <w14:textFill>
            <w14:solidFill>
              <w14:schemeClr w14:val="tx1"/>
            </w14:solidFill>
          </w14:textFill>
        </w:rPr>
        <w:t>5</w:t>
      </w:r>
      <w:r>
        <w:rPr>
          <w:rFonts w:eastAsia="方正仿宋简体"/>
          <w:b/>
          <w:color w:val="000000" w:themeColor="text1"/>
          <w:sz w:val="32"/>
          <w:szCs w:val="32"/>
          <w14:textFill>
            <w14:solidFill>
              <w14:schemeClr w14:val="tx1"/>
            </w14:solidFill>
          </w14:textFill>
        </w:rPr>
        <w:t>年12月31日止。本报告电子版可在“中国·</w:t>
      </w:r>
      <w:r>
        <w:rPr>
          <w:rFonts w:hint="eastAsia" w:eastAsia="方正仿宋简体"/>
          <w:b/>
          <w:color w:val="000000" w:themeColor="text1"/>
          <w:sz w:val="32"/>
          <w:szCs w:val="32"/>
          <w14:textFill>
            <w14:solidFill>
              <w14:schemeClr w14:val="tx1"/>
            </w14:solidFill>
          </w14:textFill>
        </w:rPr>
        <w:t>兖州</w:t>
      </w:r>
      <w:r>
        <w:rPr>
          <w:rFonts w:eastAsia="方正仿宋简体"/>
          <w:b/>
          <w:color w:val="000000" w:themeColor="text1"/>
          <w:sz w:val="32"/>
          <w:szCs w:val="32"/>
          <w14:textFill>
            <w14:solidFill>
              <w14:schemeClr w14:val="tx1"/>
            </w14:solidFill>
          </w14:textFill>
        </w:rPr>
        <w:t>”政府门户网站（www.yanzhou.gov.cn）查阅或下载。如对本报告有疑问，请与济宁市兖州区</w:t>
      </w:r>
      <w:r>
        <w:rPr>
          <w:rFonts w:hint="eastAsia" w:eastAsia="方正仿宋简体"/>
          <w:b/>
          <w:color w:val="000000" w:themeColor="text1"/>
          <w:sz w:val="32"/>
          <w:szCs w:val="32"/>
          <w:lang w:val="en-US" w:eastAsia="zh-CN"/>
          <w14:textFill>
            <w14:solidFill>
              <w14:schemeClr w14:val="tx1"/>
            </w14:solidFill>
          </w14:textFill>
        </w:rPr>
        <w:t>财政局</w:t>
      </w:r>
      <w:r>
        <w:rPr>
          <w:rFonts w:eastAsia="方正仿宋简体"/>
          <w:b/>
          <w:color w:val="000000" w:themeColor="text1"/>
          <w:sz w:val="32"/>
          <w:szCs w:val="32"/>
          <w14:textFill>
            <w14:solidFill>
              <w14:schemeClr w14:val="tx1"/>
            </w14:solidFill>
          </w14:textFill>
        </w:rPr>
        <w:t>联系（地址：济宁市兖州区</w:t>
      </w:r>
      <w:r>
        <w:rPr>
          <w:rFonts w:hint="eastAsia" w:eastAsia="方正仿宋简体"/>
          <w:b/>
          <w:color w:val="000000" w:themeColor="text1"/>
          <w:sz w:val="32"/>
          <w:szCs w:val="32"/>
          <w:lang w:val="en-US" w:eastAsia="zh-CN"/>
          <w14:textFill>
            <w14:solidFill>
              <w14:schemeClr w14:val="tx1"/>
            </w14:solidFill>
          </w14:textFill>
        </w:rPr>
        <w:t>财政局</w:t>
      </w:r>
      <w:r>
        <w:rPr>
          <w:rFonts w:eastAsia="方正仿宋简体"/>
          <w:b/>
          <w:color w:val="000000" w:themeColor="text1"/>
          <w:sz w:val="32"/>
          <w:szCs w:val="32"/>
          <w14:textFill>
            <w14:solidFill>
              <w14:schemeClr w14:val="tx1"/>
            </w14:solidFill>
          </w14:textFill>
        </w:rPr>
        <w:t>，联系电话：0537</w:t>
      </w:r>
      <w:r>
        <w:rPr>
          <w:rFonts w:hint="eastAsia" w:eastAsia="方正仿宋简体"/>
          <w:b/>
          <w:color w:val="000000" w:themeColor="text1"/>
          <w:sz w:val="32"/>
          <w:szCs w:val="32"/>
          <w14:textFill>
            <w14:solidFill>
              <w14:schemeClr w14:val="tx1"/>
            </w14:solidFill>
          </w14:textFill>
        </w:rPr>
        <w:t>—</w:t>
      </w:r>
      <w:r>
        <w:rPr>
          <w:rFonts w:hint="eastAsia" w:eastAsia="方正仿宋简体"/>
          <w:b/>
          <w:color w:val="000000" w:themeColor="text1"/>
          <w:sz w:val="32"/>
          <w:szCs w:val="32"/>
          <w:lang w:val="en-US" w:eastAsia="zh-CN"/>
          <w14:textFill>
            <w14:solidFill>
              <w14:schemeClr w14:val="tx1"/>
            </w14:solidFill>
          </w14:textFill>
        </w:rPr>
        <w:t>3413089</w:t>
      </w:r>
      <w:r>
        <w:rPr>
          <w:rFonts w:eastAsia="方正仿宋简体"/>
          <w:b/>
          <w:color w:val="000000" w:themeColor="text1"/>
          <w:sz w:val="32"/>
          <w:szCs w:val="32"/>
          <w14:textFill>
            <w14:solidFill>
              <w14:schemeClr w14:val="tx1"/>
            </w14:solidFill>
          </w14:textFill>
        </w:rPr>
        <w:t>）。</w:t>
      </w:r>
    </w:p>
    <w:p w14:paraId="46DFCF5D">
      <w:pPr>
        <w:keepNext w:val="0"/>
        <w:keepLines w:val="0"/>
        <w:pageBreakBefore w:val="0"/>
        <w:widowControl w:val="0"/>
        <w:kinsoku/>
        <w:wordWrap/>
        <w:overflowPunct/>
        <w:topLinePunct w:val="0"/>
        <w:autoSpaceDE/>
        <w:autoSpaceDN/>
        <w:bidi w:val="0"/>
        <w:adjustRightInd/>
        <w:snapToGrid/>
        <w:spacing w:line="590" w:lineRule="atLeast"/>
        <w:ind w:right="0" w:rightChars="0" w:firstLine="643" w:firstLineChars="200"/>
        <w:textAlignment w:val="auto"/>
        <w:rPr>
          <w:rFonts w:eastAsia="方正黑体简体"/>
          <w:b/>
          <w:color w:val="000000" w:themeColor="text1"/>
          <w:sz w:val="32"/>
          <w:szCs w:val="32"/>
          <w14:textFill>
            <w14:solidFill>
              <w14:schemeClr w14:val="tx1"/>
            </w14:solidFill>
          </w14:textFill>
        </w:rPr>
      </w:pPr>
      <w:r>
        <w:rPr>
          <w:rFonts w:eastAsia="方正黑体简体"/>
          <w:b/>
          <w:color w:val="000000" w:themeColor="text1"/>
          <w:sz w:val="32"/>
          <w:szCs w:val="32"/>
          <w14:textFill>
            <w14:solidFill>
              <w14:schemeClr w14:val="tx1"/>
            </w14:solidFill>
          </w14:textFill>
        </w:rPr>
        <w:t>一、总体情况</w:t>
      </w:r>
    </w:p>
    <w:p w14:paraId="3A01A5F3">
      <w:pPr>
        <w:keepNext w:val="0"/>
        <w:keepLines w:val="0"/>
        <w:pageBreakBefore w:val="0"/>
        <w:widowControl/>
        <w:suppressLineNumbers w:val="0"/>
        <w:kinsoku/>
        <w:wordWrap/>
        <w:overflowPunct/>
        <w:topLinePunct w:val="0"/>
        <w:autoSpaceDE/>
        <w:autoSpaceDN/>
        <w:bidi w:val="0"/>
        <w:adjustRightInd/>
        <w:snapToGrid/>
        <w:spacing w:line="590" w:lineRule="atLeast"/>
        <w:ind w:firstLine="643" w:firstLineChars="200"/>
        <w:jc w:val="left"/>
        <w:textAlignment w:val="auto"/>
        <w:rPr>
          <w:color w:val="000000" w:themeColor="text1"/>
          <w14:textFill>
            <w14:solidFill>
              <w14:schemeClr w14:val="tx1"/>
            </w14:solidFill>
          </w14:textFill>
        </w:rPr>
      </w:pPr>
      <w:r>
        <w:rPr>
          <w:rFonts w:eastAsia="方正仿宋简体"/>
          <w:b/>
          <w:color w:val="000000" w:themeColor="text1"/>
          <w:sz w:val="32"/>
          <w:szCs w:val="32"/>
          <w:lang w:val="en-US" w:eastAsia="zh-CN"/>
          <w14:textFill>
            <w14:solidFill>
              <w14:schemeClr w14:val="tx1"/>
            </w14:solidFill>
          </w14:textFill>
        </w:rPr>
        <w:t>2025年，</w:t>
      </w:r>
      <w:r>
        <w:rPr>
          <w:rFonts w:hint="eastAsia" w:eastAsia="方正仿宋简体"/>
          <w:b/>
          <w:color w:val="000000" w:themeColor="text1"/>
          <w:sz w:val="32"/>
          <w:szCs w:val="32"/>
          <w:lang w:val="en-US" w:eastAsia="zh-CN"/>
          <w14:textFill>
            <w14:solidFill>
              <w14:schemeClr w14:val="tx1"/>
            </w14:solidFill>
          </w14:textFill>
        </w:rPr>
        <w:t>济宁</w:t>
      </w:r>
      <w:r>
        <w:rPr>
          <w:rFonts w:eastAsia="方正仿宋简体"/>
          <w:b/>
          <w:color w:val="000000" w:themeColor="text1"/>
          <w:sz w:val="32"/>
          <w:szCs w:val="32"/>
          <w:lang w:val="en-US" w:eastAsia="zh-CN"/>
          <w14:textFill>
            <w14:solidFill>
              <w14:schemeClr w14:val="tx1"/>
            </w14:solidFill>
          </w14:textFill>
        </w:rPr>
        <w:t>市</w:t>
      </w:r>
      <w:r>
        <w:rPr>
          <w:rFonts w:hint="eastAsia" w:eastAsia="方正仿宋简体"/>
          <w:b/>
          <w:color w:val="000000" w:themeColor="text1"/>
          <w:sz w:val="32"/>
          <w:szCs w:val="32"/>
          <w:lang w:val="en-US" w:eastAsia="zh-CN"/>
          <w14:textFill>
            <w14:solidFill>
              <w14:schemeClr w14:val="tx1"/>
            </w14:solidFill>
          </w14:textFill>
        </w:rPr>
        <w:t>兖州</w:t>
      </w:r>
      <w:r>
        <w:rPr>
          <w:rFonts w:eastAsia="方正仿宋简体"/>
          <w:b/>
          <w:color w:val="000000" w:themeColor="text1"/>
          <w:sz w:val="32"/>
          <w:szCs w:val="32"/>
          <w:lang w:val="en-US" w:eastAsia="zh-CN"/>
          <w14:textFill>
            <w14:solidFill>
              <w14:schemeClr w14:val="tx1"/>
            </w14:solidFill>
          </w14:textFill>
        </w:rPr>
        <w:t>区财政局（以下简称“区财政局”）深入贯彻落实《条例》及省、市、区关于政府信息公开工作的各项部署要求，聚焦财政核心工作与群众关切，健全机制、优化平台，推动信息公开与财政业务深度融合。全年公开工作规范有序，主动公开质效提升，渠道更畅通，有效保障群众的知情权、参与权和监督权。</w:t>
      </w:r>
    </w:p>
    <w:p w14:paraId="56732CCB">
      <w:pPr>
        <w:keepNext w:val="0"/>
        <w:keepLines w:val="0"/>
        <w:pageBreakBefore w:val="0"/>
        <w:widowControl w:val="0"/>
        <w:kinsoku/>
        <w:wordWrap/>
        <w:overflowPunct/>
        <w:topLinePunct w:val="0"/>
        <w:autoSpaceDE/>
        <w:autoSpaceDN/>
        <w:bidi w:val="0"/>
        <w:adjustRightInd/>
        <w:snapToGrid/>
        <w:spacing w:line="590" w:lineRule="atLeast"/>
        <w:ind w:right="0" w:rightChars="0" w:firstLine="643" w:firstLineChars="200"/>
        <w:textAlignment w:val="auto"/>
        <w:rPr>
          <w:rFonts w:hint="eastAsia" w:eastAsia="方正楷体简体"/>
          <w:b/>
          <w:color w:val="000000" w:themeColor="text1"/>
          <w:sz w:val="32"/>
          <w:szCs w:val="32"/>
          <w:lang w:eastAsia="zh-CN"/>
          <w14:textFill>
            <w14:solidFill>
              <w14:schemeClr w14:val="tx1"/>
            </w14:solidFill>
          </w14:textFill>
        </w:rPr>
      </w:pPr>
      <w:r>
        <w:rPr>
          <w:rFonts w:eastAsia="方正楷体简体"/>
          <w:b/>
          <w:color w:val="000000" w:themeColor="text1"/>
          <w:sz w:val="32"/>
          <w:szCs w:val="32"/>
          <w14:textFill>
            <w14:solidFill>
              <w14:schemeClr w14:val="tx1"/>
            </w14:solidFill>
          </w14:textFill>
        </w:rPr>
        <w:t>（一）主动公开</w:t>
      </w:r>
    </w:p>
    <w:p w14:paraId="4852A14F">
      <w:pPr>
        <w:keepNext w:val="0"/>
        <w:keepLines w:val="0"/>
        <w:pageBreakBefore w:val="0"/>
        <w:widowControl/>
        <w:suppressLineNumbers w:val="0"/>
        <w:kinsoku/>
        <w:wordWrap/>
        <w:overflowPunct/>
        <w:topLinePunct w:val="0"/>
        <w:autoSpaceDE/>
        <w:autoSpaceDN/>
        <w:bidi w:val="0"/>
        <w:adjustRightInd/>
        <w:snapToGrid/>
        <w:spacing w:line="590" w:lineRule="atLeast"/>
        <w:ind w:firstLine="643" w:firstLineChars="200"/>
        <w:jc w:val="left"/>
        <w:textAlignment w:val="auto"/>
        <w:rPr>
          <w:rFonts w:eastAsia="方正仿宋简体"/>
          <w:b/>
          <w:color w:val="000000" w:themeColor="text1"/>
          <w:sz w:val="32"/>
          <w:szCs w:val="32"/>
          <w:lang w:val="en-US" w:eastAsia="zh-CN"/>
          <w14:textFill>
            <w14:solidFill>
              <w14:schemeClr w14:val="tx1"/>
            </w14:solidFill>
          </w14:textFill>
        </w:rPr>
      </w:pPr>
      <w:r>
        <w:rPr>
          <w:rFonts w:eastAsia="方正仿宋简体"/>
          <w:b/>
          <w:color w:val="000000" w:themeColor="text1"/>
          <w:sz w:val="32"/>
          <w:szCs w:val="32"/>
          <w:lang w:val="en-US" w:eastAsia="zh-CN"/>
          <w14:textFill>
            <w14:solidFill>
              <w14:schemeClr w14:val="tx1"/>
            </w14:solidFill>
          </w14:textFill>
        </w:rPr>
        <w:t>完善主动公开制度，修订公开目录与保密审查办法。聚焦预决算、税收政策、政府采购等重点，2025年累计主动公开信息</w:t>
      </w:r>
      <w:r>
        <w:rPr>
          <w:rFonts w:hint="eastAsia" w:eastAsia="方正仿宋简体"/>
          <w:b/>
          <w:color w:val="000000" w:themeColor="text1"/>
          <w:sz w:val="32"/>
          <w:szCs w:val="32"/>
          <w:lang w:val="en-US" w:eastAsia="zh-CN"/>
          <w14:textFill>
            <w14:solidFill>
              <w14:schemeClr w14:val="tx1"/>
            </w14:solidFill>
          </w14:textFill>
        </w:rPr>
        <w:t>332</w:t>
      </w:r>
      <w:r>
        <w:rPr>
          <w:rFonts w:eastAsia="方正仿宋简体"/>
          <w:b/>
          <w:color w:val="000000" w:themeColor="text1"/>
          <w:sz w:val="32"/>
          <w:szCs w:val="32"/>
          <w:lang w:val="en-US" w:eastAsia="zh-CN"/>
          <w14:textFill>
            <w14:solidFill>
              <w14:schemeClr w14:val="tx1"/>
            </w14:solidFill>
          </w14:textFill>
        </w:rPr>
        <w:t>条，其中</w:t>
      </w:r>
      <w:r>
        <w:rPr>
          <w:rFonts w:hint="eastAsia" w:eastAsia="方正仿宋简体"/>
          <w:b/>
          <w:color w:val="000000" w:themeColor="text1"/>
          <w:sz w:val="32"/>
          <w:szCs w:val="32"/>
          <w:lang w:val="en-US" w:eastAsia="zh-CN"/>
          <w14:textFill>
            <w14:solidFill>
              <w14:schemeClr w14:val="tx1"/>
            </w14:solidFill>
          </w14:textFill>
        </w:rPr>
        <w:t>财政</w:t>
      </w:r>
      <w:r>
        <w:rPr>
          <w:rFonts w:eastAsia="方正仿宋简体"/>
          <w:b/>
          <w:color w:val="000000" w:themeColor="text1"/>
          <w:sz w:val="32"/>
          <w:szCs w:val="32"/>
          <w:lang w:val="en-US" w:eastAsia="zh-CN"/>
          <w14:textFill>
            <w14:solidFill>
              <w14:schemeClr w14:val="tx1"/>
            </w14:solidFill>
          </w14:textFill>
        </w:rPr>
        <w:t>预决算</w:t>
      </w:r>
      <w:r>
        <w:rPr>
          <w:rFonts w:hint="eastAsia" w:eastAsia="方正仿宋简体"/>
          <w:b/>
          <w:color w:val="000000" w:themeColor="text1"/>
          <w:sz w:val="32"/>
          <w:szCs w:val="32"/>
          <w:lang w:val="en-US" w:eastAsia="zh-CN"/>
          <w14:textFill>
            <w14:solidFill>
              <w14:schemeClr w14:val="tx1"/>
            </w14:solidFill>
          </w14:textFill>
        </w:rPr>
        <w:t>241</w:t>
      </w:r>
      <w:r>
        <w:rPr>
          <w:rFonts w:eastAsia="方正仿宋简体"/>
          <w:b/>
          <w:color w:val="000000" w:themeColor="text1"/>
          <w:sz w:val="32"/>
          <w:szCs w:val="32"/>
          <w:lang w:val="en-US" w:eastAsia="zh-CN"/>
          <w14:textFill>
            <w14:solidFill>
              <w14:schemeClr w14:val="tx1"/>
            </w14:solidFill>
          </w14:textFill>
        </w:rPr>
        <w:t>条、行政事业性收费10条、</w:t>
      </w:r>
      <w:r>
        <w:rPr>
          <w:rFonts w:hint="eastAsia" w:eastAsia="方正仿宋简体"/>
          <w:b/>
          <w:color w:val="000000" w:themeColor="text1"/>
          <w:sz w:val="32"/>
          <w:szCs w:val="32"/>
          <w:lang w:val="en-US" w:eastAsia="zh-CN"/>
          <w14:textFill>
            <w14:solidFill>
              <w14:schemeClr w14:val="tx1"/>
            </w14:solidFill>
          </w14:textFill>
        </w:rPr>
        <w:t>政府</w:t>
      </w:r>
      <w:r>
        <w:rPr>
          <w:rFonts w:eastAsia="方正仿宋简体"/>
          <w:b/>
          <w:color w:val="000000" w:themeColor="text1"/>
          <w:sz w:val="32"/>
          <w:szCs w:val="32"/>
          <w:lang w:val="en-US" w:eastAsia="zh-CN"/>
          <w14:textFill>
            <w14:solidFill>
              <w14:schemeClr w14:val="tx1"/>
            </w14:solidFill>
          </w14:textFill>
        </w:rPr>
        <w:t>采购信息</w:t>
      </w:r>
      <w:r>
        <w:rPr>
          <w:rFonts w:hint="eastAsia" w:eastAsia="方正仿宋简体"/>
          <w:b/>
          <w:color w:val="000000" w:themeColor="text1"/>
          <w:sz w:val="32"/>
          <w:szCs w:val="32"/>
          <w:lang w:val="en-US" w:eastAsia="zh-CN"/>
          <w14:textFill>
            <w14:solidFill>
              <w14:schemeClr w14:val="tx1"/>
            </w14:solidFill>
          </w14:textFill>
        </w:rPr>
        <w:t>22</w:t>
      </w:r>
      <w:r>
        <w:rPr>
          <w:rFonts w:eastAsia="方正仿宋简体"/>
          <w:b/>
          <w:color w:val="000000" w:themeColor="text1"/>
          <w:sz w:val="32"/>
          <w:szCs w:val="32"/>
          <w:lang w:val="en-US" w:eastAsia="zh-CN"/>
          <w14:textFill>
            <w14:solidFill>
              <w14:schemeClr w14:val="tx1"/>
            </w14:solidFill>
          </w14:textFill>
        </w:rPr>
        <w:t>条</w:t>
      </w:r>
      <w:r>
        <w:rPr>
          <w:rFonts w:hint="eastAsia" w:eastAsia="方正仿宋简体"/>
          <w:b/>
          <w:color w:val="000000" w:themeColor="text1"/>
          <w:sz w:val="32"/>
          <w:szCs w:val="32"/>
          <w:lang w:val="en-US" w:eastAsia="zh-CN"/>
          <w14:textFill>
            <w14:solidFill>
              <w14:schemeClr w14:val="tx1"/>
            </w14:solidFill>
          </w14:textFill>
        </w:rPr>
        <w:t>、</w:t>
      </w:r>
      <w:r>
        <w:rPr>
          <w:rFonts w:eastAsia="方正仿宋简体"/>
          <w:b/>
          <w:color w:val="000000" w:themeColor="text1"/>
          <w:sz w:val="32"/>
          <w:szCs w:val="32"/>
          <w:lang w:val="en-US" w:eastAsia="zh-CN"/>
          <w14:textFill>
            <w14:solidFill>
              <w14:schemeClr w14:val="tx1"/>
            </w14:solidFill>
          </w14:textFill>
        </w:rPr>
        <w:t>国资国企信息41条</w:t>
      </w:r>
      <w:r>
        <w:rPr>
          <w:rFonts w:hint="eastAsia" w:eastAsia="方正仿宋简体"/>
          <w:b/>
          <w:color w:val="000000" w:themeColor="text1"/>
          <w:sz w:val="32"/>
          <w:szCs w:val="32"/>
          <w:lang w:val="en-US" w:eastAsia="zh-CN"/>
          <w14:textFill>
            <w14:solidFill>
              <w14:schemeClr w14:val="tx1"/>
            </w14:solidFill>
          </w14:textFill>
        </w:rPr>
        <w:t>、其他信息18条</w:t>
      </w:r>
      <w:r>
        <w:rPr>
          <w:rFonts w:eastAsia="方正仿宋简体"/>
          <w:b/>
          <w:color w:val="000000" w:themeColor="text1"/>
          <w:sz w:val="32"/>
          <w:szCs w:val="32"/>
          <w:lang w:val="en-US" w:eastAsia="zh-CN"/>
          <w14:textFill>
            <w14:solidFill>
              <w14:schemeClr w14:val="tx1"/>
            </w14:solidFill>
          </w14:textFill>
        </w:rPr>
        <w:t>。</w:t>
      </w:r>
    </w:p>
    <w:p w14:paraId="58BD652B">
      <w:pPr>
        <w:keepNext w:val="0"/>
        <w:keepLines w:val="0"/>
        <w:widowControl/>
        <w:suppressLineNumbers w:val="0"/>
        <w:ind w:firstLine="643" w:firstLineChars="200"/>
        <w:jc w:val="left"/>
        <w:rPr>
          <w:rFonts w:hint="eastAsia" w:ascii="Times New Roman" w:hAnsi="Times New Roman" w:eastAsia="方正仿宋简体" w:cs="Times New Roman"/>
          <w:b/>
          <w:bCs/>
          <w:color w:val="000000" w:themeColor="text1"/>
          <w:sz w:val="32"/>
          <w:szCs w:val="32"/>
          <w:lang w:val="en-US" w:eastAsia="zh-CN" w:bidi="ar-SA"/>
          <w14:textFill>
            <w14:solidFill>
              <w14:schemeClr w14:val="tx1"/>
            </w14:solidFill>
          </w14:textFill>
        </w:rPr>
      </w:pPr>
      <w:r>
        <w:rPr>
          <w:rFonts w:eastAsia="方正仿宋简体"/>
          <w:b/>
          <w:color w:val="000000" w:themeColor="text1"/>
          <w:sz w:val="32"/>
          <w:szCs w:val="32"/>
          <w:lang w:val="en-US" w:eastAsia="zh-CN"/>
          <w14:textFill>
            <w14:solidFill>
              <w14:schemeClr w14:val="tx1"/>
            </w14:solidFill>
          </w14:textFill>
        </w:rPr>
        <w:drawing>
          <wp:inline distT="0" distB="0" distL="114300" distR="114300">
            <wp:extent cx="4521835" cy="2933065"/>
            <wp:effectExtent l="4445" t="5080" r="15240" b="1841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776F3A0">
      <w:pPr>
        <w:keepNext w:val="0"/>
        <w:keepLines w:val="0"/>
        <w:pageBreakBefore w:val="0"/>
        <w:widowControl w:val="0"/>
        <w:kinsoku/>
        <w:wordWrap/>
        <w:overflowPunct/>
        <w:topLinePunct w:val="0"/>
        <w:autoSpaceDE/>
        <w:autoSpaceDN/>
        <w:bidi w:val="0"/>
        <w:adjustRightInd/>
        <w:snapToGrid/>
        <w:spacing w:line="590" w:lineRule="atLeast"/>
        <w:ind w:right="0" w:rightChars="0" w:firstLine="643" w:firstLineChars="200"/>
        <w:textAlignment w:val="auto"/>
        <w:rPr>
          <w:rFonts w:eastAsia="方正楷体简体"/>
          <w:b/>
          <w:color w:val="000000" w:themeColor="text1"/>
          <w:sz w:val="32"/>
          <w:szCs w:val="32"/>
          <w14:textFill>
            <w14:solidFill>
              <w14:schemeClr w14:val="tx1"/>
            </w14:solidFill>
          </w14:textFill>
        </w:rPr>
      </w:pPr>
      <w:r>
        <w:rPr>
          <w:rFonts w:eastAsia="方正楷体简体"/>
          <w:b/>
          <w:color w:val="000000" w:themeColor="text1"/>
          <w:sz w:val="32"/>
          <w:szCs w:val="32"/>
          <w14:textFill>
            <w14:solidFill>
              <w14:schemeClr w14:val="tx1"/>
            </w14:solidFill>
          </w14:textFill>
        </w:rPr>
        <w:t>（二）依申请公开</w:t>
      </w:r>
    </w:p>
    <w:p w14:paraId="2422DD44">
      <w:pPr>
        <w:keepNext w:val="0"/>
        <w:keepLines w:val="0"/>
        <w:pageBreakBefore w:val="0"/>
        <w:widowControl/>
        <w:suppressLineNumbers w:val="0"/>
        <w:kinsoku/>
        <w:wordWrap/>
        <w:overflowPunct/>
        <w:topLinePunct w:val="0"/>
        <w:autoSpaceDE/>
        <w:autoSpaceDN/>
        <w:bidi w:val="0"/>
        <w:adjustRightInd/>
        <w:snapToGrid/>
        <w:spacing w:line="590" w:lineRule="atLeast"/>
        <w:ind w:firstLine="643" w:firstLineChars="200"/>
        <w:jc w:val="left"/>
        <w:textAlignment w:val="auto"/>
        <w:rPr>
          <w:rFonts w:hint="default" w:eastAsia="方正仿宋简体"/>
          <w:b/>
          <w:color w:val="000000" w:themeColor="text1"/>
          <w:sz w:val="32"/>
          <w:szCs w:val="32"/>
          <w:lang w:val="en-US" w:eastAsia="zh-CN"/>
          <w14:textFill>
            <w14:solidFill>
              <w14:schemeClr w14:val="tx1"/>
            </w14:solidFill>
          </w14:textFill>
        </w:rPr>
      </w:pPr>
      <w:r>
        <w:rPr>
          <w:rFonts w:eastAsia="方正仿宋简体"/>
          <w:b/>
          <w:color w:val="000000" w:themeColor="text1"/>
          <w:sz w:val="32"/>
          <w:szCs w:val="32"/>
          <w:lang w:val="en-US" w:eastAsia="zh-CN"/>
          <w14:textFill>
            <w14:solidFill>
              <w14:schemeClr w14:val="tx1"/>
            </w14:solidFill>
          </w14:textFill>
        </w:rPr>
        <w:t>2025年，区财政局共收到政府信息公开申请</w:t>
      </w:r>
      <w:r>
        <w:rPr>
          <w:rFonts w:hint="eastAsia" w:eastAsia="方正仿宋简体"/>
          <w:b/>
          <w:color w:val="000000" w:themeColor="text1"/>
          <w:sz w:val="32"/>
          <w:szCs w:val="32"/>
          <w:lang w:val="en-US" w:eastAsia="zh-CN"/>
          <w14:textFill>
            <w14:solidFill>
              <w14:schemeClr w14:val="tx1"/>
            </w14:solidFill>
          </w14:textFill>
        </w:rPr>
        <w:t>4</w:t>
      </w:r>
      <w:r>
        <w:rPr>
          <w:rFonts w:hint="default" w:eastAsia="方正仿宋简体"/>
          <w:b/>
          <w:color w:val="000000" w:themeColor="text1"/>
          <w:sz w:val="32"/>
          <w:szCs w:val="32"/>
          <w:lang w:val="en-US" w:eastAsia="zh-CN"/>
          <w14:textFill>
            <w14:solidFill>
              <w14:schemeClr w14:val="tx1"/>
            </w14:solidFill>
          </w14:textFill>
        </w:rPr>
        <w:t>件，均已按期规范办结。本年度未发生因政府信息公开工作引发的行政复议和行政诉讼案件，未向申请人收取信息处理费。</w:t>
      </w:r>
    </w:p>
    <w:p w14:paraId="0C14A159">
      <w:pPr>
        <w:keepNext w:val="0"/>
        <w:keepLines w:val="0"/>
        <w:pageBreakBefore w:val="0"/>
        <w:widowControl/>
        <w:suppressLineNumbers w:val="0"/>
        <w:kinsoku/>
        <w:wordWrap/>
        <w:overflowPunct/>
        <w:topLinePunct w:val="0"/>
        <w:autoSpaceDE/>
        <w:autoSpaceDN/>
        <w:bidi w:val="0"/>
        <w:adjustRightInd/>
        <w:snapToGrid/>
        <w:spacing w:line="590" w:lineRule="atLeast"/>
        <w:ind w:firstLine="643" w:firstLineChars="200"/>
        <w:jc w:val="left"/>
        <w:textAlignment w:val="auto"/>
        <w:rPr>
          <w:rFonts w:hint="default" w:eastAsia="方正仿宋简体"/>
          <w:b/>
          <w:color w:val="000000" w:themeColor="text1"/>
          <w:sz w:val="32"/>
          <w:szCs w:val="32"/>
          <w:lang w:val="en-US" w:eastAsia="zh-CN"/>
          <w14:textFill>
            <w14:solidFill>
              <w14:schemeClr w14:val="tx1"/>
            </w14:solidFill>
          </w14:textFill>
        </w:rPr>
      </w:pPr>
    </w:p>
    <w:p w14:paraId="3002A838">
      <w:pPr>
        <w:keepNext w:val="0"/>
        <w:keepLines w:val="0"/>
        <w:widowControl/>
        <w:suppressLineNumbers w:val="0"/>
        <w:ind w:firstLine="643" w:firstLineChars="200"/>
        <w:jc w:val="left"/>
        <w:rPr>
          <w:rFonts w:hint="default" w:eastAsia="方正仿宋简体"/>
          <w:b/>
          <w:color w:val="000000" w:themeColor="text1"/>
          <w:sz w:val="32"/>
          <w:szCs w:val="32"/>
          <w:lang w:val="en-US" w:eastAsia="zh-CN"/>
          <w14:textFill>
            <w14:solidFill>
              <w14:schemeClr w14:val="tx1"/>
            </w14:solidFill>
          </w14:textFill>
        </w:rPr>
      </w:pPr>
      <w:r>
        <w:rPr>
          <w:rFonts w:hint="default" w:eastAsia="方正仿宋简体"/>
          <w:b/>
          <w:color w:val="000000" w:themeColor="text1"/>
          <w:sz w:val="32"/>
          <w:szCs w:val="32"/>
          <w:lang w:val="en-US" w:eastAsia="zh-CN"/>
          <w14:textFill>
            <w14:solidFill>
              <w14:schemeClr w14:val="tx1"/>
            </w14:solidFill>
          </w14:textFill>
        </w:rPr>
        <w:drawing>
          <wp:inline distT="0" distB="0" distL="114300" distR="114300">
            <wp:extent cx="4438650" cy="2870835"/>
            <wp:effectExtent l="5080" t="4445" r="6350"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774C8D0">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00" w:themeColor="text1"/>
          <w:sz w:val="32"/>
          <w:szCs w:val="32"/>
          <w:lang w:eastAsia="zh-CN"/>
          <w14:textFill>
            <w14:solidFill>
              <w14:schemeClr w14:val="tx1"/>
            </w14:solidFill>
          </w14:textFill>
        </w:rPr>
      </w:pPr>
      <w:r>
        <w:rPr>
          <w:rFonts w:hint="eastAsia" w:eastAsia="方正楷体简体"/>
          <w:b/>
          <w:color w:val="000000" w:themeColor="text1"/>
          <w:sz w:val="32"/>
          <w:szCs w:val="32"/>
          <w:lang w:eastAsia="zh-CN"/>
          <w14:textFill>
            <w14:solidFill>
              <w14:schemeClr w14:val="tx1"/>
            </w14:solidFill>
          </w14:textFill>
        </w:rPr>
        <w:t>（</w:t>
      </w:r>
      <w:r>
        <w:rPr>
          <w:rFonts w:eastAsia="方正楷体简体"/>
          <w:b/>
          <w:color w:val="000000" w:themeColor="text1"/>
          <w:sz w:val="32"/>
          <w:szCs w:val="32"/>
          <w14:textFill>
            <w14:solidFill>
              <w14:schemeClr w14:val="tx1"/>
            </w14:solidFill>
          </w14:textFill>
        </w:rPr>
        <w:t>三）</w:t>
      </w:r>
      <w:r>
        <w:rPr>
          <w:rFonts w:hint="eastAsia" w:eastAsia="方正楷体简体"/>
          <w:b/>
          <w:color w:val="000000" w:themeColor="text1"/>
          <w:sz w:val="32"/>
          <w:szCs w:val="32"/>
          <w14:textFill>
            <w14:solidFill>
              <w14:schemeClr w14:val="tx1"/>
            </w14:solidFill>
          </w14:textFill>
        </w:rPr>
        <w:t>政府信息管理</w:t>
      </w:r>
    </w:p>
    <w:p w14:paraId="14AE7433">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eastAsia="方正仿宋简体"/>
          <w:b/>
          <w:color w:val="000000" w:themeColor="text1"/>
          <w:sz w:val="32"/>
          <w:szCs w:val="32"/>
          <w:lang w:val="en-US" w:eastAsia="zh-CN"/>
          <w14:textFill>
            <w14:solidFill>
              <w14:schemeClr w14:val="tx1"/>
            </w14:solidFill>
          </w14:textFill>
        </w:rPr>
      </w:pPr>
      <w:r>
        <w:rPr>
          <w:rFonts w:hint="default" w:eastAsia="方正仿宋简体"/>
          <w:b/>
          <w:color w:val="000000" w:themeColor="text1"/>
          <w:sz w:val="32"/>
          <w:szCs w:val="32"/>
          <w:lang w:val="en-US" w:eastAsia="zh-CN"/>
          <w14:textFill>
            <w14:solidFill>
              <w14:schemeClr w14:val="tx1"/>
            </w14:solidFill>
          </w14:textFill>
        </w:rPr>
        <w:t>健全政府信息管理制度，制定并落实《区财政局政府信息公开工作规程》，规范信息采集、审核、发布、更新、归档等全流程管理。建立政府信息动态调整机制，定期对公开属性进行复核评估。强化政府信息公开保密审查，确保公开信息安全。探索财政数据资源整合与共享利用，提升信息管理效能。</w:t>
      </w:r>
    </w:p>
    <w:p w14:paraId="1315D11B">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00" w:themeColor="text1"/>
          <w:sz w:val="32"/>
          <w:szCs w:val="32"/>
          <w:lang w:eastAsia="zh-CN"/>
          <w14:textFill>
            <w14:solidFill>
              <w14:schemeClr w14:val="tx1"/>
            </w14:solidFill>
          </w14:textFill>
        </w:rPr>
      </w:pPr>
      <w:r>
        <w:rPr>
          <w:rFonts w:eastAsia="方正楷体简体"/>
          <w:b/>
          <w:color w:val="000000" w:themeColor="text1"/>
          <w:sz w:val="32"/>
          <w:szCs w:val="32"/>
          <w14:textFill>
            <w14:solidFill>
              <w14:schemeClr w14:val="tx1"/>
            </w14:solidFill>
          </w14:textFill>
        </w:rPr>
        <w:t>（四）政府信息公开平台建设</w:t>
      </w:r>
    </w:p>
    <w:p w14:paraId="1565C570">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eastAsia="方正仿宋简体"/>
          <w:b/>
          <w:color w:val="000000" w:themeColor="text1"/>
          <w:sz w:val="32"/>
          <w:szCs w:val="32"/>
          <w:lang w:val="en-US" w:eastAsia="zh-CN"/>
          <w14:textFill>
            <w14:solidFill>
              <w14:schemeClr w14:val="tx1"/>
            </w14:solidFill>
          </w14:textFill>
        </w:rPr>
      </w:pPr>
      <w:r>
        <w:rPr>
          <w:rFonts w:hint="default" w:eastAsia="方正仿宋简体"/>
          <w:b/>
          <w:color w:val="000000" w:themeColor="text1"/>
          <w:sz w:val="32"/>
          <w:szCs w:val="32"/>
          <w:lang w:val="en-US" w:eastAsia="zh-CN"/>
          <w14:textFill>
            <w14:solidFill>
              <w14:schemeClr w14:val="tx1"/>
            </w14:solidFill>
          </w14:textFill>
        </w:rPr>
        <w:t>优化政府门户网站财政专栏建设，按照“分类清晰、检索便捷、更新及时”的原则</w:t>
      </w:r>
      <w:r>
        <w:rPr>
          <w:rFonts w:hint="eastAsia" w:eastAsia="方正仿宋简体"/>
          <w:b/>
          <w:color w:val="000000" w:themeColor="text1"/>
          <w:sz w:val="32"/>
          <w:szCs w:val="32"/>
          <w:lang w:val="en-US" w:eastAsia="zh-CN"/>
          <w14:textFill>
            <w14:solidFill>
              <w14:schemeClr w14:val="tx1"/>
            </w14:solidFill>
          </w14:textFill>
        </w:rPr>
        <w:t>构建</w:t>
      </w:r>
      <w:r>
        <w:rPr>
          <w:rFonts w:hint="default" w:eastAsia="方正仿宋简体"/>
          <w:b/>
          <w:color w:val="000000" w:themeColor="text1"/>
          <w:sz w:val="32"/>
          <w:szCs w:val="32"/>
          <w:lang w:val="en-US" w:eastAsia="zh-CN"/>
          <w14:textFill>
            <w14:solidFill>
              <w14:schemeClr w14:val="tx1"/>
            </w14:solidFill>
          </w14:textFill>
        </w:rPr>
        <w:t>专栏板块，设置</w:t>
      </w:r>
      <w:r>
        <w:rPr>
          <w:rFonts w:hint="eastAsia" w:eastAsia="方正仿宋简体"/>
          <w:b/>
          <w:color w:val="000000" w:themeColor="text1"/>
          <w:sz w:val="32"/>
          <w:szCs w:val="32"/>
          <w:lang w:val="en-US" w:eastAsia="zh-CN"/>
          <w14:textFill>
            <w14:solidFill>
              <w14:schemeClr w14:val="tx1"/>
            </w14:solidFill>
          </w14:textFill>
        </w:rPr>
        <w:t>财政预算决算</w:t>
      </w:r>
      <w:r>
        <w:rPr>
          <w:rFonts w:hint="default" w:eastAsia="方正仿宋简体"/>
          <w:b/>
          <w:color w:val="000000" w:themeColor="text1"/>
          <w:sz w:val="32"/>
          <w:szCs w:val="32"/>
          <w:lang w:val="en-US" w:eastAsia="zh-CN"/>
          <w14:textFill>
            <w14:solidFill>
              <w14:schemeClr w14:val="tx1"/>
            </w14:solidFill>
          </w14:textFill>
        </w:rPr>
        <w:t>、</w:t>
      </w:r>
      <w:r>
        <w:rPr>
          <w:rFonts w:hint="eastAsia" w:eastAsia="方正仿宋简体"/>
          <w:b/>
          <w:color w:val="000000" w:themeColor="text1"/>
          <w:sz w:val="32"/>
          <w:szCs w:val="32"/>
          <w:lang w:val="en-US" w:eastAsia="zh-CN"/>
          <w14:textFill>
            <w14:solidFill>
              <w14:schemeClr w14:val="tx1"/>
            </w14:solidFill>
          </w14:textFill>
        </w:rPr>
        <w:t>收费项目及招标投标</w:t>
      </w:r>
      <w:r>
        <w:rPr>
          <w:rFonts w:hint="default" w:eastAsia="方正仿宋简体"/>
          <w:b/>
          <w:color w:val="000000" w:themeColor="text1"/>
          <w:sz w:val="32"/>
          <w:szCs w:val="32"/>
          <w:lang w:val="en-US" w:eastAsia="zh-CN"/>
          <w14:textFill>
            <w14:solidFill>
              <w14:schemeClr w14:val="tx1"/>
            </w14:solidFill>
          </w14:textFill>
        </w:rPr>
        <w:t>、政府采购</w:t>
      </w:r>
      <w:r>
        <w:rPr>
          <w:rFonts w:hint="eastAsia" w:eastAsia="方正仿宋简体"/>
          <w:b/>
          <w:color w:val="000000" w:themeColor="text1"/>
          <w:sz w:val="32"/>
          <w:szCs w:val="32"/>
          <w:lang w:val="en-US" w:eastAsia="zh-CN"/>
          <w14:textFill>
            <w14:solidFill>
              <w14:schemeClr w14:val="tx1"/>
            </w14:solidFill>
          </w14:textFill>
        </w:rPr>
        <w:t>、政策文件</w:t>
      </w:r>
      <w:r>
        <w:rPr>
          <w:rFonts w:hint="default" w:eastAsia="方正仿宋简体"/>
          <w:b/>
          <w:color w:val="000000" w:themeColor="text1"/>
          <w:sz w:val="32"/>
          <w:szCs w:val="32"/>
          <w:lang w:val="en-US" w:eastAsia="zh-CN"/>
          <w14:textFill>
            <w14:solidFill>
              <w14:schemeClr w14:val="tx1"/>
            </w14:solidFill>
          </w14:textFill>
        </w:rPr>
        <w:t>等一级栏目，确保群众快速找到所需信息。</w:t>
      </w:r>
    </w:p>
    <w:p w14:paraId="6D91EC23">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00" w:themeColor="text1"/>
          <w:sz w:val="32"/>
          <w:szCs w:val="32"/>
          <w:lang w:eastAsia="zh-CN"/>
          <w14:textFill>
            <w14:solidFill>
              <w14:schemeClr w14:val="tx1"/>
            </w14:solidFill>
          </w14:textFill>
        </w:rPr>
      </w:pPr>
      <w:r>
        <w:rPr>
          <w:rFonts w:eastAsia="方正楷体简体"/>
          <w:b/>
          <w:color w:val="000000" w:themeColor="text1"/>
          <w:sz w:val="32"/>
          <w:szCs w:val="32"/>
          <w14:textFill>
            <w14:solidFill>
              <w14:schemeClr w14:val="tx1"/>
            </w14:solidFill>
          </w14:textFill>
        </w:rPr>
        <w:t>（五）监督保障</w:t>
      </w:r>
    </w:p>
    <w:p w14:paraId="4AF61D1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局党组高度重视政府信息公开工作，将其纳入年度重点工作计划，定期听取汇报，研究解决问题。明确由局办公室牵头负责，各业务科室协同配合的工作机制，配强配齐工作力量。组织全局干部职工参加政务公开业务培训1</w:t>
      </w:r>
      <w:r>
        <w:rPr>
          <w:rFonts w:hint="default" w:eastAsia="方正仿宋简体"/>
          <w:b/>
          <w:color w:val="000000" w:themeColor="text1"/>
          <w:sz w:val="32"/>
          <w:szCs w:val="32"/>
          <w:lang w:val="en-US" w:eastAsia="zh-CN"/>
          <w14:textFill>
            <w14:solidFill>
              <w14:schemeClr w14:val="tx1"/>
            </w14:solidFill>
          </w14:textFill>
        </w:rPr>
        <w:t>次，提升全员公开意识和能力。</w:t>
      </w:r>
    </w:p>
    <w:p w14:paraId="15C5DEE5">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themeColor="text1"/>
          <w:sz w:val="32"/>
          <w:szCs w:val="32"/>
          <w14:textFill>
            <w14:solidFill>
              <w14:schemeClr w14:val="tx1"/>
            </w14:solidFill>
          </w14:textFill>
        </w:rPr>
      </w:pPr>
      <w:r>
        <w:rPr>
          <w:rFonts w:eastAsia="方正黑体简体"/>
          <w:b/>
          <w:color w:val="000000" w:themeColor="text1"/>
          <w:sz w:val="32"/>
          <w:szCs w:val="32"/>
          <w14:textFill>
            <w14:solidFill>
              <w14:schemeClr w14:val="tx1"/>
            </w14:solidFill>
          </w14:textFill>
        </w:rPr>
        <w:t>二、主动公开政府信息情况</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128"/>
        <w:gridCol w:w="2128"/>
        <w:gridCol w:w="2137"/>
      </w:tblGrid>
      <w:tr w14:paraId="7F3F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49232DDD">
            <w:pPr>
              <w:widowControl/>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第二十条第（一）项</w:t>
            </w:r>
          </w:p>
        </w:tc>
      </w:tr>
      <w:tr w14:paraId="011A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2115372A">
            <w:pPr>
              <w:widowControl/>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信息内容</w:t>
            </w:r>
          </w:p>
        </w:tc>
        <w:tc>
          <w:tcPr>
            <w:tcW w:w="1249" w:type="pct"/>
            <w:noWrap w:val="0"/>
            <w:vAlign w:val="center"/>
          </w:tcPr>
          <w:p w14:paraId="226F2783">
            <w:pPr>
              <w:widowControl/>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本年制发件数</w:t>
            </w:r>
          </w:p>
        </w:tc>
        <w:tc>
          <w:tcPr>
            <w:tcW w:w="1249" w:type="pct"/>
            <w:noWrap w:val="0"/>
            <w:vAlign w:val="center"/>
          </w:tcPr>
          <w:p w14:paraId="03B70DEC">
            <w:pPr>
              <w:widowControl/>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本年废止件数</w:t>
            </w:r>
          </w:p>
        </w:tc>
        <w:tc>
          <w:tcPr>
            <w:tcW w:w="1252" w:type="pct"/>
            <w:noWrap w:val="0"/>
            <w:vAlign w:val="center"/>
          </w:tcPr>
          <w:p w14:paraId="12BFEA7B">
            <w:pPr>
              <w:widowControl/>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现行有效件数</w:t>
            </w:r>
          </w:p>
        </w:tc>
      </w:tr>
      <w:tr w14:paraId="7E53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5DAD930D">
            <w:pPr>
              <w:widowControl/>
              <w:jc w:val="left"/>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规章</w:t>
            </w:r>
          </w:p>
        </w:tc>
        <w:tc>
          <w:tcPr>
            <w:tcW w:w="1249" w:type="pct"/>
            <w:noWrap w:val="0"/>
            <w:vAlign w:val="center"/>
          </w:tcPr>
          <w:p w14:paraId="6F5DFF9A">
            <w:pPr>
              <w:widowControl/>
              <w:jc w:val="center"/>
              <w:rPr>
                <w:rFonts w:hint="eastAsia" w:ascii="Times New Roman" w:hAnsi="Times New Roman" w:eastAsia="仿宋_GB2312" w:cs="宋体"/>
                <w:color w:val="000000" w:themeColor="text1"/>
                <w:kern w:val="0"/>
                <w:szCs w:val="21"/>
                <w:lang w:val="en-US" w:eastAsia="zh-CN"/>
                <w14:textFill>
                  <w14:solidFill>
                    <w14:schemeClr w14:val="tx1"/>
                  </w14:solidFill>
                </w14:textFill>
              </w:rPr>
            </w:pPr>
            <w:r>
              <w:rPr>
                <w:rFonts w:hint="eastAsia" w:ascii="Times New Roman" w:hAnsi="Times New Roman" w:eastAsia="仿宋_GB2312" w:cs="宋体"/>
                <w:color w:val="000000" w:themeColor="text1"/>
                <w:kern w:val="0"/>
                <w:szCs w:val="21"/>
                <w:lang w:val="en-US" w:eastAsia="zh-CN"/>
                <w14:textFill>
                  <w14:solidFill>
                    <w14:schemeClr w14:val="tx1"/>
                  </w14:solidFill>
                </w14:textFill>
              </w:rPr>
              <w:t>0</w:t>
            </w:r>
          </w:p>
        </w:tc>
        <w:tc>
          <w:tcPr>
            <w:tcW w:w="1249" w:type="pct"/>
            <w:noWrap w:val="0"/>
            <w:vAlign w:val="center"/>
          </w:tcPr>
          <w:p w14:paraId="638D6618">
            <w:pPr>
              <w:widowControl/>
              <w:jc w:val="center"/>
              <w:rPr>
                <w:rFonts w:hint="eastAsia" w:ascii="Times New Roman" w:hAnsi="Times New Roman" w:eastAsia="仿宋_GB2312" w:cs="宋体"/>
                <w:color w:val="000000" w:themeColor="text1"/>
                <w:kern w:val="0"/>
                <w:szCs w:val="21"/>
                <w:lang w:val="en-US" w:eastAsia="zh-CN"/>
                <w14:textFill>
                  <w14:solidFill>
                    <w14:schemeClr w14:val="tx1"/>
                  </w14:solidFill>
                </w14:textFill>
              </w:rPr>
            </w:pPr>
            <w:r>
              <w:rPr>
                <w:rFonts w:hint="eastAsia" w:ascii="Times New Roman" w:hAnsi="Times New Roman" w:eastAsia="仿宋_GB2312" w:cs="宋体"/>
                <w:color w:val="000000" w:themeColor="text1"/>
                <w:kern w:val="0"/>
                <w:szCs w:val="21"/>
                <w:lang w:val="en-US" w:eastAsia="zh-CN"/>
                <w14:textFill>
                  <w14:solidFill>
                    <w14:schemeClr w14:val="tx1"/>
                  </w14:solidFill>
                </w14:textFill>
              </w:rPr>
              <w:t>0</w:t>
            </w:r>
          </w:p>
        </w:tc>
        <w:tc>
          <w:tcPr>
            <w:tcW w:w="1252" w:type="pct"/>
            <w:noWrap w:val="0"/>
            <w:vAlign w:val="center"/>
          </w:tcPr>
          <w:p w14:paraId="363F035E">
            <w:pPr>
              <w:widowControl/>
              <w:jc w:val="center"/>
              <w:rPr>
                <w:rFonts w:hint="eastAsia" w:ascii="Times New Roman" w:hAnsi="Times New Roman" w:eastAsia="仿宋_GB2312" w:cs="Calibri"/>
                <w:color w:val="000000" w:themeColor="text1"/>
                <w:kern w:val="0"/>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Cs w:val="21"/>
                <w:lang w:val="en-US" w:eastAsia="zh-CN"/>
                <w14:textFill>
                  <w14:solidFill>
                    <w14:schemeClr w14:val="tx1"/>
                  </w14:solidFill>
                </w14:textFill>
              </w:rPr>
              <w:t>0</w:t>
            </w:r>
          </w:p>
        </w:tc>
      </w:tr>
      <w:tr w14:paraId="2527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7D504EC8">
            <w:pPr>
              <w:widowControl/>
              <w:jc w:val="left"/>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行政规范性文件</w:t>
            </w:r>
          </w:p>
        </w:tc>
        <w:tc>
          <w:tcPr>
            <w:tcW w:w="1249" w:type="pct"/>
            <w:noWrap w:val="0"/>
            <w:vAlign w:val="center"/>
          </w:tcPr>
          <w:p w14:paraId="41E4FA2D">
            <w:pPr>
              <w:widowControl/>
              <w:jc w:val="center"/>
              <w:rPr>
                <w:rFonts w:hint="default" w:ascii="Times New Roman" w:hAnsi="Times New Roman" w:eastAsia="仿宋_GB2312" w:cs="宋体"/>
                <w:color w:val="000000" w:themeColor="text1"/>
                <w:kern w:val="0"/>
                <w:szCs w:val="21"/>
                <w:lang w:val="en-US" w:eastAsia="zh-CN"/>
                <w14:textFill>
                  <w14:solidFill>
                    <w14:schemeClr w14:val="tx1"/>
                  </w14:solidFill>
                </w14:textFill>
              </w:rPr>
            </w:pPr>
            <w:r>
              <w:rPr>
                <w:rFonts w:hint="eastAsia" w:eastAsia="仿宋_GB2312" w:cs="宋体"/>
                <w:color w:val="000000" w:themeColor="text1"/>
                <w:kern w:val="0"/>
                <w:szCs w:val="21"/>
                <w:lang w:val="en-US" w:eastAsia="zh-CN"/>
                <w14:textFill>
                  <w14:solidFill>
                    <w14:schemeClr w14:val="tx1"/>
                  </w14:solidFill>
                </w14:textFill>
              </w:rPr>
              <w:t>0</w:t>
            </w:r>
          </w:p>
        </w:tc>
        <w:tc>
          <w:tcPr>
            <w:tcW w:w="1249" w:type="pct"/>
            <w:noWrap w:val="0"/>
            <w:vAlign w:val="center"/>
          </w:tcPr>
          <w:p w14:paraId="46018C1C">
            <w:pPr>
              <w:widowControl/>
              <w:jc w:val="center"/>
              <w:rPr>
                <w:rFonts w:hint="default" w:ascii="Times New Roman" w:hAnsi="Times New Roman" w:eastAsia="仿宋_GB2312" w:cs="宋体"/>
                <w:color w:val="000000" w:themeColor="text1"/>
                <w:kern w:val="0"/>
                <w:szCs w:val="21"/>
                <w:lang w:val="en-US" w:eastAsia="zh-CN"/>
                <w14:textFill>
                  <w14:solidFill>
                    <w14:schemeClr w14:val="tx1"/>
                  </w14:solidFill>
                </w14:textFill>
              </w:rPr>
            </w:pPr>
            <w:r>
              <w:rPr>
                <w:rFonts w:hint="eastAsia" w:eastAsia="仿宋_GB2312" w:cs="宋体"/>
                <w:color w:val="000000" w:themeColor="text1"/>
                <w:kern w:val="0"/>
                <w:szCs w:val="21"/>
                <w:lang w:val="en-US" w:eastAsia="zh-CN"/>
                <w14:textFill>
                  <w14:solidFill>
                    <w14:schemeClr w14:val="tx1"/>
                  </w14:solidFill>
                </w14:textFill>
              </w:rPr>
              <w:t>0</w:t>
            </w:r>
          </w:p>
        </w:tc>
        <w:tc>
          <w:tcPr>
            <w:tcW w:w="1252" w:type="pct"/>
            <w:noWrap w:val="0"/>
            <w:vAlign w:val="center"/>
          </w:tcPr>
          <w:p w14:paraId="70C7DEE5">
            <w:pPr>
              <w:widowControl/>
              <w:jc w:val="center"/>
              <w:rPr>
                <w:rFonts w:hint="default" w:ascii="Times New Roman" w:hAnsi="Times New Roman" w:eastAsia="仿宋_GB2312" w:cs="Calibri"/>
                <w:color w:val="000000" w:themeColor="text1"/>
                <w:kern w:val="0"/>
                <w:szCs w:val="21"/>
                <w:lang w:val="en-US" w:eastAsia="zh-CN"/>
                <w14:textFill>
                  <w14:solidFill>
                    <w14:schemeClr w14:val="tx1"/>
                  </w14:solidFill>
                </w14:textFill>
              </w:rPr>
            </w:pPr>
            <w:r>
              <w:rPr>
                <w:rFonts w:hint="eastAsia" w:eastAsia="仿宋_GB2312" w:cs="Calibri"/>
                <w:color w:val="000000" w:themeColor="text1"/>
                <w:kern w:val="0"/>
                <w:szCs w:val="21"/>
                <w:lang w:val="en-US" w:eastAsia="zh-CN"/>
                <w14:textFill>
                  <w14:solidFill>
                    <w14:schemeClr w14:val="tx1"/>
                  </w14:solidFill>
                </w14:textFill>
              </w:rPr>
              <w:t>0</w:t>
            </w:r>
          </w:p>
        </w:tc>
      </w:tr>
      <w:tr w14:paraId="34DD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730F9FFF">
            <w:pPr>
              <w:widowControl/>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第二十条第（五）项</w:t>
            </w:r>
          </w:p>
        </w:tc>
      </w:tr>
      <w:tr w14:paraId="1B53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5CC1F9D2">
            <w:pPr>
              <w:widowControl/>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信息内容</w:t>
            </w:r>
          </w:p>
        </w:tc>
        <w:tc>
          <w:tcPr>
            <w:tcW w:w="3751" w:type="pct"/>
            <w:gridSpan w:val="3"/>
            <w:noWrap w:val="0"/>
            <w:vAlign w:val="center"/>
          </w:tcPr>
          <w:p w14:paraId="01BB2277">
            <w:pPr>
              <w:widowControl/>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本年处理决定数量</w:t>
            </w:r>
          </w:p>
        </w:tc>
      </w:tr>
      <w:tr w14:paraId="689A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059F852A">
            <w:pPr>
              <w:widowControl/>
              <w:jc w:val="left"/>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行政许可</w:t>
            </w:r>
          </w:p>
        </w:tc>
        <w:tc>
          <w:tcPr>
            <w:tcW w:w="3751" w:type="pct"/>
            <w:gridSpan w:val="3"/>
            <w:noWrap w:val="0"/>
            <w:vAlign w:val="center"/>
          </w:tcPr>
          <w:p w14:paraId="49058115">
            <w:pPr>
              <w:widowControl/>
              <w:jc w:val="center"/>
              <w:rPr>
                <w:rFonts w:hint="default" w:ascii="Times New Roman" w:hAnsi="Times New Roman" w:eastAsia="仿宋_GB2312" w:cs="Calibri"/>
                <w:color w:val="000000" w:themeColor="text1"/>
                <w:kern w:val="0"/>
                <w:szCs w:val="21"/>
                <w:lang w:val="en-US" w:eastAsia="zh-CN"/>
                <w14:textFill>
                  <w14:solidFill>
                    <w14:schemeClr w14:val="tx1"/>
                  </w14:solidFill>
                </w14:textFill>
              </w:rPr>
            </w:pPr>
            <w:r>
              <w:rPr>
                <w:rFonts w:hint="eastAsia" w:eastAsia="仿宋_GB2312" w:cs="Calibri"/>
                <w:color w:val="000000" w:themeColor="text1"/>
                <w:kern w:val="0"/>
                <w:szCs w:val="21"/>
                <w:lang w:val="en-US" w:eastAsia="zh-CN"/>
                <w14:textFill>
                  <w14:solidFill>
                    <w14:schemeClr w14:val="tx1"/>
                  </w14:solidFill>
                </w14:textFill>
              </w:rPr>
              <w:t>0</w:t>
            </w:r>
          </w:p>
        </w:tc>
      </w:tr>
      <w:tr w14:paraId="4098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24A3796C">
            <w:pPr>
              <w:widowControl/>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第二十条第（六）项</w:t>
            </w:r>
          </w:p>
        </w:tc>
      </w:tr>
      <w:tr w14:paraId="4104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19583362">
            <w:pPr>
              <w:widowControl/>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信息内容</w:t>
            </w:r>
          </w:p>
        </w:tc>
        <w:tc>
          <w:tcPr>
            <w:tcW w:w="3751" w:type="pct"/>
            <w:gridSpan w:val="3"/>
            <w:noWrap w:val="0"/>
            <w:vAlign w:val="center"/>
          </w:tcPr>
          <w:p w14:paraId="3AE02E2D">
            <w:pPr>
              <w:widowControl/>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本年处理决定数量</w:t>
            </w:r>
          </w:p>
        </w:tc>
      </w:tr>
      <w:tr w14:paraId="1791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47603A3B">
            <w:pPr>
              <w:widowControl/>
              <w:jc w:val="left"/>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行政处罚</w:t>
            </w:r>
          </w:p>
        </w:tc>
        <w:tc>
          <w:tcPr>
            <w:tcW w:w="3751" w:type="pct"/>
            <w:gridSpan w:val="3"/>
            <w:noWrap w:val="0"/>
            <w:vAlign w:val="center"/>
          </w:tcPr>
          <w:p w14:paraId="21861649">
            <w:pPr>
              <w:widowControl/>
              <w:tabs>
                <w:tab w:val="center" w:pos="3247"/>
              </w:tabs>
              <w:jc w:val="center"/>
              <w:rPr>
                <w:rFonts w:hint="default" w:ascii="Times New Roman" w:hAnsi="Times New Roman" w:eastAsia="仿宋_GB2312" w:cs="宋体"/>
                <w:color w:val="000000" w:themeColor="text1"/>
                <w:kern w:val="0"/>
                <w:szCs w:val="21"/>
                <w:lang w:val="en-US" w:eastAsia="zh-CN"/>
                <w14:textFill>
                  <w14:solidFill>
                    <w14:schemeClr w14:val="tx1"/>
                  </w14:solidFill>
                </w14:textFill>
              </w:rPr>
            </w:pPr>
            <w:r>
              <w:rPr>
                <w:rFonts w:hint="eastAsia" w:eastAsia="仿宋_GB2312" w:cs="宋体"/>
                <w:color w:val="000000" w:themeColor="text1"/>
                <w:kern w:val="0"/>
                <w:szCs w:val="21"/>
                <w:lang w:val="en-US" w:eastAsia="zh-CN"/>
                <w14:textFill>
                  <w14:solidFill>
                    <w14:schemeClr w14:val="tx1"/>
                  </w14:solidFill>
                </w14:textFill>
              </w:rPr>
              <w:t>0</w:t>
            </w:r>
          </w:p>
        </w:tc>
      </w:tr>
      <w:tr w14:paraId="6CA5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54EF2BB1">
            <w:pPr>
              <w:widowControl/>
              <w:jc w:val="left"/>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行政强制</w:t>
            </w:r>
          </w:p>
        </w:tc>
        <w:tc>
          <w:tcPr>
            <w:tcW w:w="3751" w:type="pct"/>
            <w:gridSpan w:val="3"/>
            <w:noWrap w:val="0"/>
            <w:vAlign w:val="center"/>
          </w:tcPr>
          <w:p w14:paraId="4D4D1D0F">
            <w:pPr>
              <w:widowControl/>
              <w:jc w:val="center"/>
              <w:rPr>
                <w:rFonts w:hint="default" w:ascii="Times New Roman" w:hAnsi="Times New Roman" w:eastAsia="仿宋_GB2312" w:cs="宋体"/>
                <w:color w:val="000000" w:themeColor="text1"/>
                <w:kern w:val="0"/>
                <w:szCs w:val="21"/>
                <w:lang w:val="en-US" w:eastAsia="zh-CN"/>
                <w14:textFill>
                  <w14:solidFill>
                    <w14:schemeClr w14:val="tx1"/>
                  </w14:solidFill>
                </w14:textFill>
              </w:rPr>
            </w:pPr>
            <w:r>
              <w:rPr>
                <w:rFonts w:hint="eastAsia" w:eastAsia="仿宋_GB2312" w:cs="宋体"/>
                <w:color w:val="000000" w:themeColor="text1"/>
                <w:kern w:val="0"/>
                <w:szCs w:val="21"/>
                <w:lang w:val="en-US" w:eastAsia="zh-CN"/>
                <w14:textFill>
                  <w14:solidFill>
                    <w14:schemeClr w14:val="tx1"/>
                  </w14:solidFill>
                </w14:textFill>
              </w:rPr>
              <w:t>0</w:t>
            </w:r>
          </w:p>
        </w:tc>
      </w:tr>
      <w:tr w14:paraId="5C7F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0E459F36">
            <w:pPr>
              <w:widowControl/>
              <w:jc w:val="center"/>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第二十条第（八）项</w:t>
            </w:r>
          </w:p>
        </w:tc>
      </w:tr>
      <w:tr w14:paraId="06B3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082917AD">
            <w:pPr>
              <w:widowControl/>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信息内容</w:t>
            </w:r>
          </w:p>
        </w:tc>
        <w:tc>
          <w:tcPr>
            <w:tcW w:w="3751" w:type="pct"/>
            <w:gridSpan w:val="3"/>
            <w:noWrap w:val="0"/>
            <w:vAlign w:val="center"/>
          </w:tcPr>
          <w:p w14:paraId="058A04C4">
            <w:pPr>
              <w:widowControl/>
              <w:jc w:val="center"/>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本年收费金额（单位：万元）</w:t>
            </w:r>
          </w:p>
        </w:tc>
      </w:tr>
      <w:tr w14:paraId="6612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408FECB0">
            <w:pPr>
              <w:widowControl/>
              <w:jc w:val="left"/>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行政事业性收费</w:t>
            </w:r>
          </w:p>
        </w:tc>
        <w:tc>
          <w:tcPr>
            <w:tcW w:w="3751" w:type="pct"/>
            <w:gridSpan w:val="3"/>
            <w:noWrap w:val="0"/>
            <w:vAlign w:val="center"/>
          </w:tcPr>
          <w:p w14:paraId="7EC3A1B6">
            <w:pPr>
              <w:widowControl/>
              <w:jc w:val="center"/>
              <w:rPr>
                <w:rFonts w:hint="default" w:ascii="Times New Roman" w:hAnsi="Times New Roman" w:eastAsia="仿宋_GB2312" w:cs="Calibri"/>
                <w:color w:val="000000" w:themeColor="text1"/>
                <w:kern w:val="0"/>
                <w:szCs w:val="21"/>
                <w:lang w:val="en-US" w:eastAsia="zh-CN"/>
                <w14:textFill>
                  <w14:solidFill>
                    <w14:schemeClr w14:val="tx1"/>
                  </w14:solidFill>
                </w14:textFill>
              </w:rPr>
            </w:pPr>
            <w:r>
              <w:rPr>
                <w:rFonts w:hint="eastAsia" w:eastAsia="仿宋_GB2312" w:cs="Calibri"/>
                <w:color w:val="000000" w:themeColor="text1"/>
                <w:kern w:val="0"/>
                <w:szCs w:val="21"/>
                <w:lang w:val="en-US" w:eastAsia="zh-CN"/>
                <w14:textFill>
                  <w14:solidFill>
                    <w14:schemeClr w14:val="tx1"/>
                  </w14:solidFill>
                </w14:textFill>
              </w:rPr>
              <w:t>0</w:t>
            </w:r>
          </w:p>
        </w:tc>
      </w:tr>
    </w:tbl>
    <w:p w14:paraId="235711F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eastAsia="方正黑体简体"/>
          <w:b/>
          <w:color w:val="000000" w:themeColor="text1"/>
          <w:sz w:val="32"/>
          <w:szCs w:val="32"/>
          <w:lang w:eastAsia="zh-CN"/>
          <w14:textFill>
            <w14:solidFill>
              <w14:schemeClr w14:val="tx1"/>
            </w14:solidFill>
          </w14:textFill>
        </w:rPr>
      </w:pPr>
      <w:r>
        <w:rPr>
          <w:rFonts w:eastAsia="方正黑体简体"/>
          <w:b/>
          <w:color w:val="000000" w:themeColor="text1"/>
          <w:sz w:val="32"/>
          <w:szCs w:val="32"/>
          <w14:textFill>
            <w14:solidFill>
              <w14:schemeClr w14:val="tx1"/>
            </w14:solidFill>
          </w14:textFill>
        </w:rPr>
        <w:t>三、收到和处理政府信息公开申请情况</w:t>
      </w:r>
    </w:p>
    <w:tbl>
      <w:tblPr>
        <w:tblStyle w:val="6"/>
        <w:tblpPr w:leftFromText="180" w:rightFromText="180" w:vertAnchor="text" w:horzAnchor="page" w:tblpX="1092" w:tblpY="296"/>
        <w:tblOverlap w:val="never"/>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30EA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14:paraId="4BD57077">
            <w:pPr>
              <w:widowControl/>
              <w:jc w:val="center"/>
              <w:rPr>
                <w:rFonts w:ascii="Times New Roman" w:hAnsi="Times New Roman" w:eastAsia="楷体_GB2312"/>
                <w:color w:val="000000" w:themeColor="text1"/>
                <w:kern w:val="0"/>
                <w:szCs w:val="21"/>
                <w14:textFill>
                  <w14:solidFill>
                    <w14:schemeClr w14:val="tx1"/>
                  </w14:solidFill>
                </w14:textFill>
              </w:rPr>
            </w:pPr>
            <w:r>
              <w:rPr>
                <w:rFonts w:hint="eastAsia" w:ascii="Times New Roman" w:hAnsi="Times New Roman" w:eastAsia="楷体_GB2312"/>
                <w:color w:val="000000" w:themeColor="text1"/>
                <w:kern w:val="0"/>
                <w:szCs w:val="21"/>
                <w14:textFill>
                  <w14:solidFill>
                    <w14:schemeClr w14:val="tx1"/>
                  </w14:solidFill>
                </w14:textFill>
              </w:rPr>
              <w:t>（本列数据的勾稽关系为：第一项加第二项之和，</w:t>
            </w:r>
          </w:p>
          <w:p w14:paraId="266E770A">
            <w:pPr>
              <w:widowControl/>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楷体_GB2312"/>
                <w:color w:val="000000" w:themeColor="text1"/>
                <w:kern w:val="0"/>
                <w:szCs w:val="21"/>
                <w14:textFill>
                  <w14:solidFill>
                    <w14:schemeClr w14:val="tx1"/>
                  </w14:solidFill>
                </w14:textFill>
              </w:rPr>
              <w:t>等于第三项加第四项之和）</w:t>
            </w:r>
          </w:p>
        </w:tc>
        <w:tc>
          <w:tcPr>
            <w:tcW w:w="4820" w:type="dxa"/>
            <w:gridSpan w:val="7"/>
            <w:noWrap w:val="0"/>
            <w:tcMar>
              <w:left w:w="108" w:type="dxa"/>
              <w:right w:w="108" w:type="dxa"/>
            </w:tcMar>
            <w:vAlign w:val="center"/>
          </w:tcPr>
          <w:p w14:paraId="6074F32E">
            <w:pPr>
              <w:widowControl/>
              <w:spacing w:line="320" w:lineRule="exact"/>
              <w:jc w:val="center"/>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申请人情况</w:t>
            </w:r>
          </w:p>
        </w:tc>
      </w:tr>
      <w:tr w14:paraId="4B15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14:paraId="4628A6B5">
            <w:pPr>
              <w:jc w:val="center"/>
              <w:rPr>
                <w:rFonts w:ascii="Times New Roman" w:hAnsi="Times New Roman" w:eastAsia="仿宋_GB2312"/>
                <w:color w:val="000000" w:themeColor="text1"/>
                <w:szCs w:val="21"/>
                <w14:textFill>
                  <w14:solidFill>
                    <w14:schemeClr w14:val="tx1"/>
                  </w14:solidFill>
                </w14:textFill>
              </w:rPr>
            </w:pPr>
          </w:p>
        </w:tc>
        <w:tc>
          <w:tcPr>
            <w:tcW w:w="829" w:type="dxa"/>
            <w:vMerge w:val="restart"/>
            <w:noWrap w:val="0"/>
            <w:tcMar>
              <w:left w:w="108" w:type="dxa"/>
              <w:right w:w="108" w:type="dxa"/>
            </w:tcMar>
            <w:vAlign w:val="center"/>
          </w:tcPr>
          <w:p w14:paraId="34017DCE">
            <w:pPr>
              <w:widowControl/>
              <w:jc w:val="center"/>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自然人</w:t>
            </w:r>
          </w:p>
        </w:tc>
        <w:tc>
          <w:tcPr>
            <w:tcW w:w="3140" w:type="dxa"/>
            <w:gridSpan w:val="5"/>
            <w:noWrap w:val="0"/>
            <w:tcMar>
              <w:left w:w="108" w:type="dxa"/>
              <w:right w:w="108" w:type="dxa"/>
            </w:tcMar>
            <w:vAlign w:val="center"/>
          </w:tcPr>
          <w:p w14:paraId="0F86BFA0">
            <w:pPr>
              <w:widowControl/>
              <w:spacing w:line="320" w:lineRule="exact"/>
              <w:jc w:val="center"/>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法人或其他组织</w:t>
            </w:r>
          </w:p>
        </w:tc>
        <w:tc>
          <w:tcPr>
            <w:tcW w:w="851" w:type="dxa"/>
            <w:vMerge w:val="restart"/>
            <w:noWrap w:val="0"/>
            <w:tcMar>
              <w:left w:w="108" w:type="dxa"/>
              <w:right w:w="108" w:type="dxa"/>
            </w:tcMar>
            <w:vAlign w:val="center"/>
          </w:tcPr>
          <w:p w14:paraId="04BECE18">
            <w:pPr>
              <w:widowControl/>
              <w:jc w:val="center"/>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总计</w:t>
            </w:r>
          </w:p>
        </w:tc>
      </w:tr>
      <w:tr w14:paraId="6597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14:paraId="1B4C7507">
            <w:pPr>
              <w:jc w:val="center"/>
              <w:rPr>
                <w:rFonts w:ascii="Times New Roman" w:hAnsi="Times New Roman" w:eastAsia="仿宋_GB2312"/>
                <w:color w:val="000000" w:themeColor="text1"/>
                <w:szCs w:val="21"/>
                <w14:textFill>
                  <w14:solidFill>
                    <w14:schemeClr w14:val="tx1"/>
                  </w14:solidFill>
                </w14:textFill>
              </w:rPr>
            </w:pPr>
          </w:p>
        </w:tc>
        <w:tc>
          <w:tcPr>
            <w:tcW w:w="829" w:type="dxa"/>
            <w:vMerge w:val="continue"/>
            <w:noWrap w:val="0"/>
            <w:tcMar>
              <w:left w:w="108" w:type="dxa"/>
              <w:right w:w="108" w:type="dxa"/>
            </w:tcMar>
            <w:vAlign w:val="center"/>
          </w:tcPr>
          <w:p w14:paraId="7FBFB65D">
            <w:pPr>
              <w:jc w:val="center"/>
              <w:rPr>
                <w:rFonts w:ascii="Times New Roman" w:hAnsi="Times New Roman" w:eastAsia="黑体"/>
                <w:color w:val="000000" w:themeColor="text1"/>
                <w:szCs w:val="21"/>
                <w14:textFill>
                  <w14:solidFill>
                    <w14:schemeClr w14:val="tx1"/>
                  </w14:solidFill>
                </w14:textFill>
              </w:rPr>
            </w:pPr>
          </w:p>
        </w:tc>
        <w:tc>
          <w:tcPr>
            <w:tcW w:w="567" w:type="dxa"/>
            <w:noWrap w:val="0"/>
            <w:tcMar>
              <w:left w:w="108" w:type="dxa"/>
              <w:right w:w="108" w:type="dxa"/>
            </w:tcMar>
            <w:vAlign w:val="center"/>
          </w:tcPr>
          <w:p w14:paraId="2182A1A9">
            <w:pPr>
              <w:widowControl/>
              <w:spacing w:line="320" w:lineRule="exact"/>
              <w:ind w:left="-101" w:leftChars="-51" w:right="-102" w:rightChars="-51" w:hanging="1"/>
              <w:jc w:val="center"/>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商业企业</w:t>
            </w:r>
          </w:p>
        </w:tc>
        <w:tc>
          <w:tcPr>
            <w:tcW w:w="567" w:type="dxa"/>
            <w:noWrap w:val="0"/>
            <w:tcMar>
              <w:left w:w="108" w:type="dxa"/>
              <w:right w:w="108" w:type="dxa"/>
            </w:tcMar>
            <w:vAlign w:val="center"/>
          </w:tcPr>
          <w:p w14:paraId="6E0B7E96">
            <w:pPr>
              <w:widowControl/>
              <w:spacing w:line="320" w:lineRule="exact"/>
              <w:ind w:left="-102" w:leftChars="-51" w:right="-102" w:rightChars="-51"/>
              <w:jc w:val="center"/>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科研机构</w:t>
            </w:r>
          </w:p>
        </w:tc>
        <w:tc>
          <w:tcPr>
            <w:tcW w:w="731" w:type="dxa"/>
            <w:noWrap w:val="0"/>
            <w:tcMar>
              <w:left w:w="108" w:type="dxa"/>
              <w:right w:w="108" w:type="dxa"/>
            </w:tcMar>
            <w:vAlign w:val="center"/>
          </w:tcPr>
          <w:p w14:paraId="2A575C18">
            <w:pPr>
              <w:widowControl/>
              <w:spacing w:line="320" w:lineRule="exact"/>
              <w:ind w:left="-102" w:leftChars="-51" w:right="-102" w:rightChars="-51"/>
              <w:jc w:val="center"/>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社会公益组织</w:t>
            </w:r>
          </w:p>
        </w:tc>
        <w:tc>
          <w:tcPr>
            <w:tcW w:w="708" w:type="dxa"/>
            <w:noWrap w:val="0"/>
            <w:tcMar>
              <w:left w:w="108" w:type="dxa"/>
              <w:right w:w="108" w:type="dxa"/>
            </w:tcMar>
            <w:vAlign w:val="center"/>
          </w:tcPr>
          <w:p w14:paraId="5227AC4E">
            <w:pPr>
              <w:widowControl/>
              <w:spacing w:line="320" w:lineRule="exact"/>
              <w:ind w:left="-101" w:leftChars="-51" w:right="-102" w:rightChars="-51" w:hanging="1"/>
              <w:jc w:val="center"/>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法律服务机构</w:t>
            </w:r>
          </w:p>
        </w:tc>
        <w:tc>
          <w:tcPr>
            <w:tcW w:w="567" w:type="dxa"/>
            <w:noWrap w:val="0"/>
            <w:tcMar>
              <w:left w:w="108" w:type="dxa"/>
              <w:right w:w="108" w:type="dxa"/>
            </w:tcMar>
            <w:vAlign w:val="center"/>
          </w:tcPr>
          <w:p w14:paraId="4166FA5F">
            <w:pPr>
              <w:widowControl/>
              <w:spacing w:line="360" w:lineRule="exact"/>
              <w:ind w:left="-60" w:leftChars="-30" w:right="-128" w:rightChars="-64"/>
              <w:jc w:val="center"/>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其他</w:t>
            </w:r>
          </w:p>
        </w:tc>
        <w:tc>
          <w:tcPr>
            <w:tcW w:w="851" w:type="dxa"/>
            <w:vMerge w:val="continue"/>
            <w:noWrap w:val="0"/>
            <w:tcMar>
              <w:left w:w="108" w:type="dxa"/>
              <w:right w:w="108" w:type="dxa"/>
            </w:tcMar>
            <w:vAlign w:val="center"/>
          </w:tcPr>
          <w:p w14:paraId="3E0D1B80">
            <w:pPr>
              <w:jc w:val="center"/>
              <w:rPr>
                <w:rFonts w:ascii="Times New Roman" w:hAnsi="Times New Roman" w:eastAsia="仿宋_GB2312"/>
                <w:color w:val="000000" w:themeColor="text1"/>
                <w:szCs w:val="21"/>
                <w14:textFill>
                  <w14:solidFill>
                    <w14:schemeClr w14:val="tx1"/>
                  </w14:solidFill>
                </w14:textFill>
              </w:rPr>
            </w:pPr>
          </w:p>
        </w:tc>
      </w:tr>
      <w:tr w14:paraId="02C8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0E38F1D5">
            <w:pPr>
              <w:widowControl/>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一、本年新收政府信息公开申请数量</w:t>
            </w:r>
          </w:p>
        </w:tc>
        <w:tc>
          <w:tcPr>
            <w:tcW w:w="829" w:type="dxa"/>
            <w:noWrap w:val="0"/>
            <w:tcMar>
              <w:left w:w="108" w:type="dxa"/>
              <w:right w:w="108" w:type="dxa"/>
            </w:tcMar>
            <w:vAlign w:val="center"/>
          </w:tcPr>
          <w:p w14:paraId="2783DDD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4</w:t>
            </w:r>
          </w:p>
        </w:tc>
        <w:tc>
          <w:tcPr>
            <w:tcW w:w="567" w:type="dxa"/>
            <w:noWrap w:val="0"/>
            <w:tcMar>
              <w:left w:w="108" w:type="dxa"/>
              <w:right w:w="108" w:type="dxa"/>
            </w:tcMar>
            <w:vAlign w:val="center"/>
          </w:tcPr>
          <w:p w14:paraId="5A7F6F4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4CADE3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3D5D209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0F04A8F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9DBE0C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0DBA23A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4</w:t>
            </w:r>
          </w:p>
        </w:tc>
      </w:tr>
      <w:tr w14:paraId="7686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0B54A0B6">
            <w:pPr>
              <w:widowControl/>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二、上年结转政府信息公开申请数量</w:t>
            </w:r>
          </w:p>
        </w:tc>
        <w:tc>
          <w:tcPr>
            <w:tcW w:w="829" w:type="dxa"/>
            <w:noWrap w:val="0"/>
            <w:tcMar>
              <w:left w:w="108" w:type="dxa"/>
              <w:right w:w="108" w:type="dxa"/>
            </w:tcMar>
            <w:vAlign w:val="center"/>
          </w:tcPr>
          <w:p w14:paraId="4219F26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5A99BC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347F69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16A3D37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303E556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7599EB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4140B76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0C7B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14:paraId="79A5578D">
            <w:pPr>
              <w:widowControl/>
              <w:spacing w:after="180"/>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三、本年度办理结果</w:t>
            </w:r>
          </w:p>
        </w:tc>
        <w:tc>
          <w:tcPr>
            <w:tcW w:w="4677" w:type="dxa"/>
            <w:gridSpan w:val="2"/>
            <w:noWrap w:val="0"/>
            <w:tcMar>
              <w:left w:w="108" w:type="dxa"/>
              <w:right w:w="108" w:type="dxa"/>
            </w:tcMar>
            <w:vAlign w:val="center"/>
          </w:tcPr>
          <w:p w14:paraId="4E9417EF">
            <w:pPr>
              <w:widowControl/>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（一）予以公开</w:t>
            </w:r>
          </w:p>
        </w:tc>
        <w:tc>
          <w:tcPr>
            <w:tcW w:w="829" w:type="dxa"/>
            <w:noWrap w:val="0"/>
            <w:tcMar>
              <w:left w:w="108" w:type="dxa"/>
              <w:right w:w="108" w:type="dxa"/>
            </w:tcMar>
            <w:vAlign w:val="center"/>
          </w:tcPr>
          <w:p w14:paraId="5A0FA42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632C17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EAC26E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60082F5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05F9D59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70107F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494BE59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0410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14037371">
            <w:pPr>
              <w:rPr>
                <w:rFonts w:ascii="Times New Roman" w:hAnsi="Times New Roman" w:eastAsia="黑体"/>
                <w:color w:val="000000" w:themeColor="text1"/>
                <w:szCs w:val="21"/>
                <w14:textFill>
                  <w14:solidFill>
                    <w14:schemeClr w14:val="tx1"/>
                  </w14:solidFill>
                </w14:textFill>
              </w:rPr>
            </w:pPr>
          </w:p>
        </w:tc>
        <w:tc>
          <w:tcPr>
            <w:tcW w:w="4677" w:type="dxa"/>
            <w:gridSpan w:val="2"/>
            <w:noWrap w:val="0"/>
            <w:tcMar>
              <w:left w:w="108" w:type="dxa"/>
              <w:right w:w="108" w:type="dxa"/>
            </w:tcMar>
            <w:vAlign w:val="center"/>
          </w:tcPr>
          <w:p w14:paraId="6F216AF1">
            <w:pPr>
              <w:widowControl/>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（二）部分公开</w:t>
            </w:r>
            <w:r>
              <w:rPr>
                <w:rFonts w:hint="eastAsia" w:ascii="Times New Roman" w:hAnsi="Times New Roman" w:eastAsia="仿宋_GB2312" w:cs="Times New Roman"/>
                <w:color w:val="000000" w:themeColor="text1"/>
                <w:kern w:val="0"/>
                <w:szCs w:val="21"/>
                <w14:textFill>
                  <w14:solidFill>
                    <w14:schemeClr w14:val="tx1"/>
                  </w14:solidFill>
                </w14:textFill>
              </w:rPr>
              <w:t>（区分处理的，只计这一情形，不计其他情形）</w:t>
            </w:r>
          </w:p>
        </w:tc>
        <w:tc>
          <w:tcPr>
            <w:tcW w:w="829" w:type="dxa"/>
            <w:noWrap w:val="0"/>
            <w:tcMar>
              <w:left w:w="108" w:type="dxa"/>
              <w:right w:w="108" w:type="dxa"/>
            </w:tcMar>
            <w:vAlign w:val="center"/>
          </w:tcPr>
          <w:p w14:paraId="6508F03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549536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A4FA78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55DCAC2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19B11E4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FCE97A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5CDC6E9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1608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C0686BA">
            <w:pPr>
              <w:rPr>
                <w:rFonts w:ascii="Times New Roman" w:hAnsi="Times New Roman" w:eastAsia="黑体"/>
                <w:color w:val="000000" w:themeColor="text1"/>
                <w:szCs w:val="21"/>
                <w14:textFill>
                  <w14:solidFill>
                    <w14:schemeClr w14:val="tx1"/>
                  </w14:solidFill>
                </w14:textFill>
              </w:rPr>
            </w:pPr>
          </w:p>
        </w:tc>
        <w:tc>
          <w:tcPr>
            <w:tcW w:w="1701" w:type="dxa"/>
            <w:vMerge w:val="restart"/>
            <w:noWrap w:val="0"/>
            <w:tcMar>
              <w:left w:w="108" w:type="dxa"/>
              <w:right w:w="108" w:type="dxa"/>
            </w:tcMar>
            <w:vAlign w:val="center"/>
          </w:tcPr>
          <w:p w14:paraId="16C8ECB0">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（三）不予公开</w:t>
            </w:r>
          </w:p>
        </w:tc>
        <w:tc>
          <w:tcPr>
            <w:tcW w:w="2976" w:type="dxa"/>
            <w:noWrap w:val="0"/>
            <w:tcMar>
              <w:left w:w="108" w:type="dxa"/>
              <w:right w:w="108" w:type="dxa"/>
            </w:tcMar>
            <w:vAlign w:val="center"/>
          </w:tcPr>
          <w:p w14:paraId="0002645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1.属于国家秘密</w:t>
            </w:r>
          </w:p>
        </w:tc>
        <w:tc>
          <w:tcPr>
            <w:tcW w:w="829" w:type="dxa"/>
            <w:noWrap w:val="0"/>
            <w:tcMar>
              <w:left w:w="108" w:type="dxa"/>
              <w:right w:w="108" w:type="dxa"/>
            </w:tcMar>
            <w:vAlign w:val="center"/>
          </w:tcPr>
          <w:p w14:paraId="19F894E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DE6B39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5F61B9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0AC2885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78C223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363D6B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390792F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7A7E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5BB0231">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0930FB07">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518DB56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2.其他法律行政法规禁止公开</w:t>
            </w:r>
          </w:p>
        </w:tc>
        <w:tc>
          <w:tcPr>
            <w:tcW w:w="829" w:type="dxa"/>
            <w:noWrap w:val="0"/>
            <w:tcMar>
              <w:left w:w="108" w:type="dxa"/>
              <w:right w:w="108" w:type="dxa"/>
            </w:tcMar>
            <w:vAlign w:val="center"/>
          </w:tcPr>
          <w:p w14:paraId="3649C5C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EB2884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9F62BD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6F09145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33E831D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713467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5539F26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3B35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4AC6357">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14DED9D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22FAE67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3.危及“三安全一稳定”</w:t>
            </w:r>
          </w:p>
        </w:tc>
        <w:tc>
          <w:tcPr>
            <w:tcW w:w="829" w:type="dxa"/>
            <w:noWrap w:val="0"/>
            <w:tcMar>
              <w:left w:w="108" w:type="dxa"/>
              <w:right w:w="108" w:type="dxa"/>
            </w:tcMar>
            <w:vAlign w:val="center"/>
          </w:tcPr>
          <w:p w14:paraId="26117E9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806A92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DB3EE3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0445142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705EBFD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76B04E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27ECBA6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5B8F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556CAD0">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053905AB">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44326DD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4.保护第三方合法权益</w:t>
            </w:r>
          </w:p>
        </w:tc>
        <w:tc>
          <w:tcPr>
            <w:tcW w:w="829" w:type="dxa"/>
            <w:noWrap w:val="0"/>
            <w:tcMar>
              <w:left w:w="108" w:type="dxa"/>
              <w:right w:w="108" w:type="dxa"/>
            </w:tcMar>
            <w:vAlign w:val="center"/>
          </w:tcPr>
          <w:p w14:paraId="3DB080C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364107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1E96B2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6103634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1FCA4FA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6E7070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66E1E1E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2301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A6FD8CC">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06B347D7">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4E9C944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5.属于三类内部事务信息</w:t>
            </w:r>
          </w:p>
        </w:tc>
        <w:tc>
          <w:tcPr>
            <w:tcW w:w="829" w:type="dxa"/>
            <w:noWrap w:val="0"/>
            <w:tcMar>
              <w:left w:w="108" w:type="dxa"/>
              <w:right w:w="108" w:type="dxa"/>
            </w:tcMar>
            <w:vAlign w:val="center"/>
          </w:tcPr>
          <w:p w14:paraId="3C9D899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2ECEC6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8EA419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0B7EDE6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49FBFC3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230FA6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6DFDED7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135D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63ACB42">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3FD18BA6">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4B134E68">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6.属于四类过程性信息</w:t>
            </w:r>
          </w:p>
        </w:tc>
        <w:tc>
          <w:tcPr>
            <w:tcW w:w="829" w:type="dxa"/>
            <w:noWrap w:val="0"/>
            <w:tcMar>
              <w:left w:w="108" w:type="dxa"/>
              <w:right w:w="108" w:type="dxa"/>
            </w:tcMar>
            <w:vAlign w:val="center"/>
          </w:tcPr>
          <w:p w14:paraId="12B1F45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736D7A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D763C7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433B468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54C2614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5B65DB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3C238B3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6189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ED96157">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691D6549">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47FE36A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7.属于行政执法案卷</w:t>
            </w:r>
          </w:p>
        </w:tc>
        <w:tc>
          <w:tcPr>
            <w:tcW w:w="829" w:type="dxa"/>
            <w:noWrap w:val="0"/>
            <w:tcMar>
              <w:left w:w="108" w:type="dxa"/>
              <w:right w:w="108" w:type="dxa"/>
            </w:tcMar>
            <w:vAlign w:val="center"/>
          </w:tcPr>
          <w:p w14:paraId="74DCC10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B83F4C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DFD1D8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008183A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26DDE14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283D94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1E8C034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6AB4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2927314">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683FB5EF">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1688601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8.属于行政查询事项</w:t>
            </w:r>
          </w:p>
        </w:tc>
        <w:tc>
          <w:tcPr>
            <w:tcW w:w="829" w:type="dxa"/>
            <w:noWrap w:val="0"/>
            <w:tcMar>
              <w:left w:w="108" w:type="dxa"/>
              <w:right w:w="108" w:type="dxa"/>
            </w:tcMar>
            <w:vAlign w:val="center"/>
          </w:tcPr>
          <w:p w14:paraId="4377702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740B87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A3C2A6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7EBBB01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789B132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D9B73F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327C13C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430B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8D02D94">
            <w:pPr>
              <w:rPr>
                <w:rFonts w:ascii="Times New Roman" w:hAnsi="Times New Roman" w:eastAsia="黑体"/>
                <w:color w:val="000000" w:themeColor="text1"/>
                <w:szCs w:val="21"/>
                <w14:textFill>
                  <w14:solidFill>
                    <w14:schemeClr w14:val="tx1"/>
                  </w14:solidFill>
                </w14:textFill>
              </w:rPr>
            </w:pPr>
          </w:p>
        </w:tc>
        <w:tc>
          <w:tcPr>
            <w:tcW w:w="1701" w:type="dxa"/>
            <w:vMerge w:val="restart"/>
            <w:noWrap w:val="0"/>
            <w:tcMar>
              <w:left w:w="108" w:type="dxa"/>
              <w:right w:w="108" w:type="dxa"/>
            </w:tcMar>
            <w:vAlign w:val="center"/>
          </w:tcPr>
          <w:p w14:paraId="7B5DC8A4">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（四）无法提供</w:t>
            </w:r>
          </w:p>
        </w:tc>
        <w:tc>
          <w:tcPr>
            <w:tcW w:w="2976" w:type="dxa"/>
            <w:noWrap w:val="0"/>
            <w:tcMar>
              <w:left w:w="108" w:type="dxa"/>
              <w:right w:w="108" w:type="dxa"/>
            </w:tcMar>
            <w:vAlign w:val="center"/>
          </w:tcPr>
          <w:p w14:paraId="55001F0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1.本机关不掌握相关政府信息</w:t>
            </w:r>
          </w:p>
        </w:tc>
        <w:tc>
          <w:tcPr>
            <w:tcW w:w="829" w:type="dxa"/>
            <w:noWrap w:val="0"/>
            <w:tcMar>
              <w:left w:w="108" w:type="dxa"/>
              <w:right w:w="108" w:type="dxa"/>
            </w:tcMar>
            <w:vAlign w:val="center"/>
          </w:tcPr>
          <w:p w14:paraId="2030368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4</w:t>
            </w:r>
          </w:p>
        </w:tc>
        <w:tc>
          <w:tcPr>
            <w:tcW w:w="567" w:type="dxa"/>
            <w:noWrap w:val="0"/>
            <w:tcMar>
              <w:left w:w="108" w:type="dxa"/>
              <w:right w:w="108" w:type="dxa"/>
            </w:tcMar>
            <w:vAlign w:val="center"/>
          </w:tcPr>
          <w:p w14:paraId="0AF2606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0756A1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42AD302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32AC7B5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978EDB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2311B22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4</w:t>
            </w:r>
          </w:p>
        </w:tc>
      </w:tr>
      <w:tr w14:paraId="2713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20A7B09">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66E5DE7B">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4DC3F98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2.没有现成信息需要另行制作</w:t>
            </w:r>
          </w:p>
        </w:tc>
        <w:tc>
          <w:tcPr>
            <w:tcW w:w="829" w:type="dxa"/>
            <w:noWrap w:val="0"/>
            <w:tcMar>
              <w:left w:w="108" w:type="dxa"/>
              <w:right w:w="108" w:type="dxa"/>
            </w:tcMar>
            <w:vAlign w:val="center"/>
          </w:tcPr>
          <w:p w14:paraId="0690950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41A9AF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A4B16E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098B6E2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3A16AEE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6BB945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63EC0B2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194E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BE35C7B">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79FFD280">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4894470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3.补正后申请内容仍不明确</w:t>
            </w:r>
          </w:p>
        </w:tc>
        <w:tc>
          <w:tcPr>
            <w:tcW w:w="829" w:type="dxa"/>
            <w:noWrap w:val="0"/>
            <w:tcMar>
              <w:left w:w="108" w:type="dxa"/>
              <w:right w:w="108" w:type="dxa"/>
            </w:tcMar>
            <w:vAlign w:val="center"/>
          </w:tcPr>
          <w:p w14:paraId="0A405A6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0E5334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B78421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267D852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6F9CC27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64732F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46B2A39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4BB8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AAF998A">
            <w:pPr>
              <w:rPr>
                <w:rFonts w:ascii="Times New Roman" w:hAnsi="Times New Roman" w:eastAsia="黑体"/>
                <w:color w:val="000000" w:themeColor="text1"/>
                <w:szCs w:val="21"/>
                <w14:textFill>
                  <w14:solidFill>
                    <w14:schemeClr w14:val="tx1"/>
                  </w14:solidFill>
                </w14:textFill>
              </w:rPr>
            </w:pPr>
          </w:p>
        </w:tc>
        <w:tc>
          <w:tcPr>
            <w:tcW w:w="1701" w:type="dxa"/>
            <w:vMerge w:val="restart"/>
            <w:noWrap w:val="0"/>
            <w:tcMar>
              <w:left w:w="108" w:type="dxa"/>
              <w:right w:w="108" w:type="dxa"/>
            </w:tcMar>
            <w:vAlign w:val="center"/>
          </w:tcPr>
          <w:p w14:paraId="1CD7E2E4">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（五）不予处理</w:t>
            </w:r>
          </w:p>
        </w:tc>
        <w:tc>
          <w:tcPr>
            <w:tcW w:w="2976" w:type="dxa"/>
            <w:noWrap w:val="0"/>
            <w:tcMar>
              <w:left w:w="108" w:type="dxa"/>
              <w:right w:w="108" w:type="dxa"/>
            </w:tcMar>
            <w:vAlign w:val="center"/>
          </w:tcPr>
          <w:p w14:paraId="50803DB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1.信访举报投诉类申请</w:t>
            </w:r>
          </w:p>
        </w:tc>
        <w:tc>
          <w:tcPr>
            <w:tcW w:w="829" w:type="dxa"/>
            <w:noWrap w:val="0"/>
            <w:tcMar>
              <w:left w:w="108" w:type="dxa"/>
              <w:right w:w="108" w:type="dxa"/>
            </w:tcMar>
            <w:vAlign w:val="center"/>
          </w:tcPr>
          <w:p w14:paraId="0ECB6C7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2C32F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DCFF9B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6E1F8C1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1B75093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87DEAB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61F14DD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63BA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7A1D419">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5B694CA8">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794E609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2.重复申请</w:t>
            </w:r>
          </w:p>
        </w:tc>
        <w:tc>
          <w:tcPr>
            <w:tcW w:w="829" w:type="dxa"/>
            <w:noWrap w:val="0"/>
            <w:tcMar>
              <w:left w:w="108" w:type="dxa"/>
              <w:right w:w="108" w:type="dxa"/>
            </w:tcMar>
            <w:vAlign w:val="center"/>
          </w:tcPr>
          <w:p w14:paraId="112B9F6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730D10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8A07DD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46A58DB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7551C99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12E8ED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7E6A70C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2B39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31B078B">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14C975B8">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0AFC7C3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3.要求提供公开出版物</w:t>
            </w:r>
          </w:p>
        </w:tc>
        <w:tc>
          <w:tcPr>
            <w:tcW w:w="829" w:type="dxa"/>
            <w:noWrap w:val="0"/>
            <w:tcMar>
              <w:left w:w="108" w:type="dxa"/>
              <w:right w:w="108" w:type="dxa"/>
            </w:tcMar>
            <w:vAlign w:val="center"/>
          </w:tcPr>
          <w:p w14:paraId="6EA9AF0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65E79E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D95E2D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724A434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70819D1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67459C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4A20C0D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7A60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noWrap w:val="0"/>
            <w:tcMar>
              <w:left w:w="108" w:type="dxa"/>
              <w:right w:w="108" w:type="dxa"/>
            </w:tcMar>
            <w:vAlign w:val="center"/>
          </w:tcPr>
          <w:p w14:paraId="6814499C">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21590349">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4DF0B4F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4.无正当理由大量反复申请</w:t>
            </w:r>
          </w:p>
        </w:tc>
        <w:tc>
          <w:tcPr>
            <w:tcW w:w="829" w:type="dxa"/>
            <w:noWrap w:val="0"/>
            <w:tcMar>
              <w:left w:w="108" w:type="dxa"/>
              <w:right w:w="108" w:type="dxa"/>
            </w:tcMar>
            <w:vAlign w:val="center"/>
          </w:tcPr>
          <w:p w14:paraId="26ACB69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602E42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2B17D1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26B1BA1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2A36336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B22372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70CABD6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4B3F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noWrap w:val="0"/>
            <w:tcMar>
              <w:left w:w="108" w:type="dxa"/>
              <w:right w:w="108" w:type="dxa"/>
            </w:tcMar>
            <w:vAlign w:val="center"/>
          </w:tcPr>
          <w:p w14:paraId="408B766C">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1D98BE47">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18CCE71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5.要求行政机关确认或重新出具已获取信息</w:t>
            </w:r>
          </w:p>
        </w:tc>
        <w:tc>
          <w:tcPr>
            <w:tcW w:w="829" w:type="dxa"/>
            <w:noWrap w:val="0"/>
            <w:tcMar>
              <w:left w:w="108" w:type="dxa"/>
              <w:right w:w="108" w:type="dxa"/>
            </w:tcMar>
            <w:vAlign w:val="center"/>
          </w:tcPr>
          <w:p w14:paraId="559CA1F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179B3C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2267FC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1096AF9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1253832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B93AC2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3B36C45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29EB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1E7B8558">
            <w:pPr>
              <w:rPr>
                <w:rFonts w:ascii="Times New Roman" w:hAnsi="Times New Roman" w:eastAsia="黑体"/>
                <w:color w:val="000000" w:themeColor="text1"/>
                <w:szCs w:val="21"/>
                <w14:textFill>
                  <w14:solidFill>
                    <w14:schemeClr w14:val="tx1"/>
                  </w14:solidFill>
                </w14:textFill>
              </w:rPr>
            </w:pPr>
          </w:p>
        </w:tc>
        <w:tc>
          <w:tcPr>
            <w:tcW w:w="1701" w:type="dxa"/>
            <w:vMerge w:val="restart"/>
            <w:noWrap w:val="0"/>
            <w:tcMar>
              <w:left w:w="108" w:type="dxa"/>
              <w:right w:w="108" w:type="dxa"/>
            </w:tcMar>
            <w:vAlign w:val="center"/>
          </w:tcPr>
          <w:p w14:paraId="49C42FF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kern w:val="0"/>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（六）其他处理</w:t>
            </w:r>
          </w:p>
        </w:tc>
        <w:tc>
          <w:tcPr>
            <w:tcW w:w="2976" w:type="dxa"/>
            <w:noWrap w:val="0"/>
            <w:vAlign w:val="center"/>
          </w:tcPr>
          <w:p w14:paraId="56760CD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1.申请人无正当理由逾期不补正、行政机关不再处理其政府信息公开申请</w:t>
            </w:r>
          </w:p>
        </w:tc>
        <w:tc>
          <w:tcPr>
            <w:tcW w:w="829" w:type="dxa"/>
            <w:noWrap w:val="0"/>
            <w:tcMar>
              <w:left w:w="108" w:type="dxa"/>
              <w:right w:w="108" w:type="dxa"/>
            </w:tcMar>
            <w:vAlign w:val="center"/>
          </w:tcPr>
          <w:p w14:paraId="7FD2F13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10CF48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4419ED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657A3BC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4F8790D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6E62D1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25A48B2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228C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6546A29B">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1ADB1C19">
            <w:pPr>
              <w:widowControl/>
              <w:spacing w:line="300" w:lineRule="exact"/>
              <w:rPr>
                <w:rFonts w:ascii="Times New Roman" w:hAnsi="Times New Roman" w:eastAsia="黑体"/>
                <w:color w:val="000000" w:themeColor="text1"/>
                <w:kern w:val="0"/>
                <w:szCs w:val="21"/>
                <w14:textFill>
                  <w14:solidFill>
                    <w14:schemeClr w14:val="tx1"/>
                  </w14:solidFill>
                </w14:textFill>
              </w:rPr>
            </w:pPr>
          </w:p>
        </w:tc>
        <w:tc>
          <w:tcPr>
            <w:tcW w:w="2976" w:type="dxa"/>
            <w:noWrap w:val="0"/>
            <w:vAlign w:val="center"/>
          </w:tcPr>
          <w:p w14:paraId="3686746D">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2.申请人逾期未按收费通知要求缴纳费用、行政机关不再处理其政府信息公开申请</w:t>
            </w:r>
          </w:p>
        </w:tc>
        <w:tc>
          <w:tcPr>
            <w:tcW w:w="829" w:type="dxa"/>
            <w:noWrap w:val="0"/>
            <w:tcMar>
              <w:left w:w="108" w:type="dxa"/>
              <w:right w:w="108" w:type="dxa"/>
            </w:tcMar>
            <w:vAlign w:val="center"/>
          </w:tcPr>
          <w:p w14:paraId="4396C28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068FCD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CAB5C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3F3CE9B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0CE2659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F998B1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5A43B61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321D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0C87A5F3">
            <w:pPr>
              <w:rPr>
                <w:rFonts w:ascii="Times New Roman" w:hAnsi="Times New Roman"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572992DA">
            <w:pPr>
              <w:widowControl/>
              <w:spacing w:line="300" w:lineRule="exact"/>
              <w:rPr>
                <w:rFonts w:ascii="Times New Roman" w:hAnsi="Times New Roman" w:eastAsia="黑体"/>
                <w:color w:val="000000" w:themeColor="text1"/>
                <w:kern w:val="0"/>
                <w:szCs w:val="21"/>
                <w14:textFill>
                  <w14:solidFill>
                    <w14:schemeClr w14:val="tx1"/>
                  </w14:solidFill>
                </w14:textFill>
              </w:rPr>
            </w:pPr>
          </w:p>
        </w:tc>
        <w:tc>
          <w:tcPr>
            <w:tcW w:w="2976" w:type="dxa"/>
            <w:noWrap w:val="0"/>
            <w:vAlign w:val="center"/>
          </w:tcPr>
          <w:p w14:paraId="58F8743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3.其他</w:t>
            </w:r>
          </w:p>
        </w:tc>
        <w:tc>
          <w:tcPr>
            <w:tcW w:w="829" w:type="dxa"/>
            <w:noWrap w:val="0"/>
            <w:tcMar>
              <w:left w:w="108" w:type="dxa"/>
              <w:right w:w="108" w:type="dxa"/>
            </w:tcMar>
            <w:vAlign w:val="center"/>
          </w:tcPr>
          <w:p w14:paraId="494B2EA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1157DF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7BCA60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4FD5FCF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22C374E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8D4967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1656D55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41DE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6B8A291F">
            <w:pPr>
              <w:rPr>
                <w:rFonts w:ascii="Times New Roman" w:hAnsi="Times New Roman" w:eastAsia="黑体"/>
                <w:color w:val="000000" w:themeColor="text1"/>
                <w:szCs w:val="21"/>
                <w14:textFill>
                  <w14:solidFill>
                    <w14:schemeClr w14:val="tx1"/>
                  </w14:solidFill>
                </w14:textFill>
              </w:rPr>
            </w:pPr>
          </w:p>
        </w:tc>
        <w:tc>
          <w:tcPr>
            <w:tcW w:w="4677" w:type="dxa"/>
            <w:gridSpan w:val="2"/>
            <w:noWrap w:val="0"/>
            <w:tcMar>
              <w:left w:w="108" w:type="dxa"/>
              <w:right w:w="108" w:type="dxa"/>
            </w:tcMar>
            <w:vAlign w:val="center"/>
          </w:tcPr>
          <w:p w14:paraId="48A08801">
            <w:pPr>
              <w:widowControl/>
              <w:spacing w:line="300" w:lineRule="exact"/>
              <w:rPr>
                <w:rFonts w:ascii="Times New Roman" w:hAnsi="Times New Roman" w:eastAsia="黑体"/>
                <w:color w:val="000000" w:themeColor="text1"/>
                <w:kern w:val="0"/>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（七）总计</w:t>
            </w:r>
          </w:p>
        </w:tc>
        <w:tc>
          <w:tcPr>
            <w:tcW w:w="829" w:type="dxa"/>
            <w:noWrap w:val="0"/>
            <w:tcMar>
              <w:left w:w="108" w:type="dxa"/>
              <w:right w:w="108" w:type="dxa"/>
            </w:tcMar>
            <w:vAlign w:val="center"/>
          </w:tcPr>
          <w:p w14:paraId="491B8EC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4</w:t>
            </w:r>
          </w:p>
        </w:tc>
        <w:tc>
          <w:tcPr>
            <w:tcW w:w="567" w:type="dxa"/>
            <w:noWrap w:val="0"/>
            <w:tcMar>
              <w:left w:w="108" w:type="dxa"/>
              <w:right w:w="108" w:type="dxa"/>
            </w:tcMar>
            <w:vAlign w:val="center"/>
          </w:tcPr>
          <w:p w14:paraId="5E5D8A0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6050D6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19A87A5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27DC845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A14616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7763F19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4</w:t>
            </w:r>
          </w:p>
        </w:tc>
      </w:tr>
      <w:tr w14:paraId="74CB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14:paraId="4D485311">
            <w:pPr>
              <w:widowControl/>
              <w:spacing w:line="300" w:lineRule="exact"/>
              <w:rPr>
                <w:rFonts w:ascii="Times New Roman" w:hAnsi="Times New Roman" w:eastAsia="黑体"/>
                <w:color w:val="000000" w:themeColor="text1"/>
                <w:kern w:val="0"/>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四、结转下年度继续办理</w:t>
            </w:r>
          </w:p>
        </w:tc>
        <w:tc>
          <w:tcPr>
            <w:tcW w:w="829" w:type="dxa"/>
            <w:noWrap w:val="0"/>
            <w:tcMar>
              <w:left w:w="108" w:type="dxa"/>
              <w:right w:w="108" w:type="dxa"/>
            </w:tcMar>
            <w:vAlign w:val="center"/>
          </w:tcPr>
          <w:p w14:paraId="0C6FA90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5C5B64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D85078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772BEF8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2A3DFE1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A80AF3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3F5DB5D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bl>
    <w:p w14:paraId="2752D0B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eastAsia="方正黑体简体"/>
          <w:b/>
          <w:color w:val="000000" w:themeColor="text1"/>
          <w:sz w:val="32"/>
          <w:szCs w:val="32"/>
          <w14:textFill>
            <w14:solidFill>
              <w14:schemeClr w14:val="tx1"/>
            </w14:solidFill>
          </w14:textFill>
        </w:rPr>
      </w:pPr>
      <w:r>
        <w:rPr>
          <w:rFonts w:eastAsia="方正黑体简体"/>
          <w:b/>
          <w:color w:val="000000" w:themeColor="text1"/>
          <w:sz w:val="32"/>
          <w:szCs w:val="32"/>
          <w14:textFill>
            <w14:solidFill>
              <w14:schemeClr w14:val="tx1"/>
            </w14:solidFill>
          </w14:textFill>
        </w:rPr>
        <w:t>四、政府信息公开行政复议、行政诉讼情况</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60E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074" w:type="dxa"/>
            <w:gridSpan w:val="5"/>
            <w:noWrap w:val="0"/>
            <w:tcMar>
              <w:left w:w="108" w:type="dxa"/>
              <w:right w:w="108" w:type="dxa"/>
            </w:tcMar>
            <w:vAlign w:val="center"/>
          </w:tcPr>
          <w:p w14:paraId="3CCA42C2">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行政复议</w:t>
            </w:r>
          </w:p>
        </w:tc>
        <w:tc>
          <w:tcPr>
            <w:tcW w:w="5997" w:type="dxa"/>
            <w:gridSpan w:val="10"/>
            <w:noWrap w:val="0"/>
            <w:tcMar>
              <w:left w:w="108" w:type="dxa"/>
              <w:right w:w="108" w:type="dxa"/>
            </w:tcMar>
            <w:vAlign w:val="center"/>
          </w:tcPr>
          <w:p w14:paraId="5AE5E65C">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行政诉讼</w:t>
            </w:r>
          </w:p>
        </w:tc>
      </w:tr>
      <w:tr w14:paraId="3060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noWrap w:val="0"/>
            <w:tcMar>
              <w:left w:w="108" w:type="dxa"/>
              <w:right w:w="108" w:type="dxa"/>
            </w:tcMar>
            <w:vAlign w:val="center"/>
          </w:tcPr>
          <w:p w14:paraId="52B8A870">
            <w:pPr>
              <w:widowControl/>
              <w:ind w:left="-142" w:leftChars="-71" w:right="-162" w:rightChars="-81"/>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p w14:paraId="6732E980">
            <w:pPr>
              <w:widowControl/>
              <w:ind w:left="-142" w:leftChars="-71" w:right="-162" w:rightChars="-8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维持</w:t>
            </w:r>
          </w:p>
        </w:tc>
        <w:tc>
          <w:tcPr>
            <w:tcW w:w="604" w:type="dxa"/>
            <w:vMerge w:val="restart"/>
            <w:noWrap w:val="0"/>
            <w:tcMar>
              <w:left w:w="108" w:type="dxa"/>
              <w:right w:w="108" w:type="dxa"/>
            </w:tcMar>
            <w:vAlign w:val="center"/>
          </w:tcPr>
          <w:p w14:paraId="09C337D4">
            <w:pPr>
              <w:widowControl/>
              <w:ind w:left="-41" w:leftChars="-21" w:right="-126" w:rightChars="-63" w:hanging="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结果纠正</w:t>
            </w:r>
          </w:p>
        </w:tc>
        <w:tc>
          <w:tcPr>
            <w:tcW w:w="604" w:type="dxa"/>
            <w:vMerge w:val="restart"/>
            <w:noWrap w:val="0"/>
            <w:tcMar>
              <w:left w:w="108" w:type="dxa"/>
              <w:right w:w="108" w:type="dxa"/>
            </w:tcMar>
            <w:vAlign w:val="center"/>
          </w:tcPr>
          <w:p w14:paraId="70B9EE0E">
            <w:pPr>
              <w:widowControl/>
              <w:ind w:left="-78" w:leftChars="-39" w:right="-92" w:rightChars="-46"/>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其他结果</w:t>
            </w:r>
          </w:p>
        </w:tc>
        <w:tc>
          <w:tcPr>
            <w:tcW w:w="604" w:type="dxa"/>
            <w:vMerge w:val="restart"/>
            <w:noWrap w:val="0"/>
            <w:tcMar>
              <w:left w:w="108" w:type="dxa"/>
              <w:right w:w="108" w:type="dxa"/>
            </w:tcMar>
            <w:vAlign w:val="center"/>
          </w:tcPr>
          <w:p w14:paraId="3A42372D">
            <w:pPr>
              <w:widowControl/>
              <w:ind w:left="-112" w:leftChars="-56" w:right="-112" w:rightChars="-56"/>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尚未</w:t>
            </w:r>
          </w:p>
          <w:p w14:paraId="706ED627">
            <w:pPr>
              <w:widowControl/>
              <w:ind w:left="-112" w:leftChars="-56" w:right="-112" w:rightChars="-56"/>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审结</w:t>
            </w:r>
          </w:p>
        </w:tc>
        <w:tc>
          <w:tcPr>
            <w:tcW w:w="658" w:type="dxa"/>
            <w:vMerge w:val="restart"/>
            <w:noWrap w:val="0"/>
            <w:tcMar>
              <w:left w:w="108" w:type="dxa"/>
              <w:right w:w="108" w:type="dxa"/>
            </w:tcMar>
            <w:vAlign w:val="center"/>
          </w:tcPr>
          <w:p w14:paraId="1A413236">
            <w:pPr>
              <w:widowControl/>
              <w:spacing w:line="320" w:lineRule="exact"/>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总</w:t>
            </w:r>
          </w:p>
          <w:p w14:paraId="1B062C71">
            <w:pPr>
              <w:widowControl/>
              <w:spacing w:line="320" w:lineRule="exact"/>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计</w:t>
            </w:r>
          </w:p>
        </w:tc>
        <w:tc>
          <w:tcPr>
            <w:tcW w:w="2970" w:type="dxa"/>
            <w:gridSpan w:val="5"/>
            <w:noWrap w:val="0"/>
            <w:tcMar>
              <w:left w:w="108" w:type="dxa"/>
              <w:right w:w="108" w:type="dxa"/>
            </w:tcMar>
            <w:vAlign w:val="center"/>
          </w:tcPr>
          <w:p w14:paraId="2C2B7504">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未经复议直接起诉</w:t>
            </w:r>
          </w:p>
        </w:tc>
        <w:tc>
          <w:tcPr>
            <w:tcW w:w="3027" w:type="dxa"/>
            <w:gridSpan w:val="5"/>
            <w:noWrap w:val="0"/>
            <w:tcMar>
              <w:left w:w="108" w:type="dxa"/>
              <w:right w:w="108" w:type="dxa"/>
            </w:tcMar>
            <w:vAlign w:val="center"/>
          </w:tcPr>
          <w:p w14:paraId="515E2B1B">
            <w:pPr>
              <w:widowControl/>
              <w:jc w:val="center"/>
              <w:rPr>
                <w:rFonts w:ascii="黑体" w:hAnsi="黑体" w:eastAsia="黑体"/>
                <w:color w:val="000000" w:themeColor="text1"/>
                <w14:textFill>
                  <w14:solidFill>
                    <w14:schemeClr w14:val="tx1"/>
                  </w14:solidFill>
                </w14:textFill>
              </w:rPr>
            </w:pPr>
            <w:bookmarkStart w:id="0" w:name="_Hlk67039688"/>
            <w:r>
              <w:rPr>
                <w:rFonts w:ascii="黑体" w:hAnsi="黑体" w:eastAsia="黑体"/>
                <w:color w:val="000000" w:themeColor="text1"/>
                <w:kern w:val="0"/>
                <w:sz w:val="20"/>
                <w:szCs w:val="20"/>
                <w14:textFill>
                  <w14:solidFill>
                    <w14:schemeClr w14:val="tx1"/>
                  </w14:solidFill>
                </w14:textFill>
              </w:rPr>
              <w:t>复议后起诉</w:t>
            </w:r>
            <w:bookmarkEnd w:id="0"/>
          </w:p>
        </w:tc>
      </w:tr>
      <w:tr w14:paraId="370E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noWrap w:val="0"/>
            <w:tcMar>
              <w:left w:w="108" w:type="dxa"/>
              <w:right w:w="108" w:type="dxa"/>
            </w:tcMar>
            <w:vAlign w:val="center"/>
          </w:tcPr>
          <w:p w14:paraId="31496F8B">
            <w:pPr>
              <w:rPr>
                <w:rFonts w:ascii="黑体" w:hAnsi="黑体" w:eastAsia="黑体"/>
                <w:color w:val="000000" w:themeColor="text1"/>
                <w:sz w:val="24"/>
                <w14:textFill>
                  <w14:solidFill>
                    <w14:schemeClr w14:val="tx1"/>
                  </w14:solidFill>
                </w14:textFill>
              </w:rPr>
            </w:pPr>
          </w:p>
        </w:tc>
        <w:tc>
          <w:tcPr>
            <w:tcW w:w="604" w:type="dxa"/>
            <w:vMerge w:val="continue"/>
            <w:noWrap w:val="0"/>
            <w:tcMar>
              <w:left w:w="108" w:type="dxa"/>
              <w:right w:w="108" w:type="dxa"/>
            </w:tcMar>
            <w:vAlign w:val="center"/>
          </w:tcPr>
          <w:p w14:paraId="6F9C9EDB">
            <w:pPr>
              <w:rPr>
                <w:rFonts w:ascii="黑体" w:hAnsi="黑体" w:eastAsia="黑体"/>
                <w:color w:val="000000" w:themeColor="text1"/>
                <w:sz w:val="24"/>
                <w14:textFill>
                  <w14:solidFill>
                    <w14:schemeClr w14:val="tx1"/>
                  </w14:solidFill>
                </w14:textFill>
              </w:rPr>
            </w:pPr>
          </w:p>
        </w:tc>
        <w:tc>
          <w:tcPr>
            <w:tcW w:w="604" w:type="dxa"/>
            <w:vMerge w:val="continue"/>
            <w:noWrap w:val="0"/>
            <w:tcMar>
              <w:left w:w="108" w:type="dxa"/>
              <w:right w:w="108" w:type="dxa"/>
            </w:tcMar>
            <w:vAlign w:val="center"/>
          </w:tcPr>
          <w:p w14:paraId="1DAA204E">
            <w:pPr>
              <w:rPr>
                <w:rFonts w:ascii="黑体" w:hAnsi="黑体" w:eastAsia="黑体"/>
                <w:color w:val="000000" w:themeColor="text1"/>
                <w:sz w:val="24"/>
                <w14:textFill>
                  <w14:solidFill>
                    <w14:schemeClr w14:val="tx1"/>
                  </w14:solidFill>
                </w14:textFill>
              </w:rPr>
            </w:pPr>
          </w:p>
        </w:tc>
        <w:tc>
          <w:tcPr>
            <w:tcW w:w="604" w:type="dxa"/>
            <w:vMerge w:val="continue"/>
            <w:noWrap w:val="0"/>
            <w:tcMar>
              <w:left w:w="108" w:type="dxa"/>
              <w:right w:w="108" w:type="dxa"/>
            </w:tcMar>
            <w:vAlign w:val="center"/>
          </w:tcPr>
          <w:p w14:paraId="78F0C088">
            <w:pPr>
              <w:rPr>
                <w:rFonts w:ascii="黑体" w:hAnsi="黑体" w:eastAsia="黑体"/>
                <w:color w:val="000000" w:themeColor="text1"/>
                <w:sz w:val="24"/>
                <w14:textFill>
                  <w14:solidFill>
                    <w14:schemeClr w14:val="tx1"/>
                  </w14:solidFill>
                </w14:textFill>
              </w:rPr>
            </w:pPr>
          </w:p>
        </w:tc>
        <w:tc>
          <w:tcPr>
            <w:tcW w:w="658" w:type="dxa"/>
            <w:vMerge w:val="continue"/>
            <w:noWrap w:val="0"/>
            <w:tcMar>
              <w:left w:w="108" w:type="dxa"/>
              <w:right w:w="108" w:type="dxa"/>
            </w:tcMar>
            <w:vAlign w:val="center"/>
          </w:tcPr>
          <w:p w14:paraId="216B9F6E">
            <w:pPr>
              <w:rPr>
                <w:rFonts w:ascii="黑体" w:hAnsi="黑体" w:eastAsia="黑体"/>
                <w:color w:val="000000" w:themeColor="text1"/>
                <w:sz w:val="24"/>
                <w14:textFill>
                  <w14:solidFill>
                    <w14:schemeClr w14:val="tx1"/>
                  </w14:solidFill>
                </w14:textFill>
              </w:rPr>
            </w:pPr>
          </w:p>
        </w:tc>
        <w:tc>
          <w:tcPr>
            <w:tcW w:w="550" w:type="dxa"/>
            <w:noWrap w:val="0"/>
            <w:tcMar>
              <w:left w:w="108" w:type="dxa"/>
              <w:right w:w="108" w:type="dxa"/>
            </w:tcMar>
            <w:vAlign w:val="center"/>
          </w:tcPr>
          <w:p w14:paraId="2A79E2EB">
            <w:pPr>
              <w:widowControl/>
              <w:ind w:left="-100" w:leftChars="-50" w:right="-120" w:rightChars="-6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结果维持</w:t>
            </w:r>
          </w:p>
        </w:tc>
        <w:tc>
          <w:tcPr>
            <w:tcW w:w="605" w:type="dxa"/>
            <w:noWrap w:val="0"/>
            <w:tcMar>
              <w:left w:w="108" w:type="dxa"/>
              <w:right w:w="108" w:type="dxa"/>
            </w:tcMar>
            <w:vAlign w:val="center"/>
          </w:tcPr>
          <w:p w14:paraId="6B1D543E">
            <w:pPr>
              <w:widowControl/>
              <w:ind w:left="-82" w:leftChars="-41" w:right="-84" w:rightChars="-42"/>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结果纠正</w:t>
            </w:r>
          </w:p>
        </w:tc>
        <w:tc>
          <w:tcPr>
            <w:tcW w:w="605" w:type="dxa"/>
            <w:noWrap w:val="0"/>
            <w:tcMar>
              <w:left w:w="108" w:type="dxa"/>
              <w:right w:w="108" w:type="dxa"/>
            </w:tcMar>
            <w:vAlign w:val="center"/>
          </w:tcPr>
          <w:p w14:paraId="0671EE74">
            <w:pPr>
              <w:widowControl/>
              <w:ind w:left="-120" w:leftChars="-60" w:right="-130" w:rightChars="-65"/>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其他</w:t>
            </w:r>
          </w:p>
          <w:p w14:paraId="72ED5617">
            <w:pPr>
              <w:widowControl/>
              <w:ind w:left="-120" w:leftChars="-60" w:right="-130" w:rightChars="-65"/>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tc>
        <w:tc>
          <w:tcPr>
            <w:tcW w:w="605" w:type="dxa"/>
            <w:noWrap w:val="0"/>
            <w:tcMar>
              <w:left w:w="108" w:type="dxa"/>
              <w:right w:w="108" w:type="dxa"/>
            </w:tcMar>
            <w:vAlign w:val="center"/>
          </w:tcPr>
          <w:p w14:paraId="21CCEB18">
            <w:pPr>
              <w:widowControl/>
              <w:ind w:left="-156" w:leftChars="-78" w:right="-146" w:rightChars="-73"/>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尚未</w:t>
            </w:r>
          </w:p>
          <w:p w14:paraId="7CFEB3DA">
            <w:pPr>
              <w:widowControl/>
              <w:ind w:left="-156" w:leftChars="-78" w:right="-146" w:rightChars="-73"/>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审结</w:t>
            </w:r>
          </w:p>
        </w:tc>
        <w:tc>
          <w:tcPr>
            <w:tcW w:w="605" w:type="dxa"/>
            <w:noWrap w:val="0"/>
            <w:tcMar>
              <w:left w:w="108" w:type="dxa"/>
              <w:right w:w="108" w:type="dxa"/>
            </w:tcMar>
            <w:vAlign w:val="center"/>
          </w:tcPr>
          <w:p w14:paraId="450ED75C">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总计</w:t>
            </w:r>
          </w:p>
        </w:tc>
        <w:tc>
          <w:tcPr>
            <w:tcW w:w="605" w:type="dxa"/>
            <w:noWrap w:val="0"/>
            <w:tcMar>
              <w:left w:w="108" w:type="dxa"/>
              <w:right w:w="108" w:type="dxa"/>
            </w:tcMar>
            <w:vAlign w:val="center"/>
          </w:tcPr>
          <w:p w14:paraId="41CB36F3">
            <w:pPr>
              <w:widowControl/>
              <w:ind w:left="-94" w:leftChars="-47" w:right="-74" w:rightChars="-37"/>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结果维持</w:t>
            </w:r>
          </w:p>
        </w:tc>
        <w:tc>
          <w:tcPr>
            <w:tcW w:w="605" w:type="dxa"/>
            <w:noWrap w:val="0"/>
            <w:tcMar>
              <w:left w:w="108" w:type="dxa"/>
              <w:right w:w="108" w:type="dxa"/>
            </w:tcMar>
            <w:vAlign w:val="center"/>
          </w:tcPr>
          <w:p w14:paraId="528BE499">
            <w:pPr>
              <w:widowControl/>
              <w:ind w:left="-130" w:leftChars="-65" w:right="-118" w:rightChars="-59"/>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p w14:paraId="252BFC97">
            <w:pPr>
              <w:widowControl/>
              <w:ind w:left="-130" w:leftChars="-65" w:right="-118" w:rightChars="-59"/>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纠正</w:t>
            </w:r>
          </w:p>
        </w:tc>
        <w:tc>
          <w:tcPr>
            <w:tcW w:w="605" w:type="dxa"/>
            <w:noWrap w:val="0"/>
            <w:tcMar>
              <w:left w:w="108" w:type="dxa"/>
              <w:right w:w="108" w:type="dxa"/>
            </w:tcMar>
            <w:vAlign w:val="center"/>
          </w:tcPr>
          <w:p w14:paraId="436AAC5B">
            <w:pPr>
              <w:widowControl/>
              <w:ind w:left="-165" w:leftChars="-83" w:right="-128" w:rightChars="-64" w:hanging="1"/>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其他</w:t>
            </w:r>
          </w:p>
          <w:p w14:paraId="79691616">
            <w:pPr>
              <w:widowControl/>
              <w:ind w:left="-165" w:leftChars="-83" w:right="-128" w:rightChars="-64" w:hanging="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tc>
        <w:tc>
          <w:tcPr>
            <w:tcW w:w="606" w:type="dxa"/>
            <w:noWrap w:val="0"/>
            <w:tcMar>
              <w:left w:w="108" w:type="dxa"/>
              <w:right w:w="108" w:type="dxa"/>
            </w:tcMar>
            <w:vAlign w:val="center"/>
          </w:tcPr>
          <w:p w14:paraId="75BABCED">
            <w:pPr>
              <w:widowControl/>
              <w:ind w:left="-64" w:leftChars="-33" w:right="-100" w:rightChars="-50" w:hanging="2" w:hangingChars="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尚未审结</w:t>
            </w:r>
          </w:p>
        </w:tc>
        <w:tc>
          <w:tcPr>
            <w:tcW w:w="606" w:type="dxa"/>
            <w:noWrap w:val="0"/>
            <w:tcMar>
              <w:left w:w="108" w:type="dxa"/>
              <w:right w:w="108" w:type="dxa"/>
            </w:tcMar>
            <w:vAlign w:val="center"/>
          </w:tcPr>
          <w:p w14:paraId="4ED46D3F">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总计</w:t>
            </w:r>
          </w:p>
        </w:tc>
      </w:tr>
      <w:tr w14:paraId="27A5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604" w:type="dxa"/>
            <w:noWrap w:val="0"/>
            <w:tcMar>
              <w:left w:w="108" w:type="dxa"/>
              <w:right w:w="108" w:type="dxa"/>
            </w:tcMar>
            <w:vAlign w:val="center"/>
          </w:tcPr>
          <w:p w14:paraId="40A3730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4" w:type="dxa"/>
            <w:noWrap w:val="0"/>
            <w:tcMar>
              <w:left w:w="108" w:type="dxa"/>
              <w:right w:w="108" w:type="dxa"/>
            </w:tcMar>
            <w:vAlign w:val="center"/>
          </w:tcPr>
          <w:p w14:paraId="63937BE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4" w:type="dxa"/>
            <w:noWrap w:val="0"/>
            <w:tcMar>
              <w:left w:w="108" w:type="dxa"/>
              <w:right w:w="108" w:type="dxa"/>
            </w:tcMar>
            <w:vAlign w:val="center"/>
          </w:tcPr>
          <w:p w14:paraId="6612E6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4" w:type="dxa"/>
            <w:noWrap w:val="0"/>
            <w:tcMar>
              <w:left w:w="108" w:type="dxa"/>
              <w:right w:w="108" w:type="dxa"/>
            </w:tcMar>
            <w:vAlign w:val="center"/>
          </w:tcPr>
          <w:p w14:paraId="0A71EFA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58" w:type="dxa"/>
            <w:noWrap w:val="0"/>
            <w:tcMar>
              <w:left w:w="108" w:type="dxa"/>
              <w:right w:w="108" w:type="dxa"/>
            </w:tcMar>
            <w:vAlign w:val="center"/>
          </w:tcPr>
          <w:p w14:paraId="43623B3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550" w:type="dxa"/>
            <w:noWrap w:val="0"/>
            <w:tcMar>
              <w:left w:w="108" w:type="dxa"/>
              <w:right w:w="108" w:type="dxa"/>
            </w:tcMar>
            <w:vAlign w:val="center"/>
          </w:tcPr>
          <w:p w14:paraId="3CB3B0B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noWrap w:val="0"/>
            <w:tcMar>
              <w:left w:w="108" w:type="dxa"/>
              <w:right w:w="108" w:type="dxa"/>
            </w:tcMar>
            <w:vAlign w:val="center"/>
          </w:tcPr>
          <w:p w14:paraId="4B34288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noWrap w:val="0"/>
            <w:tcMar>
              <w:left w:w="108" w:type="dxa"/>
              <w:right w:w="108" w:type="dxa"/>
            </w:tcMar>
            <w:vAlign w:val="center"/>
          </w:tcPr>
          <w:p w14:paraId="33C4210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noWrap w:val="0"/>
            <w:tcMar>
              <w:left w:w="108" w:type="dxa"/>
              <w:right w:w="108" w:type="dxa"/>
            </w:tcMar>
            <w:vAlign w:val="center"/>
          </w:tcPr>
          <w:p w14:paraId="1C9C51C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noWrap w:val="0"/>
            <w:tcMar>
              <w:left w:w="108" w:type="dxa"/>
              <w:right w:w="108" w:type="dxa"/>
            </w:tcMar>
            <w:vAlign w:val="center"/>
          </w:tcPr>
          <w:p w14:paraId="180B541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noWrap w:val="0"/>
            <w:tcMar>
              <w:left w:w="108" w:type="dxa"/>
              <w:right w:w="108" w:type="dxa"/>
            </w:tcMar>
            <w:vAlign w:val="center"/>
          </w:tcPr>
          <w:p w14:paraId="6171D0D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noWrap w:val="0"/>
            <w:tcMar>
              <w:left w:w="108" w:type="dxa"/>
              <w:right w:w="108" w:type="dxa"/>
            </w:tcMar>
            <w:vAlign w:val="center"/>
          </w:tcPr>
          <w:p w14:paraId="12E7A87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noWrap w:val="0"/>
            <w:tcMar>
              <w:left w:w="108" w:type="dxa"/>
              <w:right w:w="108" w:type="dxa"/>
            </w:tcMar>
            <w:vAlign w:val="center"/>
          </w:tcPr>
          <w:p w14:paraId="2044C7E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6" w:type="dxa"/>
            <w:noWrap w:val="0"/>
            <w:tcMar>
              <w:left w:w="108" w:type="dxa"/>
              <w:right w:w="108" w:type="dxa"/>
            </w:tcMar>
            <w:vAlign w:val="center"/>
          </w:tcPr>
          <w:p w14:paraId="1444D26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6" w:type="dxa"/>
            <w:noWrap w:val="0"/>
            <w:tcMar>
              <w:left w:w="108" w:type="dxa"/>
              <w:right w:w="108" w:type="dxa"/>
            </w:tcMar>
            <w:vAlign w:val="center"/>
          </w:tcPr>
          <w:p w14:paraId="6E71AF4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bl>
    <w:p w14:paraId="6DD1414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themeColor="text1"/>
          <w:sz w:val="32"/>
          <w:szCs w:val="32"/>
          <w14:textFill>
            <w14:solidFill>
              <w14:schemeClr w14:val="tx1"/>
            </w14:solidFill>
          </w14:textFill>
        </w:rPr>
      </w:pPr>
      <w:r>
        <w:rPr>
          <w:rFonts w:eastAsia="方正黑体简体"/>
          <w:b/>
          <w:color w:val="000000" w:themeColor="text1"/>
          <w:sz w:val="32"/>
          <w:szCs w:val="32"/>
          <w14:textFill>
            <w14:solidFill>
              <w14:schemeClr w14:val="tx1"/>
            </w14:solidFill>
          </w14:textFill>
        </w:rPr>
        <w:t>五、存在的主要问题及改进情况</w:t>
      </w:r>
    </w:p>
    <w:p w14:paraId="03995D80">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eastAsia" w:ascii="Times New Roman" w:hAnsi="Times New Roman" w:eastAsia="方正仿宋简体" w:cs="Times New Roman"/>
          <w:b/>
          <w:color w:val="000000" w:themeColor="text1"/>
          <w:sz w:val="32"/>
          <w:lang w:val="en-US" w:eastAsia="zh-CN"/>
          <w14:textFill>
            <w14:solidFill>
              <w14:schemeClr w14:val="tx1"/>
            </w14:solidFill>
          </w14:textFill>
        </w:rPr>
      </w:pPr>
      <w:r>
        <w:rPr>
          <w:rFonts w:hint="eastAsia" w:ascii="Times New Roman" w:hAnsi="Times New Roman" w:eastAsia="方正楷体简体" w:cs="Times New Roman"/>
          <w:b/>
          <w:color w:val="000000" w:themeColor="text1"/>
          <w:sz w:val="32"/>
          <w:szCs w:val="32"/>
          <w:lang w:val="en-US" w:eastAsia="zh-CN"/>
          <w14:textFill>
            <w14:solidFill>
              <w14:schemeClr w14:val="tx1"/>
            </w14:solidFill>
          </w14:textFill>
        </w:rPr>
        <w:t>存在问题：</w:t>
      </w:r>
      <w:r>
        <w:rPr>
          <w:rFonts w:hint="eastAsia" w:eastAsia="方正仿宋简体" w:cs="Times New Roman"/>
          <w:b/>
          <w:bCs/>
          <w:color w:val="000000" w:themeColor="text1"/>
          <w:sz w:val="32"/>
          <w:szCs w:val="32"/>
          <w:lang w:val="en-US" w:eastAsia="zh-CN" w:bidi="ar-SA"/>
          <w14:textFill>
            <w14:solidFill>
              <w14:schemeClr w14:val="tx1"/>
            </w14:solidFill>
          </w14:textFill>
        </w:rPr>
        <w:t>一</w:t>
      </w:r>
      <w:r>
        <w:rPr>
          <w:rFonts w:hint="eastAsia" w:ascii="Times New Roman" w:hAnsi="Times New Roman" w:eastAsia="方正仿宋简体" w:cs="Times New Roman"/>
          <w:b/>
          <w:bCs/>
          <w:color w:val="000000" w:themeColor="text1"/>
          <w:sz w:val="32"/>
          <w:szCs w:val="32"/>
          <w:lang w:val="en-US" w:eastAsia="zh-CN" w:bidi="ar-SA"/>
          <w14:textFill>
            <w14:solidFill>
              <w14:schemeClr w14:val="tx1"/>
            </w14:solidFill>
          </w14:textFill>
        </w:rPr>
        <w:t>是公开形式创新性不足。传统文字类公开形式占比偏高，运用图解、视频等可视化形式解读政策的比例较低，信息传播效果有待优化。</w:t>
      </w:r>
      <w:r>
        <w:rPr>
          <w:rFonts w:hint="eastAsia" w:eastAsia="方正仿宋简体" w:cs="Times New Roman"/>
          <w:b/>
          <w:bCs/>
          <w:color w:val="000000" w:themeColor="text1"/>
          <w:sz w:val="32"/>
          <w:szCs w:val="32"/>
          <w:lang w:val="en-US" w:eastAsia="zh-CN" w:bidi="ar-SA"/>
          <w14:textFill>
            <w14:solidFill>
              <w14:schemeClr w14:val="tx1"/>
            </w14:solidFill>
          </w14:textFill>
        </w:rPr>
        <w:t>二</w:t>
      </w:r>
      <w:r>
        <w:rPr>
          <w:rFonts w:hint="eastAsia" w:ascii="Times New Roman" w:hAnsi="Times New Roman" w:eastAsia="方正仿宋简体" w:cs="Times New Roman"/>
          <w:b/>
          <w:bCs/>
          <w:color w:val="000000" w:themeColor="text1"/>
          <w:sz w:val="32"/>
          <w:szCs w:val="32"/>
          <w:lang w:val="en-US" w:eastAsia="zh-CN" w:bidi="ar-SA"/>
          <w14:textFill>
            <w14:solidFill>
              <w14:schemeClr w14:val="tx1"/>
            </w14:solidFill>
          </w14:textFill>
        </w:rPr>
        <w:t>是公开工作精细化程度不够。各业务科室之间信息协同共享机制不够完善，存在部分信息更新不及时、内容表述不够规范等细节问题。</w:t>
      </w:r>
    </w:p>
    <w:p w14:paraId="47573539">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楷体简体" w:cs="Times New Roman"/>
          <w:b/>
          <w:color w:val="000000" w:themeColor="text1"/>
          <w:sz w:val="32"/>
          <w:szCs w:val="32"/>
          <w:lang w:val="en-US" w:eastAsia="zh-CN"/>
          <w14:textFill>
            <w14:solidFill>
              <w14:schemeClr w14:val="tx1"/>
            </w14:solidFill>
          </w14:textFill>
        </w:rPr>
        <w:t>2026年，将从以下几个方面重点改进：</w:t>
      </w:r>
    </w:p>
    <w:p w14:paraId="6BBAF814">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eastAsia" w:ascii="Times New Roman" w:hAnsi="Times New Roman" w:eastAsia="方正仿宋简体" w:cs="Times New Roman"/>
          <w:b/>
          <w:bCs/>
          <w:color w:val="000000" w:themeColor="text1"/>
          <w:sz w:val="32"/>
          <w:szCs w:val="32"/>
          <w:lang w:val="en-US" w:eastAsia="zh-CN" w:bidi="ar-SA"/>
          <w14:textFill>
            <w14:solidFill>
              <w14:schemeClr w14:val="tx1"/>
            </w14:solidFill>
          </w14:textFill>
        </w:rPr>
      </w:pPr>
      <w:r>
        <w:rPr>
          <w:rFonts w:hint="eastAsia" w:eastAsia="方正仿宋简体" w:cs="Times New Roman"/>
          <w:b/>
          <w:bCs/>
          <w:color w:val="000000" w:themeColor="text1"/>
          <w:sz w:val="32"/>
          <w:szCs w:val="32"/>
          <w:lang w:val="en-US" w:eastAsia="zh-CN" w:bidi="ar-SA"/>
          <w14:textFill>
            <w14:solidFill>
              <w14:schemeClr w14:val="tx1"/>
            </w14:solidFill>
          </w14:textFill>
        </w:rPr>
        <w:t>一</w:t>
      </w:r>
      <w:r>
        <w:rPr>
          <w:rFonts w:hint="eastAsia" w:ascii="Times New Roman" w:hAnsi="Times New Roman" w:eastAsia="方正仿宋简体" w:cs="Times New Roman"/>
          <w:b/>
          <w:bCs/>
          <w:color w:val="000000" w:themeColor="text1"/>
          <w:sz w:val="32"/>
          <w:szCs w:val="32"/>
          <w:lang w:val="en-US" w:eastAsia="zh-CN" w:bidi="ar-SA"/>
          <w14:textFill>
            <w14:solidFill>
              <w14:schemeClr w14:val="tx1"/>
            </w14:solidFill>
          </w14:textFill>
        </w:rPr>
        <w:t>是创新公开形式，增强传播效果。加大可视化公开形式应用力度</w:t>
      </w:r>
      <w:r>
        <w:rPr>
          <w:rFonts w:hint="eastAsia" w:eastAsia="方正仿宋简体" w:cs="Times New Roman"/>
          <w:b/>
          <w:bCs/>
          <w:color w:val="000000" w:themeColor="text1"/>
          <w:sz w:val="32"/>
          <w:szCs w:val="32"/>
          <w:lang w:val="en-US" w:eastAsia="zh-CN" w:bidi="ar-SA"/>
          <w14:textFill>
            <w14:solidFill>
              <w14:schemeClr w14:val="tx1"/>
            </w14:solidFill>
          </w14:textFill>
        </w:rPr>
        <w:t>，</w:t>
      </w:r>
      <w:r>
        <w:rPr>
          <w:rFonts w:hint="eastAsia" w:ascii="Times New Roman" w:hAnsi="Times New Roman" w:eastAsia="方正仿宋简体" w:cs="Times New Roman"/>
          <w:b/>
          <w:bCs/>
          <w:color w:val="000000" w:themeColor="text1"/>
          <w:sz w:val="32"/>
          <w:szCs w:val="32"/>
          <w:lang w:val="en-US" w:eastAsia="zh-CN" w:bidi="ar-SA"/>
          <w14:textFill>
            <w14:solidFill>
              <w14:schemeClr w14:val="tx1"/>
            </w14:solidFill>
          </w14:textFill>
        </w:rPr>
        <w:t>对重要政策文件、工作动态等，同步制作图解、短视频等解读产品，提升信息可读性和传播力。</w:t>
      </w:r>
      <w:r>
        <w:rPr>
          <w:rFonts w:hint="eastAsia" w:eastAsia="方正仿宋简体" w:cs="Times New Roman"/>
          <w:b/>
          <w:bCs/>
          <w:color w:val="000000" w:themeColor="text1"/>
          <w:sz w:val="32"/>
          <w:szCs w:val="32"/>
          <w:lang w:val="en-US" w:eastAsia="zh-CN" w:bidi="ar-SA"/>
          <w14:textFill>
            <w14:solidFill>
              <w14:schemeClr w14:val="tx1"/>
            </w14:solidFill>
          </w14:textFill>
        </w:rPr>
        <w:t>二</w:t>
      </w:r>
      <w:r>
        <w:rPr>
          <w:rFonts w:hint="eastAsia" w:ascii="Times New Roman" w:hAnsi="Times New Roman" w:eastAsia="方正仿宋简体" w:cs="Times New Roman"/>
          <w:b/>
          <w:bCs/>
          <w:color w:val="000000" w:themeColor="text1"/>
          <w:sz w:val="32"/>
          <w:szCs w:val="32"/>
          <w:lang w:val="en-US" w:eastAsia="zh-CN" w:bidi="ar-SA"/>
          <w14:textFill>
            <w14:solidFill>
              <w14:schemeClr w14:val="tx1"/>
            </w14:solidFill>
          </w14:textFill>
        </w:rPr>
        <w:t>是强化协同管理，提高工作精细化水平。健全科室间信息共享与联动机制，明确信息更新责任与时限。加强公开内容审核把关，规范表述口径，定期开展信息公开自查自纠，及时整改各类细节问题。</w:t>
      </w:r>
    </w:p>
    <w:p w14:paraId="6B237B2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themeColor="text1"/>
          <w:sz w:val="32"/>
          <w:szCs w:val="32"/>
          <w14:textFill>
            <w14:solidFill>
              <w14:schemeClr w14:val="tx1"/>
            </w14:solidFill>
          </w14:textFill>
        </w:rPr>
      </w:pPr>
      <w:r>
        <w:rPr>
          <w:rFonts w:eastAsia="方正黑体简体"/>
          <w:b/>
          <w:color w:val="000000" w:themeColor="text1"/>
          <w:sz w:val="32"/>
          <w:szCs w:val="32"/>
          <w14:textFill>
            <w14:solidFill>
              <w14:schemeClr w14:val="tx1"/>
            </w14:solidFill>
          </w14:textFill>
        </w:rPr>
        <w:t>六、其他需要报告的事项</w:t>
      </w:r>
    </w:p>
    <w:p w14:paraId="0E4159DD">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themeColor="text1"/>
          <w:sz w:val="32"/>
          <w:szCs w:val="32"/>
          <w14:textFill>
            <w14:solidFill>
              <w14:schemeClr w14:val="tx1"/>
            </w14:solidFill>
          </w14:textFill>
        </w:rPr>
      </w:pPr>
      <w:r>
        <w:rPr>
          <w:rFonts w:eastAsia="方正楷体简体"/>
          <w:b/>
          <w:color w:val="000000" w:themeColor="text1"/>
          <w:sz w:val="32"/>
          <w:szCs w:val="32"/>
          <w14:textFill>
            <w14:solidFill>
              <w14:schemeClr w14:val="tx1"/>
            </w14:solidFill>
          </w14:textFill>
        </w:rPr>
        <w:t>（一）依据《政府信息公开信息处理费管理办法》收取信息处理费的情况</w:t>
      </w:r>
      <w:r>
        <w:rPr>
          <w:rFonts w:hint="eastAsia" w:eastAsia="方正楷体简体"/>
          <w:b/>
          <w:color w:val="000000" w:themeColor="text1"/>
          <w:sz w:val="32"/>
          <w:szCs w:val="32"/>
          <w14:textFill>
            <w14:solidFill>
              <w14:schemeClr w14:val="tx1"/>
            </w14:solidFill>
          </w14:textFill>
        </w:rPr>
        <w:t>：</w:t>
      </w:r>
    </w:p>
    <w:p w14:paraId="1048CD35">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themeColor="text1"/>
          <w:sz w:val="32"/>
          <w:lang w:val="en-US" w:eastAsia="zh-CN"/>
          <w14:textFill>
            <w14:solidFill>
              <w14:schemeClr w14:val="tx1"/>
            </w14:solidFill>
          </w14:textFill>
        </w:rPr>
      </w:pPr>
      <w:r>
        <w:rPr>
          <w:rFonts w:hint="eastAsia" w:eastAsia="方正仿宋简体" w:cs="Times New Roman"/>
          <w:b/>
          <w:color w:val="000000" w:themeColor="text1"/>
          <w:sz w:val="32"/>
          <w:lang w:val="en-US" w:eastAsia="zh-CN"/>
          <w14:textFill>
            <w14:solidFill>
              <w14:schemeClr w14:val="tx1"/>
            </w14:solidFill>
          </w14:textFill>
        </w:rPr>
        <w:t>无</w:t>
      </w:r>
      <w:r>
        <w:rPr>
          <w:rFonts w:hint="eastAsia" w:ascii="Times New Roman" w:hAnsi="Times New Roman" w:eastAsia="方正仿宋简体" w:cs="Times New Roman"/>
          <w:b/>
          <w:color w:val="000000" w:themeColor="text1"/>
          <w:sz w:val="32"/>
          <w:lang w:val="en-US" w:eastAsia="zh-CN"/>
          <w14:textFill>
            <w14:solidFill>
              <w14:schemeClr w14:val="tx1"/>
            </w14:solidFill>
          </w14:textFill>
        </w:rPr>
        <w:t>。</w:t>
      </w:r>
    </w:p>
    <w:p w14:paraId="4FE8A6D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楷体简体"/>
          <w:b/>
          <w:color w:val="000000" w:themeColor="text1"/>
          <w:sz w:val="32"/>
          <w:szCs w:val="32"/>
          <w14:textFill>
            <w14:solidFill>
              <w14:schemeClr w14:val="tx1"/>
            </w14:solidFill>
          </w14:textFill>
        </w:rPr>
      </w:pPr>
      <w:r>
        <w:rPr>
          <w:rFonts w:hint="eastAsia" w:eastAsia="方正楷体简体"/>
          <w:b/>
          <w:color w:val="000000" w:themeColor="text1"/>
          <w:sz w:val="32"/>
          <w:szCs w:val="32"/>
          <w14:textFill>
            <w14:solidFill>
              <w14:schemeClr w14:val="tx1"/>
            </w14:solidFill>
          </w14:textFill>
        </w:rPr>
        <w:t>（二）</w:t>
      </w:r>
      <w:r>
        <w:rPr>
          <w:rFonts w:eastAsia="方正楷体简体"/>
          <w:b/>
          <w:color w:val="000000" w:themeColor="text1"/>
          <w:sz w:val="32"/>
          <w:szCs w:val="32"/>
          <w14:textFill>
            <w14:solidFill>
              <w14:schemeClr w14:val="tx1"/>
            </w14:solidFill>
          </w14:textFill>
        </w:rPr>
        <w:t>本行政机关落实上级年度政务公开工作要点情况</w:t>
      </w:r>
      <w:r>
        <w:rPr>
          <w:rFonts w:hint="eastAsia" w:eastAsia="方正楷体简体"/>
          <w:b/>
          <w:color w:val="000000" w:themeColor="text1"/>
          <w:sz w:val="32"/>
          <w:szCs w:val="32"/>
          <w14:textFill>
            <w14:solidFill>
              <w14:schemeClr w14:val="tx1"/>
            </w14:solidFill>
          </w14:textFill>
        </w:rPr>
        <w:t>：</w:t>
      </w:r>
    </w:p>
    <w:p w14:paraId="4CA40E88">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eastAsia" w:ascii="Times New Roman" w:hAnsi="Times New Roman" w:eastAsia="方正仿宋简体" w:cs="Times New Roman"/>
          <w:b/>
          <w:bCs/>
          <w:color w:val="000000" w:themeColor="text1"/>
          <w:sz w:val="32"/>
          <w:szCs w:val="32"/>
          <w:lang w:val="en-US" w:eastAsia="zh-CN" w:bidi="ar-SA"/>
          <w14:textFill>
            <w14:solidFill>
              <w14:schemeClr w14:val="tx1"/>
            </w14:solidFill>
          </w14:textFill>
        </w:rPr>
      </w:pPr>
      <w:r>
        <w:rPr>
          <w:rFonts w:hint="eastAsia" w:ascii="Times New Roman" w:hAnsi="Times New Roman" w:eastAsia="方正仿宋简体" w:cs="Times New Roman"/>
          <w:b/>
          <w:bCs/>
          <w:color w:val="000000" w:themeColor="text1"/>
          <w:sz w:val="32"/>
          <w:szCs w:val="32"/>
          <w:lang w:val="en-US" w:eastAsia="zh-CN" w:bidi="ar-SA"/>
          <w14:textFill>
            <w14:solidFill>
              <w14:schemeClr w14:val="tx1"/>
            </w14:solidFill>
          </w14:textFill>
        </w:rPr>
        <w:t>严格按照区2025年政务公开工作要点要求，结合财政工作实际，制定了年度政务公开工作方案并认真落实。重点做好了财政预决算、</w:t>
      </w:r>
      <w:r>
        <w:rPr>
          <w:rFonts w:hint="eastAsia" w:eastAsia="方正仿宋简体" w:cs="Times New Roman"/>
          <w:b/>
          <w:bCs/>
          <w:color w:val="000000" w:themeColor="text1"/>
          <w:sz w:val="32"/>
          <w:szCs w:val="32"/>
          <w:lang w:val="en-US" w:eastAsia="zh-CN" w:bidi="ar-SA"/>
          <w14:textFill>
            <w14:solidFill>
              <w14:schemeClr w14:val="tx1"/>
            </w14:solidFill>
          </w14:textFill>
        </w:rPr>
        <w:t>政府采购</w:t>
      </w:r>
      <w:r>
        <w:rPr>
          <w:rFonts w:hint="eastAsia" w:ascii="Times New Roman" w:hAnsi="Times New Roman" w:eastAsia="方正仿宋简体" w:cs="Times New Roman"/>
          <w:b/>
          <w:bCs/>
          <w:color w:val="000000" w:themeColor="text1"/>
          <w:sz w:val="32"/>
          <w:szCs w:val="32"/>
          <w:lang w:val="en-US" w:eastAsia="zh-CN" w:bidi="ar-SA"/>
          <w14:textFill>
            <w14:solidFill>
              <w14:schemeClr w14:val="tx1"/>
            </w14:solidFill>
          </w14:textFill>
        </w:rPr>
        <w:t>、行政事业性收费等领域的公开工作，确保各项要点任务落地见效。</w:t>
      </w:r>
    </w:p>
    <w:p w14:paraId="0EE8378B">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themeColor="text1"/>
          <w:sz w:val="32"/>
          <w:lang w:val="en-US" w:eastAsia="zh-CN"/>
          <w14:textFill>
            <w14:solidFill>
              <w14:schemeClr w14:val="tx1"/>
            </w14:solidFill>
          </w14:textFill>
        </w:rPr>
      </w:pPr>
      <w:r>
        <w:rPr>
          <w:rFonts w:eastAsia="方正楷体简体"/>
          <w:b/>
          <w:color w:val="000000" w:themeColor="text1"/>
          <w:sz w:val="32"/>
          <w:szCs w:val="32"/>
          <w14:textFill>
            <w14:solidFill>
              <w14:schemeClr w14:val="tx1"/>
            </w14:solidFill>
          </w14:textFill>
        </w:rPr>
        <w:t>（三）人大代表建议和政协提案办理结果公开情况</w:t>
      </w:r>
      <w:r>
        <w:rPr>
          <w:rFonts w:hint="eastAsia" w:eastAsia="方正楷体简体"/>
          <w:b/>
          <w:color w:val="000000" w:themeColor="text1"/>
          <w:sz w:val="32"/>
          <w:szCs w:val="32"/>
          <w14:textFill>
            <w14:solidFill>
              <w14:schemeClr w14:val="tx1"/>
            </w14:solidFill>
          </w14:textFill>
        </w:rPr>
        <w:t>：</w:t>
      </w:r>
      <w:r>
        <w:rPr>
          <w:rFonts w:hint="eastAsia" w:eastAsia="方正仿宋简体" w:cs="Times New Roman"/>
          <w:b/>
          <w:color w:val="000000" w:themeColor="text1"/>
          <w:sz w:val="32"/>
          <w:lang w:val="en-US" w:eastAsia="zh-CN"/>
          <w14:textFill>
            <w14:solidFill>
              <w14:schemeClr w14:val="tx1"/>
            </w14:solidFill>
          </w14:textFill>
        </w:rPr>
        <w:t>无</w:t>
      </w:r>
      <w:r>
        <w:rPr>
          <w:rFonts w:hint="eastAsia" w:ascii="Times New Roman" w:hAnsi="Times New Roman" w:eastAsia="方正仿宋简体" w:cs="Times New Roman"/>
          <w:b/>
          <w:color w:val="000000" w:themeColor="text1"/>
          <w:sz w:val="32"/>
          <w:lang w:val="en-US" w:eastAsia="zh-CN"/>
          <w14:textFill>
            <w14:solidFill>
              <w14:schemeClr w14:val="tx1"/>
            </w14:solidFill>
          </w14:textFill>
        </w:rPr>
        <w:t>。</w:t>
      </w:r>
    </w:p>
    <w:p w14:paraId="15634862">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themeColor="text1"/>
          <w:sz w:val="32"/>
          <w:szCs w:val="32"/>
          <w14:textFill>
            <w14:solidFill>
              <w14:schemeClr w14:val="tx1"/>
            </w14:solidFill>
          </w14:textFill>
        </w:rPr>
      </w:pPr>
      <w:r>
        <w:rPr>
          <w:rFonts w:eastAsia="方正楷体简体"/>
          <w:b/>
          <w:color w:val="000000" w:themeColor="text1"/>
          <w:sz w:val="32"/>
          <w:szCs w:val="32"/>
          <w14:textFill>
            <w14:solidFill>
              <w14:schemeClr w14:val="tx1"/>
            </w14:solidFill>
          </w14:textFill>
        </w:rPr>
        <w:t>（四）本行政机关年度政务公开工作创新情况</w:t>
      </w:r>
      <w:r>
        <w:rPr>
          <w:rFonts w:hint="eastAsia" w:eastAsia="方正楷体简体"/>
          <w:b/>
          <w:color w:val="000000" w:themeColor="text1"/>
          <w:sz w:val="32"/>
          <w:szCs w:val="32"/>
          <w14:textFill>
            <w14:solidFill>
              <w14:schemeClr w14:val="tx1"/>
            </w14:solidFill>
          </w14:textFill>
        </w:rPr>
        <w:t>：</w:t>
      </w:r>
    </w:p>
    <w:p w14:paraId="46288395">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eastAsia" w:ascii="Times New Roman" w:hAnsi="Times New Roman" w:eastAsia="方正仿宋简体" w:cs="Times New Roman"/>
          <w:b/>
          <w:bCs/>
          <w:color w:val="000000" w:themeColor="text1"/>
          <w:sz w:val="32"/>
          <w:szCs w:val="32"/>
          <w:lang w:val="en-US" w:eastAsia="zh-CN" w:bidi="ar-SA"/>
          <w14:textFill>
            <w14:solidFill>
              <w14:schemeClr w14:val="tx1"/>
            </w14:solidFill>
          </w14:textFill>
        </w:rPr>
      </w:pPr>
      <w:bookmarkStart w:id="1" w:name="_GoBack"/>
      <w:r>
        <w:rPr>
          <w:rFonts w:hint="eastAsia" w:ascii="Times New Roman" w:hAnsi="Times New Roman" w:eastAsia="方正仿宋简体" w:cs="Times New Roman"/>
          <w:b/>
          <w:bCs/>
          <w:color w:val="000000" w:themeColor="text1"/>
          <w:sz w:val="32"/>
          <w:szCs w:val="32"/>
          <w:lang w:val="en-US" w:eastAsia="zh-CN" w:bidi="ar-SA"/>
          <w14:textFill>
            <w14:solidFill>
              <w14:schemeClr w14:val="tx1"/>
            </w14:solidFill>
          </w14:textFill>
        </w:rPr>
        <w:t>围绕提升财政信息公开质效，进一步规范门户网站财政专栏的信息分类与呈现方式，努力提升信息查找的便捷性。建立信息更新与维护机制，明确更新频率与责任主体，确保信息时效性。</w:t>
      </w:r>
    </w:p>
    <w:bookmarkEnd w:id="1"/>
    <w:p w14:paraId="4949E6BB">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themeColor="text1"/>
          <w:sz w:val="32"/>
          <w:lang w:val="en-US" w:eastAsia="zh-CN"/>
          <w14:textFill>
            <w14:solidFill>
              <w14:schemeClr w14:val="tx1"/>
            </w14:solidFill>
          </w14:textFill>
        </w:rPr>
      </w:pPr>
      <w:r>
        <w:rPr>
          <w:rFonts w:eastAsia="方正楷体简体"/>
          <w:b/>
          <w:color w:val="000000" w:themeColor="text1"/>
          <w:sz w:val="32"/>
          <w:szCs w:val="32"/>
          <w14:textFill>
            <w14:solidFill>
              <w14:schemeClr w14:val="tx1"/>
            </w14:solidFill>
          </w14:textFill>
        </w:rPr>
        <w:t>（五）本行政机关政府信息公开工作年度报告数据统计需要说明的事项</w:t>
      </w:r>
      <w:r>
        <w:rPr>
          <w:rFonts w:hint="eastAsia" w:eastAsia="方正楷体简体"/>
          <w:b/>
          <w:color w:val="000000" w:themeColor="text1"/>
          <w:sz w:val="32"/>
          <w:szCs w:val="32"/>
          <w14:textFill>
            <w14:solidFill>
              <w14:schemeClr w14:val="tx1"/>
            </w14:solidFill>
          </w14:textFill>
        </w:rPr>
        <w:t>：</w:t>
      </w:r>
      <w:r>
        <w:rPr>
          <w:rFonts w:hint="eastAsia" w:eastAsia="方正仿宋简体" w:cs="Times New Roman"/>
          <w:b/>
          <w:color w:val="000000" w:themeColor="text1"/>
          <w:sz w:val="32"/>
          <w:lang w:val="en-US" w:eastAsia="zh-CN"/>
          <w14:textFill>
            <w14:solidFill>
              <w14:schemeClr w14:val="tx1"/>
            </w14:solidFill>
          </w14:textFill>
        </w:rPr>
        <w:t>无</w:t>
      </w:r>
      <w:r>
        <w:rPr>
          <w:rFonts w:hint="eastAsia" w:ascii="Times New Roman" w:hAnsi="Times New Roman" w:eastAsia="方正仿宋简体" w:cs="Times New Roman"/>
          <w:b/>
          <w:color w:val="000000" w:themeColor="text1"/>
          <w:sz w:val="32"/>
          <w:lang w:val="en-US" w:eastAsia="zh-CN"/>
          <w14:textFill>
            <w14:solidFill>
              <w14:schemeClr w14:val="tx1"/>
            </w14:solidFill>
          </w14:textFill>
        </w:rPr>
        <w:t>。</w:t>
      </w:r>
    </w:p>
    <w:p w14:paraId="611E43A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b/>
          <w:color w:val="000000" w:themeColor="text1"/>
          <w:sz w:val="32"/>
          <w:szCs w:val="32"/>
          <w:lang w:eastAsia="zh-CN"/>
          <w14:textFill>
            <w14:solidFill>
              <w14:schemeClr w14:val="tx1"/>
            </w14:solidFill>
          </w14:textFill>
        </w:rPr>
      </w:pPr>
      <w:r>
        <w:rPr>
          <w:rFonts w:eastAsia="方正楷体简体"/>
          <w:b/>
          <w:color w:val="000000" w:themeColor="text1"/>
          <w:sz w:val="32"/>
          <w:szCs w:val="32"/>
          <w14:textFill>
            <w14:solidFill>
              <w14:schemeClr w14:val="tx1"/>
            </w14:solidFill>
          </w14:textFill>
        </w:rPr>
        <w:t>（六）本行政机关认为需要报告的其他事项</w:t>
      </w:r>
      <w:r>
        <w:rPr>
          <w:rFonts w:hint="eastAsia" w:eastAsia="方正楷体简体"/>
          <w:b/>
          <w:color w:val="000000" w:themeColor="text1"/>
          <w:sz w:val="32"/>
          <w:szCs w:val="32"/>
          <w14:textFill>
            <w14:solidFill>
              <w14:schemeClr w14:val="tx1"/>
            </w14:solidFill>
          </w14:textFill>
        </w:rPr>
        <w:t>：</w:t>
      </w:r>
      <w:r>
        <w:rPr>
          <w:rFonts w:hint="eastAsia" w:eastAsia="方正仿宋简体"/>
          <w:b/>
          <w:color w:val="000000" w:themeColor="text1"/>
          <w:sz w:val="32"/>
          <w:szCs w:val="32"/>
          <w14:textFill>
            <w14:solidFill>
              <w14:schemeClr w14:val="tx1"/>
            </w14:solidFill>
          </w14:textFill>
        </w:rPr>
        <w:t>无</w:t>
      </w:r>
      <w:r>
        <w:rPr>
          <w:rFonts w:hint="eastAsia" w:eastAsia="方正仿宋简体"/>
          <w:b/>
          <w:color w:val="000000" w:themeColor="text1"/>
          <w:sz w:val="32"/>
          <w:szCs w:val="32"/>
          <w:lang w:eastAsia="zh-CN"/>
          <w14:textFill>
            <w14:solidFill>
              <w14:schemeClr w14:val="tx1"/>
            </w14:solidFill>
          </w14:textFill>
        </w:rPr>
        <w:t>。</w:t>
      </w:r>
    </w:p>
    <w:p w14:paraId="3FA8D55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b/>
          <w:color w:val="000000" w:themeColor="text1"/>
          <w:sz w:val="32"/>
          <w:szCs w:val="32"/>
          <w:lang w:eastAsia="zh-CN"/>
          <w14:textFill>
            <w14:solidFill>
              <w14:schemeClr w14:val="tx1"/>
            </w14:solidFill>
          </w14:textFill>
        </w:rPr>
      </w:pPr>
      <w:r>
        <w:rPr>
          <w:rFonts w:eastAsia="方正楷体简体"/>
          <w:b/>
          <w:color w:val="000000" w:themeColor="text1"/>
          <w:sz w:val="32"/>
          <w:szCs w:val="32"/>
          <w14:textFill>
            <w14:solidFill>
              <w14:schemeClr w14:val="tx1"/>
            </w14:solidFill>
          </w14:textFill>
        </w:rPr>
        <w:t>（七）其他有关文件专门要求通过政府信息公开工作年度报告予以报告的事项</w:t>
      </w:r>
      <w:r>
        <w:rPr>
          <w:rFonts w:hint="eastAsia" w:eastAsia="方正楷体简体"/>
          <w:b/>
          <w:color w:val="000000" w:themeColor="text1"/>
          <w:sz w:val="32"/>
          <w:szCs w:val="32"/>
          <w14:textFill>
            <w14:solidFill>
              <w14:schemeClr w14:val="tx1"/>
            </w14:solidFill>
          </w14:textFill>
        </w:rPr>
        <w:t>：</w:t>
      </w:r>
      <w:r>
        <w:rPr>
          <w:rFonts w:hint="eastAsia" w:eastAsia="方正仿宋简体"/>
          <w:b/>
          <w:color w:val="000000" w:themeColor="text1"/>
          <w:sz w:val="32"/>
          <w:szCs w:val="32"/>
          <w14:textFill>
            <w14:solidFill>
              <w14:schemeClr w14:val="tx1"/>
            </w14:solidFill>
          </w14:textFill>
        </w:rPr>
        <w:t>无</w:t>
      </w:r>
      <w:r>
        <w:rPr>
          <w:rFonts w:hint="eastAsia" w:eastAsia="方正仿宋简体"/>
          <w:b/>
          <w:color w:val="000000" w:themeColor="text1"/>
          <w:sz w:val="32"/>
          <w:szCs w:val="32"/>
          <w:lang w:eastAsia="zh-CN"/>
          <w14:textFill>
            <w14:solidFill>
              <w14:schemeClr w14:val="tx1"/>
            </w14:solidFill>
          </w14:textFill>
        </w:rPr>
        <w:t>。</w:t>
      </w:r>
    </w:p>
    <w:p w14:paraId="1D17E2FD">
      <w:pPr>
        <w:keepNext w:val="0"/>
        <w:keepLines w:val="0"/>
        <w:pageBreakBefore w:val="0"/>
        <w:kinsoku/>
        <w:wordWrap/>
        <w:overflowPunct/>
        <w:topLinePunct w:val="0"/>
        <w:autoSpaceDE/>
        <w:autoSpaceDN/>
        <w:bidi w:val="0"/>
        <w:adjustRightInd/>
        <w:snapToGrid/>
        <w:spacing w:line="590" w:lineRule="exact"/>
        <w:ind w:firstLine="400" w:firstLineChars="200"/>
        <w:textAlignment w:val="auto"/>
        <w:rPr>
          <w:color w:val="000000" w:themeColor="text1"/>
          <w14:textFill>
            <w14:solidFill>
              <w14:schemeClr w14:val="tx1"/>
            </w14:solidFill>
          </w14:textFill>
        </w:rPr>
      </w:pPr>
    </w:p>
    <w:p w14:paraId="67DC6C3B">
      <w:pPr>
        <w:rPr>
          <w:color w:val="000000" w:themeColor="text1"/>
          <w14:textFill>
            <w14:solidFill>
              <w14:schemeClr w14:val="tx1"/>
            </w14:solidFill>
          </w14:textFill>
        </w:rPr>
      </w:pPr>
    </w:p>
    <w:p w14:paraId="3875D7BA">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B036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6CC3F2">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06CC3F2">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43F9A"/>
    <w:rsid w:val="21443F9A"/>
    <w:rsid w:val="259A54C2"/>
    <w:rsid w:val="3CEE4530"/>
    <w:rsid w:val="3FF668B7"/>
    <w:rsid w:val="4020354E"/>
    <w:rsid w:val="70573952"/>
    <w:rsid w:val="7C9F5541"/>
    <w:rsid w:val="7D435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rPr>
      <w:rFonts w:ascii="Calibri" w:hAnsi="Calibri" w:eastAsia="宋体" w:cs="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主动公开政府信息</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财政预决算信息</c:v>
                </c:pt>
                <c:pt idx="1">
                  <c:v>行政事业性收费</c:v>
                </c:pt>
                <c:pt idx="2">
                  <c:v>政府采购</c:v>
                </c:pt>
                <c:pt idx="3">
                  <c:v>国资国企信息</c:v>
                </c:pt>
                <c:pt idx="4">
                  <c:v>其他信息</c:v>
                </c:pt>
              </c:strCache>
            </c:strRef>
          </c:cat>
          <c:val>
            <c:numRef>
              <c:f>Sheet1!$B$2:$B$6</c:f>
              <c:numCache>
                <c:formatCode>General</c:formatCode>
                <c:ptCount val="5"/>
                <c:pt idx="0">
                  <c:v>241</c:v>
                </c:pt>
                <c:pt idx="1">
                  <c:v>10</c:v>
                </c:pt>
                <c:pt idx="2">
                  <c:v>22</c:v>
                </c:pt>
                <c:pt idx="3">
                  <c:v>41</c:v>
                </c:pt>
                <c:pt idx="4">
                  <c:v>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7761ce-ba4f-4ad1-b2dd-78a80c3083a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lineChart>
        <c:grouping val="standard"/>
        <c:varyColors val="0"/>
        <c:ser>
          <c:idx val="0"/>
          <c:order val="0"/>
          <c:tx>
            <c:strRef>
              <c:f>Sheet1!$B$1</c:f>
              <c:strCache>
                <c:ptCount val="1"/>
                <c:pt idx="0">
                  <c:v>收到依申请公开信息数</c:v>
                </c:pt>
              </c:strCache>
            </c:strRef>
          </c:tx>
          <c:spPr>
            <a:ln w="28575" cap="rnd">
              <a:solidFill>
                <a:schemeClr val="accent1"/>
              </a:solidFill>
              <a:round/>
            </a:ln>
            <a:effectLst/>
          </c:spPr>
          <c:marker>
            <c:symbol val="none"/>
          </c:marker>
          <c:dLbls>
            <c:delete val="1"/>
          </c:dLbls>
          <c:cat>
            <c:strRef>
              <c:f>Sheet1!$A$2:$A$5</c:f>
              <c:strCache>
                <c:ptCount val="4"/>
                <c:pt idx="0">
                  <c:v>2022年</c:v>
                </c:pt>
                <c:pt idx="1">
                  <c:v>2023年</c:v>
                </c:pt>
                <c:pt idx="2">
                  <c:v>2024年</c:v>
                </c:pt>
                <c:pt idx="3">
                  <c:v>2025年</c:v>
                </c:pt>
              </c:strCache>
            </c:strRef>
          </c:cat>
          <c:val>
            <c:numRef>
              <c:f>Sheet1!$B$2:$B$5</c:f>
              <c:numCache>
                <c:formatCode>General</c:formatCode>
                <c:ptCount val="4"/>
                <c:pt idx="0">
                  <c:v>4</c:v>
                </c:pt>
                <c:pt idx="1">
                  <c:v>3</c:v>
                </c:pt>
                <c:pt idx="2">
                  <c:v>1</c:v>
                </c:pt>
                <c:pt idx="3">
                  <c:v>4</c:v>
                </c:pt>
              </c:numCache>
            </c:numRef>
          </c:val>
          <c:smooth val="0"/>
        </c:ser>
        <c:dLbls>
          <c:showLegendKey val="0"/>
          <c:showVal val="0"/>
          <c:showCatName val="0"/>
          <c:showSerName val="0"/>
          <c:showPercent val="0"/>
          <c:showBubbleSize val="0"/>
        </c:dLbls>
        <c:marker val="0"/>
        <c:smooth val="0"/>
        <c:axId val="995304557"/>
        <c:axId val="807354476"/>
      </c:lineChart>
      <c:catAx>
        <c:axId val="9953045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7354476"/>
        <c:crosses val="autoZero"/>
        <c:auto val="1"/>
        <c:lblAlgn val="ctr"/>
        <c:lblOffset val="100"/>
        <c:noMultiLvlLbl val="0"/>
      </c:catAx>
      <c:valAx>
        <c:axId val="80735447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53045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7baebfb-87d6-47b1-8408-73c26f628a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2584</Words>
  <Characters>2667</Characters>
  <Lines>0</Lines>
  <Paragraphs>0</Paragraphs>
  <TotalTime>135</TotalTime>
  <ScaleCrop>false</ScaleCrop>
  <LinksUpToDate>false</LinksUpToDate>
  <CharactersWithSpaces>2667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2026-01-05T01:34:00Z</dcterms:created>
  <dc:creator>年少梦几许</dc:creator>
  <cp:lastModifiedBy>宓</cp:lastModifiedBy>
  <dcterms:modified xsi:type="dcterms:W3CDTF">2026-01-12T09:13:25Z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D5991DD61F96409CA0F9FF62AA24AF71_13</vt:lpwstr>
  </property>
  <property fmtid="{D5CDD505-2E9C-101B-9397-08002B2CF9AE}" pid="4" name="KSOTemplateDocerSaveRecord">
    <vt:lpwstr>eyJoZGlkIjoiOWIyZTQ0NGEzMmU0OTYwMzRkZjg3OGYyNGZhMTBlMTEiLCJ1c2VySWQiOiIyOTA3NzcxNzMifQ==</vt:lpwstr>
  </property>
</Properties>
</file>