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861C4">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sz w:val="44"/>
          <w:szCs w:val="44"/>
        </w:rPr>
      </w:pPr>
      <w:r>
        <w:rPr>
          <w:rFonts w:hint="eastAsia" w:eastAsia="方正小标宋简体"/>
          <w:b/>
          <w:color w:val="000000"/>
          <w:sz w:val="44"/>
          <w:szCs w:val="44"/>
        </w:rPr>
        <w:t>济宁市兖州区</w:t>
      </w:r>
      <w:r>
        <w:rPr>
          <w:rFonts w:hint="eastAsia" w:eastAsia="方正小标宋简体"/>
          <w:b/>
          <w:color w:val="000000"/>
          <w:sz w:val="44"/>
          <w:szCs w:val="44"/>
          <w:lang w:eastAsia="zh-CN"/>
        </w:rPr>
        <w:t>住房和城乡建设局</w:t>
      </w:r>
      <w:r>
        <w:rPr>
          <w:rFonts w:eastAsia="方正小标宋简体"/>
          <w:b/>
          <w:color w:val="000000"/>
          <w:sz w:val="44"/>
          <w:szCs w:val="44"/>
        </w:rPr>
        <w:t>202</w:t>
      </w:r>
      <w:r>
        <w:rPr>
          <w:rFonts w:hint="eastAsia" w:eastAsia="方正小标宋简体"/>
          <w:b/>
          <w:color w:val="000000"/>
          <w:sz w:val="44"/>
          <w:szCs w:val="44"/>
          <w:lang w:val="en-US" w:eastAsia="zh-CN"/>
        </w:rPr>
        <w:t>4</w:t>
      </w:r>
      <w:r>
        <w:rPr>
          <w:rFonts w:eastAsia="方正小标宋简体"/>
          <w:b/>
          <w:color w:val="000000"/>
          <w:sz w:val="44"/>
          <w:szCs w:val="44"/>
        </w:rPr>
        <w:t>年</w:t>
      </w:r>
    </w:p>
    <w:p w14:paraId="2ED43974">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sz w:val="44"/>
          <w:szCs w:val="44"/>
        </w:rPr>
      </w:pPr>
      <w:r>
        <w:rPr>
          <w:rFonts w:eastAsia="方正小标宋简体"/>
          <w:b/>
          <w:color w:val="000000"/>
          <w:sz w:val="44"/>
          <w:szCs w:val="44"/>
        </w:rPr>
        <w:t>政府信息公开工作年度报告</w:t>
      </w:r>
    </w:p>
    <w:p w14:paraId="7E625A02">
      <w:pPr>
        <w:spacing w:line="590" w:lineRule="exact"/>
        <w:ind w:right="-100" w:rightChars="-50" w:firstLine="643" w:firstLineChars="200"/>
        <w:rPr>
          <w:rFonts w:eastAsia="方正仿宋简体"/>
          <w:b/>
          <w:color w:val="000000"/>
          <w:sz w:val="32"/>
          <w:szCs w:val="32"/>
        </w:rPr>
      </w:pPr>
    </w:p>
    <w:p w14:paraId="1A7846F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lang w:val="en-US" w:eastAsia="zh-CN"/>
        </w:rPr>
        <w:t>住房和城乡建设局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2E11890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781247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4</w:t>
      </w:r>
      <w:r>
        <w:rPr>
          <w:rFonts w:eastAsia="方正仿宋简体"/>
          <w:b/>
          <w:color w:val="000000"/>
          <w:sz w:val="32"/>
          <w:szCs w:val="32"/>
        </w:rPr>
        <w:t>年1月1日起至202</w:t>
      </w:r>
      <w:r>
        <w:rPr>
          <w:rFonts w:hint="eastAsia" w:eastAsia="方正仿宋简体"/>
          <w:b/>
          <w:color w:val="000000"/>
          <w:sz w:val="32"/>
          <w:szCs w:val="32"/>
          <w:lang w:val="en-US" w:eastAsia="zh-CN"/>
        </w:rPr>
        <w:t>4</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w:t>
      </w:r>
      <w:r>
        <w:rPr>
          <w:rFonts w:hint="eastAsia" w:eastAsia="方正仿宋简体"/>
          <w:b/>
          <w:color w:val="000000"/>
          <w:sz w:val="32"/>
          <w:szCs w:val="32"/>
          <w:lang w:val="en-US" w:eastAsia="zh-CN"/>
        </w:rPr>
        <w:t>住房和城乡建设局</w:t>
      </w:r>
      <w:r>
        <w:rPr>
          <w:rFonts w:eastAsia="方正仿宋简体"/>
          <w:b/>
          <w:color w:val="000000"/>
          <w:sz w:val="32"/>
          <w:szCs w:val="32"/>
        </w:rPr>
        <w:t>联系（地址：济宁市</w:t>
      </w:r>
      <w:r>
        <w:rPr>
          <w:rFonts w:hint="eastAsia" w:eastAsia="方正仿宋简体"/>
          <w:b/>
          <w:color w:val="000000"/>
          <w:sz w:val="32"/>
          <w:szCs w:val="32"/>
          <w:lang w:val="en-US" w:eastAsia="zh-CN"/>
        </w:rPr>
        <w:t>兖州区扬州南路2号人防消防中心1901室</w:t>
      </w:r>
      <w:r>
        <w:rPr>
          <w:rFonts w:eastAsia="方正仿宋简体"/>
          <w:b/>
          <w:color w:val="000000"/>
          <w:sz w:val="32"/>
          <w:szCs w:val="32"/>
        </w:rPr>
        <w:t>，联系电话：</w:t>
      </w:r>
      <w:r>
        <w:rPr>
          <w:rFonts w:hint="eastAsia" w:eastAsia="方正仿宋简体"/>
          <w:b/>
          <w:color w:val="000000"/>
          <w:sz w:val="32"/>
          <w:szCs w:val="32"/>
          <w:lang w:val="en-US" w:eastAsia="zh-CN"/>
        </w:rPr>
        <w:t>0537—6621666</w:t>
      </w:r>
      <w:r>
        <w:rPr>
          <w:rFonts w:eastAsia="方正仿宋简体"/>
          <w:b/>
          <w:color w:val="000000"/>
          <w:sz w:val="32"/>
          <w:szCs w:val="32"/>
        </w:rPr>
        <w:t>）。</w:t>
      </w:r>
    </w:p>
    <w:p w14:paraId="4ED0963E">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eastAsia="方正黑体简体"/>
          <w:b/>
          <w:color w:val="000000"/>
          <w:sz w:val="32"/>
          <w:szCs w:val="32"/>
        </w:rPr>
      </w:pPr>
      <w:r>
        <w:rPr>
          <w:rFonts w:eastAsia="方正黑体简体"/>
          <w:b/>
          <w:color w:val="000000"/>
          <w:sz w:val="32"/>
          <w:szCs w:val="32"/>
        </w:rPr>
        <w:t>一、总体情况</w:t>
      </w:r>
    </w:p>
    <w:p w14:paraId="011E0AA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2024年，区住建局以习近平新时代中国特色社会主义思想为指引，深入贯彻落实党的二十大、二十届三中全会精神，在区政府办公室的指导下，切实落实好涉及我局的2024年重点领域政府信息公开工作，把相关任务分解到具体科室单位，强化督促指导，确保责任落实。</w:t>
      </w:r>
    </w:p>
    <w:p w14:paraId="183831C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lang w:eastAsia="zh-CN"/>
        </w:rPr>
      </w:pPr>
      <w:r>
        <w:rPr>
          <w:rFonts w:hint="eastAsia" w:eastAsia="方正楷体简体"/>
          <w:b/>
          <w:color w:val="000000"/>
          <w:sz w:val="32"/>
          <w:szCs w:val="32"/>
          <w:lang w:eastAsia="zh-CN"/>
        </w:rPr>
        <w:t>主动公开情况</w:t>
      </w:r>
    </w:p>
    <w:p w14:paraId="0DCCC4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FF0000"/>
          <w:sz w:val="32"/>
          <w:szCs w:val="32"/>
          <w:lang w:val="en-US" w:eastAsia="zh-CN"/>
        </w:rPr>
      </w:pPr>
      <w:r>
        <w:rPr>
          <w:rFonts w:hint="eastAsia" w:eastAsia="方正仿宋简体"/>
          <w:b/>
          <w:color w:val="000000"/>
          <w:sz w:val="32"/>
          <w:szCs w:val="32"/>
          <w:lang w:val="en-US" w:eastAsia="zh-CN"/>
        </w:rPr>
        <w:t>区住建局按照政府信息公开工作有关要求，结合我局各项工作实际，2024年在区政府网站主动公开政府信息154 条。其中政策性文件3条，双随机一公开信息5条，工作动态信息96条，其他类信息50条。</w:t>
      </w:r>
    </w:p>
    <w:p w14:paraId="6F626E10">
      <w:pPr>
        <w:pStyle w:val="6"/>
        <w:bidi w:val="0"/>
        <w:jc w:val="center"/>
        <w:rPr>
          <w:rFonts w:hint="eastAsia" w:ascii="Times New Roman" w:hAnsi="Times New Roman" w:eastAsia="方正仿宋简体" w:cs="Times New Roman"/>
          <w:b/>
          <w:bCs/>
          <w:sz w:val="32"/>
          <w:szCs w:val="32"/>
          <w:lang w:val="en-US" w:eastAsia="zh-CN" w:bidi="ar-SA"/>
        </w:rPr>
      </w:pPr>
      <w:r>
        <w:rPr>
          <w:rFonts w:hint="eastAsia" w:ascii="Times New Roman" w:hAnsi="Times New Roman" w:eastAsia="方正仿宋简体" w:cs="Times New Roman"/>
          <w:b/>
          <w:bCs/>
          <w:sz w:val="32"/>
          <w:szCs w:val="32"/>
          <w:lang w:val="en-US" w:eastAsia="zh-CN" w:bidi="ar-SA"/>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4E6979E">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（二）</w:t>
      </w:r>
      <w:r>
        <w:rPr>
          <w:rFonts w:hint="eastAsia" w:eastAsia="方正楷体简体"/>
          <w:b/>
          <w:color w:val="000000"/>
          <w:sz w:val="32"/>
          <w:szCs w:val="32"/>
          <w:lang w:eastAsia="zh-CN"/>
        </w:rPr>
        <w:t>依申请公开</w:t>
      </w:r>
      <w:r>
        <w:rPr>
          <w:rFonts w:hint="eastAsia" w:eastAsia="方正楷体简体"/>
          <w:b/>
          <w:color w:val="000000"/>
          <w:sz w:val="32"/>
          <w:szCs w:val="32"/>
          <w:lang w:val="en-US" w:eastAsia="zh-CN"/>
        </w:rPr>
        <w:t>情况</w:t>
      </w:r>
    </w:p>
    <w:p w14:paraId="5F9F1D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方正仿宋简体" w:cs="Times New Roman"/>
          <w:b/>
          <w:color w:val="0000FF"/>
          <w:sz w:val="32"/>
          <w:szCs w:val="32"/>
          <w:lang w:val="en-US" w:eastAsia="zh-CN"/>
        </w:rPr>
      </w:pPr>
      <w:r>
        <w:rPr>
          <w:rFonts w:hint="eastAsia" w:eastAsia="方正仿宋简体"/>
          <w:b/>
          <w:color w:val="000000"/>
          <w:sz w:val="32"/>
          <w:szCs w:val="32"/>
          <w:lang w:val="en-US" w:eastAsia="zh-CN"/>
        </w:rPr>
        <w:t>区住建局坚持依法处理依申请公开政府信息工作机制，畅通申请渠道。2024年我局共收到政府信息公开申请35件，涉及物业服务合同、招投标备案、消防验收备案、房地产房屋质量等方面。申请数量较去年增长40%。其中27件本年内按时答复，8件结转下年度答复，未收取任何信息处理费用。上年结转3件，已按时办结。</w:t>
      </w:r>
      <w:bookmarkStart w:id="1" w:name="_GoBack"/>
      <w:bookmarkEnd w:id="1"/>
    </w:p>
    <w:p w14:paraId="627BD1B6">
      <w:pPr>
        <w:spacing w:line="61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p>
    <w:p w14:paraId="17B61412">
      <w:pPr>
        <w:jc w:val="center"/>
        <w:rPr>
          <w:rFonts w:hint="eastAsia" w:ascii="Times New Roman" w:hAnsi="Times New Roman" w:eastAsia="方正仿宋简体" w:cs="Times New Roman"/>
          <w:b/>
          <w:bCs/>
          <w:sz w:val="32"/>
          <w:szCs w:val="32"/>
          <w:lang w:val="en-US" w:eastAsia="zh-CN" w:bidi="ar-SA"/>
        </w:rPr>
      </w:pPr>
      <w:r>
        <w:drawing>
          <wp:inline distT="0" distB="0" distL="114300" distR="114300">
            <wp:extent cx="4826000" cy="2743200"/>
            <wp:effectExtent l="4445" t="4445" r="82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3E29614">
      <w:pPr>
        <w:bidi w:val="0"/>
        <w:jc w:val="center"/>
        <w:rPr>
          <w:rFonts w:hint="eastAsia" w:eastAsia="宋体"/>
          <w:b/>
          <w:bCs/>
          <w:lang w:eastAsia="zh-CN"/>
        </w:rPr>
      </w:pPr>
    </w:p>
    <w:p w14:paraId="1016DF0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r>
        <w:rPr>
          <w:rFonts w:hint="eastAsia" w:eastAsia="方正楷体简体"/>
          <w:b/>
          <w:color w:val="000000"/>
          <w:sz w:val="32"/>
          <w:szCs w:val="32"/>
          <w:lang w:eastAsia="zh-CN"/>
        </w:rPr>
        <w:t>情况</w:t>
      </w:r>
    </w:p>
    <w:p w14:paraId="02A53F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我局不断强化政府信息公开管理工作。对本部门需要公开的政府信息分门别类发布在不同的栏目下，设有专门政府信息公开工作机构，配备专职人员，负责承办政府信息公开事宜、维护更新公开信息、组织编制相关指南和目录、开展保密审查。同时，明确各科室各单位主要负责人在政府信息公开中的职责，坚持“谁公开、谁负责”的原则，加强政府信息保密审查。</w:t>
      </w:r>
    </w:p>
    <w:p w14:paraId="2A091EA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lang w:eastAsia="zh-CN"/>
        </w:rPr>
      </w:pPr>
      <w:r>
        <w:rPr>
          <w:rFonts w:eastAsia="方正楷体简体"/>
          <w:b/>
          <w:color w:val="000000"/>
          <w:sz w:val="32"/>
          <w:szCs w:val="32"/>
        </w:rPr>
        <w:t>政府信息公开平台建设</w:t>
      </w:r>
      <w:r>
        <w:rPr>
          <w:rFonts w:hint="eastAsia" w:eastAsia="方正楷体简体"/>
          <w:b/>
          <w:color w:val="000000"/>
          <w:sz w:val="32"/>
          <w:szCs w:val="32"/>
          <w:lang w:eastAsia="zh-CN"/>
        </w:rPr>
        <w:t>情况</w:t>
      </w:r>
    </w:p>
    <w:p w14:paraId="2C8905F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依托济宁市兖州区政府门户网站发布住建领域各类相关信息，公开2024年度政务公开重点工作实施方案、2024年度相关重点工作等，提高群众、企业对住建领域信息的知晓和参与度。并在政务公开平台及时发布保障性住房等信息，在华润燃气、公用热力等所属企业服务窗口设立政务公开专区，提高为民服务便利度。</w:t>
      </w:r>
    </w:p>
    <w:p w14:paraId="1DCFF5EA">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eastAsia="方正楷体简体"/>
          <w:b/>
          <w:color w:val="000000"/>
          <w:sz w:val="32"/>
          <w:szCs w:val="32"/>
          <w:lang w:eastAsia="zh-CN"/>
        </w:rPr>
      </w:pPr>
      <w:r>
        <w:rPr>
          <w:rFonts w:hint="eastAsia" w:eastAsia="方正楷体简体"/>
          <w:b/>
          <w:color w:val="000000"/>
          <w:sz w:val="32"/>
          <w:szCs w:val="32"/>
          <w:lang w:eastAsia="zh-CN"/>
        </w:rPr>
        <w:t>监督保障情况</w:t>
      </w:r>
    </w:p>
    <w:p w14:paraId="722FF5C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区住建局加强组织统筹，以局长负总责，分管局领导各负其责，把政府信息公开工作压实到具体科室、单位，切实增强干部职工的信息公开意识。明确一名分管领导具体负责政府信息公开工作，配有一名专职人员发布政府信息日常公开。今年组织参加两次政务公开培训，建立长效政务公开培训工作机制，公开水平能力有所提升。</w:t>
      </w:r>
    </w:p>
    <w:p w14:paraId="697517B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8"/>
        <w:tblW w:w="4999" w:type="pct"/>
        <w:tblInd w:w="0" w:type="dxa"/>
        <w:tblLayout w:type="autofit"/>
        <w:tblCellMar>
          <w:top w:w="0" w:type="dxa"/>
          <w:left w:w="108" w:type="dxa"/>
          <w:bottom w:w="0" w:type="dxa"/>
          <w:right w:w="108" w:type="dxa"/>
        </w:tblCellMar>
      </w:tblPr>
      <w:tblGrid>
        <w:gridCol w:w="2127"/>
        <w:gridCol w:w="2128"/>
        <w:gridCol w:w="2128"/>
        <w:gridCol w:w="2137"/>
      </w:tblGrid>
      <w:tr w14:paraId="705F15D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C1AA149">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24FC6239">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53CD158E">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14:paraId="118B729F">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14:paraId="5DA17C7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nil"/>
              <w:left w:val="nil"/>
              <w:bottom w:val="single" w:color="auto" w:sz="8" w:space="0"/>
              <w:right w:val="single" w:color="auto" w:sz="8" w:space="0"/>
            </w:tcBorders>
            <w:noWrap w:val="0"/>
            <w:vAlign w:val="center"/>
          </w:tcPr>
          <w:p w14:paraId="665F9D6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6373CB59">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7CC7C63C">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14:paraId="229CEA98">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0EDBD279">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39E089AD">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735F4AA9">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22131766">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14:paraId="67F76EFD">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4940B5F4">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454E7688">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14:paraId="3BD5D6B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1AAB7CC">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49C3DEFC">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65E5056B">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0BEA3D2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0A4E27BF">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7183F62E">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14:paraId="0BBCE93E">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79</w:t>
            </w:r>
          </w:p>
        </w:tc>
      </w:tr>
      <w:tr w14:paraId="503B971E">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295352E">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04BE4595">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C68EAD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01EDA392">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628E3EA2">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7065983A">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14:paraId="54F38570">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10</w:t>
            </w:r>
          </w:p>
        </w:tc>
      </w:tr>
      <w:tr w14:paraId="11B41B0F">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72CCF757">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14:paraId="590C553B">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r>
      <w:tr w14:paraId="5C0F4F9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9796283">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2DD83C10">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30F891A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39056A50">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283238A1">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3D8A39DB">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14:paraId="5E02CD32">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29585.41</w:t>
            </w:r>
          </w:p>
        </w:tc>
      </w:tr>
    </w:tbl>
    <w:p w14:paraId="258A67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黑体简体"/>
          <w:b/>
          <w:color w:val="FF0000"/>
          <w:sz w:val="32"/>
          <w:szCs w:val="32"/>
          <w:lang w:eastAsia="zh-CN"/>
        </w:rPr>
      </w:pPr>
      <w:r>
        <w:rPr>
          <w:rFonts w:eastAsia="方正黑体简体"/>
          <w:b/>
          <w:sz w:val="32"/>
          <w:szCs w:val="32"/>
        </w:rPr>
        <w:t>三、收到和处理政府信息公开申请情况</w:t>
      </w:r>
    </w:p>
    <w:tbl>
      <w:tblPr>
        <w:tblStyle w:val="8"/>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7C47B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0B27988B">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20CD9244">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02728109">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3C52C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302E4377">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2F52389E">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4EDFC3A5">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0A6DB148">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0CC6E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148FB79B">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48ADAD3A">
            <w:pPr>
              <w:jc w:val="center"/>
              <w:rPr>
                <w:rFonts w:ascii="Times New Roman" w:hAnsi="Times New Roman" w:eastAsia="黑体"/>
                <w:szCs w:val="21"/>
              </w:rPr>
            </w:pPr>
          </w:p>
        </w:tc>
        <w:tc>
          <w:tcPr>
            <w:tcW w:w="567" w:type="dxa"/>
            <w:noWrap w:val="0"/>
            <w:tcMar>
              <w:left w:w="108" w:type="dxa"/>
              <w:right w:w="108" w:type="dxa"/>
            </w:tcMar>
            <w:vAlign w:val="center"/>
          </w:tcPr>
          <w:p w14:paraId="78E5C605">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4C06E38D">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2A743A6F">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5E37BFF2">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1B2E1499">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4D7A325B">
            <w:pPr>
              <w:jc w:val="center"/>
              <w:rPr>
                <w:rFonts w:ascii="Times New Roman" w:hAnsi="Times New Roman" w:eastAsia="仿宋_GB2312"/>
                <w:szCs w:val="21"/>
              </w:rPr>
            </w:pPr>
          </w:p>
        </w:tc>
      </w:tr>
      <w:tr w14:paraId="07FF89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25999D5C">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3116C4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35</w:t>
            </w:r>
          </w:p>
        </w:tc>
        <w:tc>
          <w:tcPr>
            <w:tcW w:w="567" w:type="dxa"/>
            <w:noWrap w:val="0"/>
            <w:tcMar>
              <w:left w:w="108" w:type="dxa"/>
              <w:right w:w="108" w:type="dxa"/>
            </w:tcMar>
            <w:vAlign w:val="center"/>
          </w:tcPr>
          <w:p w14:paraId="20072C2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B7DD6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05A49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AD221E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7A5C2A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B4B582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35</w:t>
            </w:r>
          </w:p>
        </w:tc>
      </w:tr>
      <w:tr w14:paraId="4503D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137E4384">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2CB3224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eastAsia="仿宋_GB2312"/>
                <w:szCs w:val="21"/>
                <w:lang w:val="en-US" w:eastAsia="zh-CN"/>
              </w:rPr>
              <w:t>3</w:t>
            </w:r>
          </w:p>
        </w:tc>
        <w:tc>
          <w:tcPr>
            <w:tcW w:w="567" w:type="dxa"/>
            <w:noWrap w:val="0"/>
            <w:tcMar>
              <w:left w:w="108" w:type="dxa"/>
              <w:right w:w="108" w:type="dxa"/>
            </w:tcMar>
            <w:vAlign w:val="center"/>
          </w:tcPr>
          <w:p w14:paraId="718A93F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03FF1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1E6978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EBEB8E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55FBB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6B801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eastAsia="仿宋_GB2312"/>
                <w:szCs w:val="21"/>
                <w:lang w:val="en-US" w:eastAsia="zh-CN"/>
              </w:rPr>
              <w:t>3</w:t>
            </w:r>
          </w:p>
        </w:tc>
      </w:tr>
      <w:tr w14:paraId="1CB70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7A11C0C1">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14FBB7EE">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1FA26C6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8</w:t>
            </w:r>
          </w:p>
        </w:tc>
        <w:tc>
          <w:tcPr>
            <w:tcW w:w="567" w:type="dxa"/>
            <w:noWrap w:val="0"/>
            <w:tcMar>
              <w:left w:w="108" w:type="dxa"/>
              <w:right w:w="108" w:type="dxa"/>
            </w:tcMar>
            <w:vAlign w:val="center"/>
          </w:tcPr>
          <w:p w14:paraId="5C2D443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A832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8C067B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34359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8E626F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98C9A0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8</w:t>
            </w:r>
          </w:p>
        </w:tc>
      </w:tr>
      <w:tr w14:paraId="49896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05A40D8">
            <w:pPr>
              <w:rPr>
                <w:rFonts w:ascii="Times New Roman" w:hAnsi="Times New Roman" w:eastAsia="黑体"/>
                <w:szCs w:val="21"/>
              </w:rPr>
            </w:pPr>
          </w:p>
        </w:tc>
        <w:tc>
          <w:tcPr>
            <w:tcW w:w="4677" w:type="dxa"/>
            <w:gridSpan w:val="2"/>
            <w:noWrap w:val="0"/>
            <w:tcMar>
              <w:left w:w="108" w:type="dxa"/>
              <w:right w:w="108" w:type="dxa"/>
            </w:tcMar>
            <w:vAlign w:val="center"/>
          </w:tcPr>
          <w:p w14:paraId="0E05350F">
            <w:pPr>
              <w:widowControl/>
              <w:rPr>
                <w:rFonts w:ascii="Times New Roman" w:hAnsi="Times New Roman" w:eastAsia="黑体"/>
                <w:szCs w:val="21"/>
              </w:rPr>
            </w:pPr>
            <w:r>
              <w:rPr>
                <w:rFonts w:hint="eastAsia" w:ascii="Times New Roman" w:hAnsi="Times New Roman" w:eastAsia="黑体"/>
                <w:kern w:val="0"/>
                <w:szCs w:val="21"/>
              </w:rPr>
              <w:t>（二）部分公开（区分处理的，只计这一情形，不计其他情形）</w:t>
            </w:r>
          </w:p>
        </w:tc>
        <w:tc>
          <w:tcPr>
            <w:tcW w:w="829" w:type="dxa"/>
            <w:noWrap w:val="0"/>
            <w:tcMar>
              <w:left w:w="108" w:type="dxa"/>
              <w:right w:w="108" w:type="dxa"/>
            </w:tcMar>
            <w:vAlign w:val="center"/>
          </w:tcPr>
          <w:p w14:paraId="0E210A9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8</w:t>
            </w:r>
          </w:p>
        </w:tc>
        <w:tc>
          <w:tcPr>
            <w:tcW w:w="567" w:type="dxa"/>
            <w:noWrap w:val="0"/>
            <w:tcMar>
              <w:left w:w="108" w:type="dxa"/>
              <w:right w:w="108" w:type="dxa"/>
            </w:tcMar>
            <w:vAlign w:val="center"/>
          </w:tcPr>
          <w:p w14:paraId="5C05AF3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50FC4F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343CAA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16659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962DE7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E81518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8</w:t>
            </w:r>
          </w:p>
        </w:tc>
      </w:tr>
      <w:tr w14:paraId="0CF80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E1110E3">
            <w:pPr>
              <w:rPr>
                <w:rFonts w:ascii="Times New Roman" w:hAnsi="Times New Roman" w:eastAsia="黑体"/>
                <w:szCs w:val="21"/>
              </w:rPr>
            </w:pPr>
          </w:p>
        </w:tc>
        <w:tc>
          <w:tcPr>
            <w:tcW w:w="1701" w:type="dxa"/>
            <w:vMerge w:val="restart"/>
            <w:noWrap w:val="0"/>
            <w:tcMar>
              <w:left w:w="108" w:type="dxa"/>
              <w:right w:w="108" w:type="dxa"/>
            </w:tcMar>
            <w:vAlign w:val="center"/>
          </w:tcPr>
          <w:p w14:paraId="6EF52468">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1B01BBC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3944EBA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D00C7B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BF6C4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678B30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955B95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23F9CE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4546A3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CB21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1880604">
            <w:pPr>
              <w:rPr>
                <w:rFonts w:ascii="Times New Roman" w:hAnsi="Times New Roman" w:eastAsia="黑体"/>
                <w:szCs w:val="21"/>
              </w:rPr>
            </w:pPr>
          </w:p>
        </w:tc>
        <w:tc>
          <w:tcPr>
            <w:tcW w:w="1701" w:type="dxa"/>
            <w:vMerge w:val="continue"/>
            <w:noWrap w:val="0"/>
            <w:tcMar>
              <w:left w:w="108" w:type="dxa"/>
              <w:right w:w="108" w:type="dxa"/>
            </w:tcMar>
            <w:vAlign w:val="center"/>
          </w:tcPr>
          <w:p w14:paraId="21D2173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1E4FD7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66A3C8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40081B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0930E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A4F05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0E2B19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56ADF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EF5BCC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9AB56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65F6E6F">
            <w:pPr>
              <w:rPr>
                <w:rFonts w:ascii="Times New Roman" w:hAnsi="Times New Roman" w:eastAsia="黑体"/>
                <w:szCs w:val="21"/>
              </w:rPr>
            </w:pPr>
          </w:p>
        </w:tc>
        <w:tc>
          <w:tcPr>
            <w:tcW w:w="1701" w:type="dxa"/>
            <w:vMerge w:val="continue"/>
            <w:noWrap w:val="0"/>
            <w:tcMar>
              <w:left w:w="108" w:type="dxa"/>
              <w:right w:w="108" w:type="dxa"/>
            </w:tcMar>
            <w:vAlign w:val="center"/>
          </w:tcPr>
          <w:p w14:paraId="04FA087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F199A3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0ADC9A5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9708C8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511D2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2052D8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12CD1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AF38DC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BE922C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CABF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D71520B">
            <w:pPr>
              <w:rPr>
                <w:rFonts w:ascii="Times New Roman" w:hAnsi="Times New Roman" w:eastAsia="黑体"/>
                <w:szCs w:val="21"/>
              </w:rPr>
            </w:pPr>
          </w:p>
        </w:tc>
        <w:tc>
          <w:tcPr>
            <w:tcW w:w="1701" w:type="dxa"/>
            <w:vMerge w:val="continue"/>
            <w:noWrap w:val="0"/>
            <w:tcMar>
              <w:left w:w="108" w:type="dxa"/>
              <w:right w:w="108" w:type="dxa"/>
            </w:tcMar>
            <w:vAlign w:val="center"/>
          </w:tcPr>
          <w:p w14:paraId="5A4F436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C677ED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1891FDE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3CEAF1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396D5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D028A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C3C1C2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DAEAF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8E0B4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70CD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DBD0B79">
            <w:pPr>
              <w:rPr>
                <w:rFonts w:ascii="Times New Roman" w:hAnsi="Times New Roman" w:eastAsia="黑体"/>
                <w:szCs w:val="21"/>
              </w:rPr>
            </w:pPr>
          </w:p>
        </w:tc>
        <w:tc>
          <w:tcPr>
            <w:tcW w:w="1701" w:type="dxa"/>
            <w:vMerge w:val="continue"/>
            <w:noWrap w:val="0"/>
            <w:tcMar>
              <w:left w:w="108" w:type="dxa"/>
              <w:right w:w="108" w:type="dxa"/>
            </w:tcMar>
            <w:vAlign w:val="center"/>
          </w:tcPr>
          <w:p w14:paraId="6DE9026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B98335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47BAFE8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0F64A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03859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EAB630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CFC1F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8E27E9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176EE1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23227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FC5734E">
            <w:pPr>
              <w:rPr>
                <w:rFonts w:ascii="Times New Roman" w:hAnsi="Times New Roman" w:eastAsia="黑体"/>
                <w:szCs w:val="21"/>
              </w:rPr>
            </w:pPr>
          </w:p>
        </w:tc>
        <w:tc>
          <w:tcPr>
            <w:tcW w:w="1701" w:type="dxa"/>
            <w:vMerge w:val="continue"/>
            <w:noWrap w:val="0"/>
            <w:tcMar>
              <w:left w:w="108" w:type="dxa"/>
              <w:right w:w="108" w:type="dxa"/>
            </w:tcMar>
            <w:vAlign w:val="center"/>
          </w:tcPr>
          <w:p w14:paraId="4D98AD6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3B1FB9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4156788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C8AF4A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6FF3E2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6AFDD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E30FFF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29E00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306131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50B1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21F30F4">
            <w:pPr>
              <w:rPr>
                <w:rFonts w:ascii="Times New Roman" w:hAnsi="Times New Roman" w:eastAsia="黑体"/>
                <w:szCs w:val="21"/>
              </w:rPr>
            </w:pPr>
          </w:p>
        </w:tc>
        <w:tc>
          <w:tcPr>
            <w:tcW w:w="1701" w:type="dxa"/>
            <w:vMerge w:val="continue"/>
            <w:noWrap w:val="0"/>
            <w:tcMar>
              <w:left w:w="108" w:type="dxa"/>
              <w:right w:w="108" w:type="dxa"/>
            </w:tcMar>
            <w:vAlign w:val="center"/>
          </w:tcPr>
          <w:p w14:paraId="7A339CEF">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CD0554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66F95E9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68F676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C9D0B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86B9E6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E57C13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78AAE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E75BA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2F91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FA80449">
            <w:pPr>
              <w:rPr>
                <w:rFonts w:ascii="Times New Roman" w:hAnsi="Times New Roman" w:eastAsia="黑体"/>
                <w:szCs w:val="21"/>
              </w:rPr>
            </w:pPr>
          </w:p>
        </w:tc>
        <w:tc>
          <w:tcPr>
            <w:tcW w:w="1701" w:type="dxa"/>
            <w:vMerge w:val="continue"/>
            <w:noWrap w:val="0"/>
            <w:tcMar>
              <w:left w:w="108" w:type="dxa"/>
              <w:right w:w="108" w:type="dxa"/>
            </w:tcMar>
            <w:vAlign w:val="center"/>
          </w:tcPr>
          <w:p w14:paraId="03106D3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FADABD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6B272ED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9A9882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B3E4E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C8EAA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369F6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8D7A4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91A18F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100E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7AA9FF4">
            <w:pPr>
              <w:rPr>
                <w:rFonts w:ascii="Times New Roman" w:hAnsi="Times New Roman" w:eastAsia="黑体"/>
                <w:szCs w:val="21"/>
              </w:rPr>
            </w:pPr>
          </w:p>
        </w:tc>
        <w:tc>
          <w:tcPr>
            <w:tcW w:w="1701" w:type="dxa"/>
            <w:vMerge w:val="restart"/>
            <w:noWrap w:val="0"/>
            <w:tcMar>
              <w:left w:w="108" w:type="dxa"/>
              <w:right w:w="108" w:type="dxa"/>
            </w:tcMar>
            <w:vAlign w:val="center"/>
          </w:tcPr>
          <w:p w14:paraId="601414B5">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189E961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2DE5255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14</w:t>
            </w:r>
          </w:p>
        </w:tc>
        <w:tc>
          <w:tcPr>
            <w:tcW w:w="567" w:type="dxa"/>
            <w:noWrap w:val="0"/>
            <w:tcMar>
              <w:left w:w="108" w:type="dxa"/>
              <w:right w:w="108" w:type="dxa"/>
            </w:tcMar>
            <w:vAlign w:val="center"/>
          </w:tcPr>
          <w:p w14:paraId="66147BA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70D035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E1D2AA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B08120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1D8F3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47D3E3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14</w:t>
            </w:r>
          </w:p>
        </w:tc>
      </w:tr>
      <w:tr w14:paraId="53721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D9914FB">
            <w:pPr>
              <w:rPr>
                <w:rFonts w:ascii="Times New Roman" w:hAnsi="Times New Roman" w:eastAsia="黑体"/>
                <w:szCs w:val="21"/>
              </w:rPr>
            </w:pPr>
          </w:p>
        </w:tc>
        <w:tc>
          <w:tcPr>
            <w:tcW w:w="1701" w:type="dxa"/>
            <w:vMerge w:val="continue"/>
            <w:noWrap w:val="0"/>
            <w:tcMar>
              <w:left w:w="108" w:type="dxa"/>
              <w:right w:w="108" w:type="dxa"/>
            </w:tcMar>
            <w:vAlign w:val="center"/>
          </w:tcPr>
          <w:p w14:paraId="6C923D24">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3E02040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7665761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B757D2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E00A2C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1A680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6A2B6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D8402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19CAAC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15E6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B93F72A">
            <w:pPr>
              <w:rPr>
                <w:rFonts w:ascii="Times New Roman" w:hAnsi="Times New Roman" w:eastAsia="黑体"/>
                <w:szCs w:val="21"/>
              </w:rPr>
            </w:pPr>
          </w:p>
        </w:tc>
        <w:tc>
          <w:tcPr>
            <w:tcW w:w="1701" w:type="dxa"/>
            <w:vMerge w:val="continue"/>
            <w:noWrap w:val="0"/>
            <w:tcMar>
              <w:left w:w="108" w:type="dxa"/>
              <w:right w:w="108" w:type="dxa"/>
            </w:tcMar>
            <w:vAlign w:val="center"/>
          </w:tcPr>
          <w:p w14:paraId="731A2175">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2E8887F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4AD0BB5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A5354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BC9F1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48FF91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798EE0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DEDB9D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A60F17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908A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0595B7F">
            <w:pPr>
              <w:rPr>
                <w:rFonts w:ascii="Times New Roman" w:hAnsi="Times New Roman" w:eastAsia="黑体"/>
                <w:szCs w:val="21"/>
              </w:rPr>
            </w:pPr>
          </w:p>
        </w:tc>
        <w:tc>
          <w:tcPr>
            <w:tcW w:w="1701" w:type="dxa"/>
            <w:vMerge w:val="restart"/>
            <w:noWrap w:val="0"/>
            <w:tcMar>
              <w:left w:w="108" w:type="dxa"/>
              <w:right w:w="108" w:type="dxa"/>
            </w:tcMar>
            <w:vAlign w:val="center"/>
          </w:tcPr>
          <w:p w14:paraId="02D868AD">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57A4342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2FD83B1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BD8897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F659D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33BBA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FE1429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2B787A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CAC15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D951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ED2277B">
            <w:pPr>
              <w:rPr>
                <w:rFonts w:ascii="Times New Roman" w:hAnsi="Times New Roman" w:eastAsia="黑体"/>
                <w:szCs w:val="21"/>
              </w:rPr>
            </w:pPr>
          </w:p>
        </w:tc>
        <w:tc>
          <w:tcPr>
            <w:tcW w:w="1701" w:type="dxa"/>
            <w:vMerge w:val="continue"/>
            <w:noWrap w:val="0"/>
            <w:tcMar>
              <w:left w:w="108" w:type="dxa"/>
              <w:right w:w="108" w:type="dxa"/>
            </w:tcMar>
            <w:vAlign w:val="center"/>
          </w:tcPr>
          <w:p w14:paraId="2CBCC2E0">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80E1B0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16E9A5D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D23EAD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DC2D30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E0C61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D1BDD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C89B5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94116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FCF6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E08A601">
            <w:pPr>
              <w:rPr>
                <w:rFonts w:ascii="Times New Roman" w:hAnsi="Times New Roman" w:eastAsia="黑体"/>
                <w:szCs w:val="21"/>
              </w:rPr>
            </w:pPr>
          </w:p>
        </w:tc>
        <w:tc>
          <w:tcPr>
            <w:tcW w:w="1701" w:type="dxa"/>
            <w:vMerge w:val="continue"/>
            <w:noWrap w:val="0"/>
            <w:tcMar>
              <w:left w:w="108" w:type="dxa"/>
              <w:right w:w="108" w:type="dxa"/>
            </w:tcMar>
            <w:vAlign w:val="center"/>
          </w:tcPr>
          <w:p w14:paraId="3E4447F5">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45BB20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1BA15DF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ECE71C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9A620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CB638A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5222A5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43D010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A56D0F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194F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6" w:type="dxa"/>
            <w:vMerge w:val="continue"/>
            <w:noWrap w:val="0"/>
            <w:tcMar>
              <w:left w:w="108" w:type="dxa"/>
              <w:right w:w="108" w:type="dxa"/>
            </w:tcMar>
            <w:vAlign w:val="center"/>
          </w:tcPr>
          <w:p w14:paraId="00BCB1A4">
            <w:pPr>
              <w:rPr>
                <w:rFonts w:ascii="Times New Roman" w:hAnsi="Times New Roman" w:eastAsia="黑体"/>
                <w:szCs w:val="21"/>
              </w:rPr>
            </w:pPr>
          </w:p>
        </w:tc>
        <w:tc>
          <w:tcPr>
            <w:tcW w:w="1701" w:type="dxa"/>
            <w:vMerge w:val="continue"/>
            <w:noWrap w:val="0"/>
            <w:tcMar>
              <w:left w:w="108" w:type="dxa"/>
              <w:right w:w="108" w:type="dxa"/>
            </w:tcMar>
            <w:vAlign w:val="center"/>
          </w:tcPr>
          <w:p w14:paraId="4058B88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481538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4564494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43AE17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23CB94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5711A1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B98F8B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7AC33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AEFAC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FD64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9E188F2">
            <w:pPr>
              <w:rPr>
                <w:rFonts w:ascii="Times New Roman" w:hAnsi="Times New Roman" w:eastAsia="黑体"/>
                <w:szCs w:val="21"/>
              </w:rPr>
            </w:pPr>
          </w:p>
        </w:tc>
        <w:tc>
          <w:tcPr>
            <w:tcW w:w="1701" w:type="dxa"/>
            <w:vMerge w:val="continue"/>
            <w:noWrap w:val="0"/>
            <w:tcMar>
              <w:left w:w="108" w:type="dxa"/>
              <w:right w:w="108" w:type="dxa"/>
            </w:tcMar>
            <w:vAlign w:val="center"/>
          </w:tcPr>
          <w:p w14:paraId="68F41A5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8984C1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5.要求行政机关确认或重新</w:t>
            </w:r>
          </w:p>
          <w:p w14:paraId="0176DFE8">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ascii="Times New Roman" w:hAnsi="Times New Roman" w:eastAsia="仿宋_GB2312"/>
                <w:szCs w:val="21"/>
              </w:rPr>
            </w:pPr>
            <w:r>
              <w:rPr>
                <w:rFonts w:hint="eastAsia" w:ascii="Times New Roman" w:hAnsi="Times New Roman" w:eastAsia="仿宋_GB2312"/>
                <w:kern w:val="0"/>
                <w:szCs w:val="21"/>
              </w:rPr>
              <w:t>出具已获取信息</w:t>
            </w:r>
          </w:p>
        </w:tc>
        <w:tc>
          <w:tcPr>
            <w:tcW w:w="829" w:type="dxa"/>
            <w:noWrap w:val="0"/>
            <w:tcMar>
              <w:left w:w="108" w:type="dxa"/>
              <w:right w:w="108" w:type="dxa"/>
            </w:tcMar>
            <w:vAlign w:val="center"/>
          </w:tcPr>
          <w:p w14:paraId="0E3A8BB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A953B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6BB604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D9903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5D5995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643A58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582DD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944D1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E70A2F9">
            <w:pPr>
              <w:rPr>
                <w:rFonts w:ascii="Times New Roman" w:hAnsi="Times New Roman" w:eastAsia="黑体"/>
                <w:szCs w:val="21"/>
              </w:rPr>
            </w:pPr>
          </w:p>
        </w:tc>
        <w:tc>
          <w:tcPr>
            <w:tcW w:w="1701" w:type="dxa"/>
            <w:vMerge w:val="restart"/>
            <w:noWrap w:val="0"/>
            <w:tcMar>
              <w:left w:w="108" w:type="dxa"/>
              <w:right w:w="108" w:type="dxa"/>
            </w:tcMar>
            <w:vAlign w:val="center"/>
          </w:tcPr>
          <w:p w14:paraId="4CD16EE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3FC9A53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52B6CA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B6517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DC3920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FCF15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E6AA85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D6879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4E54B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E4FF7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007C9B2D">
            <w:pPr>
              <w:rPr>
                <w:rFonts w:ascii="Times New Roman" w:hAnsi="Times New Roman" w:eastAsia="黑体"/>
                <w:szCs w:val="21"/>
              </w:rPr>
            </w:pPr>
          </w:p>
        </w:tc>
        <w:tc>
          <w:tcPr>
            <w:tcW w:w="1701" w:type="dxa"/>
            <w:vMerge w:val="continue"/>
            <w:noWrap w:val="0"/>
            <w:tcMar>
              <w:left w:w="108" w:type="dxa"/>
              <w:right w:w="108" w:type="dxa"/>
            </w:tcMar>
            <w:vAlign w:val="center"/>
          </w:tcPr>
          <w:p w14:paraId="6B5105F7">
            <w:pPr>
              <w:widowControl/>
              <w:spacing w:line="300" w:lineRule="exact"/>
              <w:rPr>
                <w:rFonts w:ascii="Times New Roman" w:hAnsi="Times New Roman" w:eastAsia="黑体"/>
                <w:kern w:val="0"/>
                <w:szCs w:val="21"/>
              </w:rPr>
            </w:pPr>
          </w:p>
        </w:tc>
        <w:tc>
          <w:tcPr>
            <w:tcW w:w="2976" w:type="dxa"/>
            <w:noWrap w:val="0"/>
            <w:vAlign w:val="center"/>
          </w:tcPr>
          <w:p w14:paraId="3AD1D84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6023CDF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3E77E5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A16A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839D7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4BA258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6232B0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4E414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974B4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6FEB4982">
            <w:pPr>
              <w:rPr>
                <w:rFonts w:ascii="Times New Roman" w:hAnsi="Times New Roman" w:eastAsia="黑体"/>
                <w:szCs w:val="21"/>
              </w:rPr>
            </w:pPr>
          </w:p>
        </w:tc>
        <w:tc>
          <w:tcPr>
            <w:tcW w:w="1701" w:type="dxa"/>
            <w:vMerge w:val="continue"/>
            <w:noWrap w:val="0"/>
            <w:tcMar>
              <w:left w:w="108" w:type="dxa"/>
              <w:right w:w="108" w:type="dxa"/>
            </w:tcMar>
            <w:vAlign w:val="center"/>
          </w:tcPr>
          <w:p w14:paraId="66715708">
            <w:pPr>
              <w:widowControl/>
              <w:spacing w:line="300" w:lineRule="exact"/>
              <w:rPr>
                <w:rFonts w:ascii="Times New Roman" w:hAnsi="Times New Roman" w:eastAsia="黑体"/>
                <w:kern w:val="0"/>
                <w:szCs w:val="21"/>
              </w:rPr>
            </w:pPr>
          </w:p>
        </w:tc>
        <w:tc>
          <w:tcPr>
            <w:tcW w:w="2976" w:type="dxa"/>
            <w:noWrap w:val="0"/>
            <w:vAlign w:val="center"/>
          </w:tcPr>
          <w:p w14:paraId="4656FA2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06C08BE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FF9DEE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E0AEE3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17A01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78278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8C897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EEDB3D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BED6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CF4290C">
            <w:pPr>
              <w:rPr>
                <w:rFonts w:ascii="Times New Roman" w:hAnsi="Times New Roman" w:eastAsia="黑体"/>
                <w:szCs w:val="21"/>
              </w:rPr>
            </w:pPr>
          </w:p>
        </w:tc>
        <w:tc>
          <w:tcPr>
            <w:tcW w:w="4677" w:type="dxa"/>
            <w:gridSpan w:val="2"/>
            <w:noWrap w:val="0"/>
            <w:tcMar>
              <w:left w:w="108" w:type="dxa"/>
              <w:right w:w="108" w:type="dxa"/>
            </w:tcMar>
            <w:vAlign w:val="center"/>
          </w:tcPr>
          <w:p w14:paraId="457EF308">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5909F69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30</w:t>
            </w:r>
          </w:p>
        </w:tc>
        <w:tc>
          <w:tcPr>
            <w:tcW w:w="567" w:type="dxa"/>
            <w:noWrap w:val="0"/>
            <w:tcMar>
              <w:left w:w="108" w:type="dxa"/>
              <w:right w:w="108" w:type="dxa"/>
            </w:tcMar>
            <w:vAlign w:val="center"/>
          </w:tcPr>
          <w:p w14:paraId="51FE87B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8F67C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8B690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86E500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097882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852157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30</w:t>
            </w:r>
          </w:p>
        </w:tc>
      </w:tr>
      <w:tr w14:paraId="16DB68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55669548">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7DE9EBA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eastAsia="仿宋_GB2312"/>
                <w:szCs w:val="21"/>
                <w:lang w:val="en-US" w:eastAsia="zh-CN"/>
              </w:rPr>
              <w:t>8</w:t>
            </w:r>
          </w:p>
        </w:tc>
        <w:tc>
          <w:tcPr>
            <w:tcW w:w="567" w:type="dxa"/>
            <w:noWrap w:val="0"/>
            <w:tcMar>
              <w:left w:w="108" w:type="dxa"/>
              <w:right w:w="108" w:type="dxa"/>
            </w:tcMar>
            <w:vAlign w:val="center"/>
          </w:tcPr>
          <w:p w14:paraId="34916EB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3EB1A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BF3D4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73544A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F2FBF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2F1D7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eastAsia="仿宋_GB2312"/>
                <w:szCs w:val="21"/>
                <w:lang w:val="en-US" w:eastAsia="zh-CN"/>
              </w:rPr>
              <w:t>8</w:t>
            </w:r>
          </w:p>
        </w:tc>
      </w:tr>
    </w:tbl>
    <w:p w14:paraId="636E11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黑体简体"/>
          <w:b/>
          <w:color w:val="FF0000"/>
          <w:sz w:val="32"/>
          <w:szCs w:val="32"/>
        </w:rPr>
      </w:pPr>
      <w:r>
        <w:rPr>
          <w:rFonts w:eastAsia="方正黑体简体"/>
          <w:b/>
          <w:sz w:val="32"/>
          <w:szCs w:val="32"/>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AF7AF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0B2EF63">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6AE6CCE2">
            <w:pPr>
              <w:widowControl/>
              <w:jc w:val="center"/>
              <w:rPr>
                <w:rFonts w:ascii="黑体" w:hAnsi="黑体" w:eastAsia="黑体"/>
              </w:rPr>
            </w:pPr>
            <w:r>
              <w:rPr>
                <w:rFonts w:ascii="黑体" w:hAnsi="黑体" w:eastAsia="黑体"/>
                <w:kern w:val="0"/>
                <w:sz w:val="20"/>
                <w:szCs w:val="20"/>
              </w:rPr>
              <w:t>行政诉讼</w:t>
            </w:r>
          </w:p>
        </w:tc>
      </w:tr>
      <w:tr w14:paraId="42B53F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single" w:color="auto" w:sz="8" w:space="0"/>
              <w:left w:val="single" w:color="auto" w:sz="8" w:space="0"/>
              <w:bottom w:val="single" w:color="auto" w:sz="8" w:space="0"/>
              <w:right w:val="single" w:color="auto" w:sz="4" w:space="0"/>
            </w:tcBorders>
            <w:noWrap w:val="0"/>
            <w:tcMar>
              <w:left w:w="108" w:type="dxa"/>
              <w:right w:w="108" w:type="dxa"/>
            </w:tcMar>
            <w:vAlign w:val="center"/>
          </w:tcPr>
          <w:p w14:paraId="6612C695">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5D0671BB">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single" w:color="auto" w:sz="8" w:space="0"/>
              <w:left w:val="single" w:color="auto" w:sz="4" w:space="0"/>
              <w:bottom w:val="single" w:color="auto" w:sz="8" w:space="0"/>
              <w:right w:val="single" w:color="auto" w:sz="8" w:space="0"/>
            </w:tcBorders>
            <w:noWrap w:val="0"/>
            <w:tcMar>
              <w:left w:w="108" w:type="dxa"/>
              <w:right w:w="108" w:type="dxa"/>
            </w:tcMar>
            <w:vAlign w:val="center"/>
          </w:tcPr>
          <w:p w14:paraId="49B7D6A7">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F1F2AB8">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A8B696E">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3315C0D9">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7F4ECD6">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771D6AF2">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24CC871">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393A500C">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75A9BF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4D4706">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E5F8C16">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741ECF8">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68A3993">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4627AA5">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1ADB48E">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0176C70">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9A5439E">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1E7B7B45">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F081718">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62C87F45">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B6ED09C">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39C882B">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927696C">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05FA4EA9">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2CE0A20">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0D93CD49">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D8E6CE1">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C82F407">
            <w:pPr>
              <w:widowControl/>
              <w:jc w:val="center"/>
              <w:rPr>
                <w:rFonts w:ascii="黑体" w:hAnsi="黑体" w:eastAsia="黑体"/>
              </w:rPr>
            </w:pPr>
            <w:r>
              <w:rPr>
                <w:rFonts w:ascii="黑体" w:hAnsi="黑体" w:eastAsia="黑体"/>
                <w:kern w:val="0"/>
                <w:sz w:val="20"/>
                <w:szCs w:val="20"/>
              </w:rPr>
              <w:t>总计</w:t>
            </w:r>
          </w:p>
        </w:tc>
      </w:tr>
      <w:tr w14:paraId="4C4A79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99FA52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lang w:val="en-US" w:eastAsia="zh-CN"/>
              </w:rPr>
              <w:t>1</w:t>
            </w:r>
          </w:p>
        </w:tc>
        <w:tc>
          <w:tcPr>
            <w:tcW w:w="60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0F02E4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38A95D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2CE32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7D7B3D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lang w:val="en-US" w:eastAsia="zh-CN"/>
              </w:rPr>
              <w:t>1</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3399B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FF047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964006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A0D598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C762E0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27BF8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3ECAAE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8D6FF0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DB627C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lang w:val="en-US" w:eastAsia="zh-CN"/>
              </w:rPr>
              <w:t>1</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471454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lang w:val="en-US" w:eastAsia="zh-CN"/>
              </w:rPr>
              <w:t>1</w:t>
            </w:r>
          </w:p>
        </w:tc>
      </w:tr>
    </w:tbl>
    <w:p w14:paraId="2E667B8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eastAsia="方正黑体简体"/>
          <w:b/>
          <w:sz w:val="32"/>
          <w:szCs w:val="32"/>
        </w:rPr>
      </w:pPr>
      <w:r>
        <w:rPr>
          <w:rFonts w:eastAsia="方正黑体简体"/>
          <w:b/>
          <w:sz w:val="32"/>
          <w:szCs w:val="32"/>
        </w:rPr>
        <w:t>五、存在的主要问题及改进情况</w:t>
      </w:r>
    </w:p>
    <w:p w14:paraId="719FA81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eastAsia="方正仿宋简体"/>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eastAsia="方正仿宋简体"/>
          <w:b/>
          <w:color w:val="000000"/>
          <w:sz w:val="32"/>
          <w:szCs w:val="32"/>
          <w:lang w:val="en-US" w:eastAsia="zh-CN"/>
        </w:rPr>
        <w:t>1、信息公开力度不够大，与“不公开为例外”的要求还有差距；2、信息公开深度有待提升，对政策文件等内容的解读较为表面化，公众难以全面了解政策内涵和实施细节。</w:t>
      </w:r>
    </w:p>
    <w:p w14:paraId="0378C9C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2025年，将从以下几个方面重点改进：</w:t>
      </w:r>
    </w:p>
    <w:p w14:paraId="280B944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1、加强保障制度，形成长效机制。进一步健全保障制度，细化措施，通过监督检查落实各项政府信息制度，形成提供及时、更新快速、办理高效的常态化运行机制。</w:t>
      </w:r>
    </w:p>
    <w:p w14:paraId="3C1BBAD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2、深度挖掘政策背后切实关系到公众利益的重点，利用专家解读、漫画解读、卡通动画等浅显易懂的形式让公众全面参与了解。</w:t>
      </w:r>
    </w:p>
    <w:p w14:paraId="44181929">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eastAsia="方正黑体简体"/>
          <w:b/>
          <w:sz w:val="32"/>
          <w:szCs w:val="32"/>
        </w:rPr>
      </w:pPr>
      <w:r>
        <w:rPr>
          <w:rFonts w:eastAsia="方正黑体简体"/>
          <w:b/>
          <w:sz w:val="32"/>
          <w:szCs w:val="32"/>
        </w:rPr>
        <w:t>六、其他需要报告的事项</w:t>
      </w:r>
    </w:p>
    <w:p w14:paraId="1722510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40C2AF0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坚持政府信息公开零收费制度，住建局办理政府信息公开未对公民、法人和其他组织收费。</w:t>
      </w:r>
    </w:p>
    <w:p w14:paraId="7E82BF6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6DE8102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cs="Times New Roman"/>
          <w:b/>
          <w:color w:val="0000FF"/>
          <w:sz w:val="32"/>
          <w:szCs w:val="32"/>
          <w:lang w:val="en-US" w:eastAsia="zh-CN"/>
        </w:rPr>
      </w:pPr>
      <w:r>
        <w:rPr>
          <w:rFonts w:hint="eastAsia" w:eastAsia="方正仿宋简体"/>
          <w:b/>
          <w:color w:val="000000"/>
          <w:sz w:val="32"/>
          <w:szCs w:val="32"/>
          <w:lang w:val="en-US" w:eastAsia="zh-CN"/>
        </w:rPr>
        <w:t>区住建局全面落实区政府办公室</w:t>
      </w:r>
      <w:r>
        <w:rPr>
          <w:rFonts w:hint="default" w:eastAsia="方正仿宋简体"/>
          <w:b/>
          <w:color w:val="000000"/>
          <w:sz w:val="32"/>
          <w:szCs w:val="32"/>
          <w:lang w:val="en-US" w:eastAsia="zh-CN"/>
        </w:rPr>
        <w:t>《关于印发2024年济宁市兖州区政务公开重点工作任务分解表的通知》（济兖政办字〔2024〕3号）文件要求</w:t>
      </w:r>
      <w:r>
        <w:rPr>
          <w:rFonts w:hint="eastAsia" w:eastAsia="方正仿宋简体"/>
          <w:b/>
          <w:color w:val="000000"/>
          <w:sz w:val="32"/>
          <w:szCs w:val="32"/>
          <w:lang w:val="en-US" w:eastAsia="zh-CN"/>
        </w:rPr>
        <w:t>，持续提升政府信息公开工作水平，各项工作均已完成并持续更新。</w:t>
      </w:r>
    </w:p>
    <w:p w14:paraId="03EAB84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62C5C9B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eastAsia="方正仿宋简体"/>
          <w:b/>
          <w:color w:val="000000"/>
          <w:sz w:val="32"/>
          <w:szCs w:val="32"/>
          <w:lang w:val="en-US" w:eastAsia="zh-CN"/>
        </w:rPr>
      </w:pPr>
      <w:r>
        <w:rPr>
          <w:rFonts w:hint="eastAsia" w:eastAsia="方正仿宋简体"/>
          <w:b/>
          <w:color w:val="000000"/>
          <w:sz w:val="32"/>
          <w:szCs w:val="32"/>
          <w:lang w:val="en-US" w:eastAsia="zh-CN"/>
        </w:rPr>
        <w:t>2024年，我局共承办9件人大代表建议和5件政协提案，已在</w:t>
      </w:r>
      <w:r>
        <w:rPr>
          <w:rFonts w:hint="default" w:eastAsia="方正仿宋简体"/>
          <w:b/>
          <w:color w:val="000000"/>
          <w:sz w:val="32"/>
          <w:szCs w:val="32"/>
          <w:lang w:val="en-US" w:eastAsia="zh-CN"/>
        </w:rPr>
        <w:t>部门、单位建议提案办理总体情况</w:t>
      </w:r>
      <w:r>
        <w:rPr>
          <w:rFonts w:hint="eastAsia" w:eastAsia="方正仿宋简体"/>
          <w:b/>
          <w:color w:val="000000"/>
          <w:sz w:val="32"/>
          <w:szCs w:val="32"/>
          <w:lang w:val="en-US" w:eastAsia="zh-CN"/>
        </w:rPr>
        <w:t>中公开。</w:t>
      </w:r>
    </w:p>
    <w:p w14:paraId="03510B0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r>
        <w:rPr>
          <w:rFonts w:hint="eastAsia" w:eastAsia="方正仿宋简体"/>
          <w:b/>
          <w:color w:val="000000"/>
          <w:sz w:val="32"/>
          <w:szCs w:val="32"/>
          <w:lang w:val="en-US" w:eastAsia="zh-CN"/>
        </w:rPr>
        <w:t>我局加强源头治理，高质高效办理依申请公开。以群众需求为出发点，加强申请内容用途分析，充分了解申请人诉求，诉求合理的，积极协调有关部门推动问题解决，以公开促进矛盾化解。</w:t>
      </w:r>
    </w:p>
    <w:p w14:paraId="0912701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r>
        <w:rPr>
          <w:rFonts w:hint="eastAsia" w:eastAsia="方正仿宋简体"/>
          <w:b/>
          <w:color w:val="000000"/>
          <w:sz w:val="32"/>
          <w:szCs w:val="32"/>
          <w:lang w:val="en-US" w:eastAsia="zh-CN"/>
        </w:rPr>
        <w:t>无</w:t>
      </w:r>
    </w:p>
    <w:p w14:paraId="25AE8B07">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sz w:val="32"/>
          <w:szCs w:val="32"/>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sz w:val="32"/>
          <w:szCs w:val="32"/>
        </w:rPr>
        <w:t>无</w:t>
      </w:r>
    </w:p>
    <w:p w14:paraId="272DC72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sz w:val="32"/>
          <w:szCs w:val="32"/>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sz w:val="32"/>
          <w:szCs w:val="32"/>
        </w:rPr>
        <w:t>无</w:t>
      </w:r>
    </w:p>
    <w:p w14:paraId="1916AAE8"/>
    <w:p w14:paraId="700C9632"/>
    <w:p w14:paraId="00B0486C"/>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altName w:val="Arial Unicode MS"/>
    <w:panose1 w:val="03000509000000000000"/>
    <w:charset w:val="86"/>
    <w:family w:val="auto"/>
    <w:pitch w:val="default"/>
    <w:sig w:usb0="00000000" w:usb1="00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FE880"/>
    <w:multiLevelType w:val="multilevel"/>
    <w:tmpl w:val="8BBFE880"/>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16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52B9C949"/>
    <w:multiLevelType w:val="singleLevel"/>
    <w:tmpl w:val="52B9C949"/>
    <w:lvl w:ilvl="0" w:tentative="0">
      <w:start w:val="1"/>
      <w:numFmt w:val="chineseCounting"/>
      <w:suff w:val="nothing"/>
      <w:lvlText w:val="（%1）"/>
      <w:lvlJc w:val="left"/>
      <w:rPr>
        <w:rFonts w:hint="eastAsia"/>
      </w:rPr>
    </w:lvl>
  </w:abstractNum>
  <w:abstractNum w:abstractNumId="2">
    <w:nsid w:val="66996630"/>
    <w:multiLevelType w:val="singleLevel"/>
    <w:tmpl w:val="66996630"/>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925516fd-6842-4507-b01c-14027766a53c"/>
  </w:docVars>
  <w:rsids>
    <w:rsidRoot w:val="0124592E"/>
    <w:rsid w:val="006C1F77"/>
    <w:rsid w:val="0124592E"/>
    <w:rsid w:val="053973EC"/>
    <w:rsid w:val="074E0C6D"/>
    <w:rsid w:val="092A2AD4"/>
    <w:rsid w:val="0D330BC5"/>
    <w:rsid w:val="0D734FCF"/>
    <w:rsid w:val="0DE24698"/>
    <w:rsid w:val="133E02C4"/>
    <w:rsid w:val="1981715C"/>
    <w:rsid w:val="1CD964CF"/>
    <w:rsid w:val="21F7445F"/>
    <w:rsid w:val="22EB3F56"/>
    <w:rsid w:val="2C852327"/>
    <w:rsid w:val="3210344F"/>
    <w:rsid w:val="34DD3ACE"/>
    <w:rsid w:val="374D6BA3"/>
    <w:rsid w:val="37FF0583"/>
    <w:rsid w:val="3B243095"/>
    <w:rsid w:val="3B9B1226"/>
    <w:rsid w:val="3C030DF5"/>
    <w:rsid w:val="3E215184"/>
    <w:rsid w:val="3E3B73C8"/>
    <w:rsid w:val="3FED0A38"/>
    <w:rsid w:val="432B5CDA"/>
    <w:rsid w:val="4881717A"/>
    <w:rsid w:val="4B7D0C82"/>
    <w:rsid w:val="4BE4397B"/>
    <w:rsid w:val="4C1A4723"/>
    <w:rsid w:val="4D2C6E03"/>
    <w:rsid w:val="54000A74"/>
    <w:rsid w:val="56674AFD"/>
    <w:rsid w:val="57030BD5"/>
    <w:rsid w:val="602730FF"/>
    <w:rsid w:val="60734582"/>
    <w:rsid w:val="634D05A1"/>
    <w:rsid w:val="639037F0"/>
    <w:rsid w:val="64300B2F"/>
    <w:rsid w:val="692E2123"/>
    <w:rsid w:val="6DBB19A9"/>
    <w:rsid w:val="6EC802E2"/>
    <w:rsid w:val="74213FF1"/>
    <w:rsid w:val="74EA5469"/>
    <w:rsid w:val="75E1612D"/>
    <w:rsid w:val="764364A0"/>
    <w:rsid w:val="787DA846"/>
    <w:rsid w:val="7ECFA22D"/>
    <w:rsid w:val="E6E5611C"/>
    <w:rsid w:val="F3F57ED5"/>
    <w:rsid w:val="F3FF1806"/>
    <w:rsid w:val="F6FFF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numPr>
        <w:ilvl w:val="0"/>
        <w:numId w:val="1"/>
      </w:numPr>
      <w:tabs>
        <w:tab w:val="left" w:pos="0"/>
      </w:tabs>
      <w:spacing w:beforeLines="0" w:beforeAutospacing="0" w:afterLines="0" w:afterAutospacing="0" w:line="720" w:lineRule="auto"/>
      <w:ind w:firstLineChars="0"/>
      <w:jc w:val="center"/>
      <w:outlineLvl w:val="0"/>
    </w:pPr>
    <w:rPr>
      <w:rFonts w:ascii="Calibri" w:hAnsi="Calibri" w:eastAsia="黑体"/>
      <w:kern w:val="0"/>
      <w:sz w:val="32"/>
    </w:rPr>
  </w:style>
  <w:style w:type="paragraph" w:styleId="3">
    <w:name w:val="heading 2"/>
    <w:basedOn w:val="1"/>
    <w:next w:val="1"/>
    <w:semiHidden/>
    <w:unhideWhenUsed/>
    <w:qFormat/>
    <w:uiPriority w:val="0"/>
    <w:pPr>
      <w:keepNext/>
      <w:keepLines/>
      <w:spacing w:before="100" w:beforeLines="100" w:beforeAutospacing="0" w:after="100" w:afterLines="100" w:afterAutospacing="0" w:line="240" w:lineRule="auto"/>
      <w:ind w:leftChars="0" w:firstLine="560" w:firstLineChars="200"/>
      <w:jc w:val="left"/>
      <w:outlineLvl w:val="1"/>
    </w:pPr>
    <w:rPr>
      <w:rFonts w:ascii="Arial" w:hAnsi="Arial" w:eastAsia="黑体"/>
      <w:sz w:val="28"/>
    </w:rPr>
  </w:style>
  <w:style w:type="paragraph" w:styleId="4">
    <w:name w:val="heading 3"/>
    <w:basedOn w:val="1"/>
    <w:next w:val="1"/>
    <w:link w:val="11"/>
    <w:semiHidden/>
    <w:unhideWhenUsed/>
    <w:qFormat/>
    <w:uiPriority w:val="0"/>
    <w:pPr>
      <w:keepNext/>
      <w:keepLines/>
      <w:spacing w:beforeLines="0" w:beforeAutospacing="0" w:afterLines="0" w:afterAutospacing="0" w:line="400" w:lineRule="exact"/>
      <w:ind w:firstLine="560" w:firstLineChars="200"/>
      <w:jc w:val="left"/>
      <w:outlineLvl w:val="2"/>
    </w:pPr>
    <w:rPr>
      <w:rFonts w:ascii="Calibri" w:hAnsi="Calibri" w:eastAsia="黑体"/>
      <w:sz w:val="24"/>
    </w:rPr>
  </w:style>
  <w:style w:type="paragraph" w:styleId="5">
    <w:name w:val="heading 4"/>
    <w:basedOn w:val="1"/>
    <w:next w:val="1"/>
    <w:link w:val="10"/>
    <w:semiHidden/>
    <w:unhideWhenUsed/>
    <w:qFormat/>
    <w:uiPriority w:val="0"/>
    <w:pPr>
      <w:keepNext/>
      <w:keepLines/>
      <w:spacing w:beforeLines="0" w:beforeAutospacing="0" w:afterLines="0" w:afterAutospacing="0" w:line="400" w:lineRule="exact"/>
      <w:jc w:val="left"/>
      <w:outlineLvl w:val="3"/>
    </w:pPr>
    <w:rPr>
      <w:rFonts w:ascii="Arial" w:hAnsi="Arial"/>
      <w:b/>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99"/>
    <w:pPr>
      <w:spacing w:after="120"/>
    </w:pPr>
    <w:rPr>
      <w:rFonts w:ascii="Calibri" w:hAnsi="Calibri" w:eastAsia="宋体" w:cs="Calibri"/>
    </w:rPr>
  </w:style>
  <w:style w:type="paragraph" w:styleId="7">
    <w:name w:val="footer"/>
    <w:basedOn w:val="1"/>
    <w:qFormat/>
    <w:uiPriority w:val="0"/>
    <w:pPr>
      <w:tabs>
        <w:tab w:val="center" w:pos="4153"/>
        <w:tab w:val="right" w:pos="8306"/>
      </w:tabs>
      <w:snapToGrid w:val="0"/>
      <w:jc w:val="left"/>
    </w:pPr>
    <w:rPr>
      <w:sz w:val="18"/>
    </w:rPr>
  </w:style>
  <w:style w:type="character" w:customStyle="1" w:styleId="10">
    <w:name w:val="标题 4 Char"/>
    <w:link w:val="5"/>
    <w:qFormat/>
    <w:uiPriority w:val="0"/>
    <w:rPr>
      <w:rFonts w:ascii="Arial" w:hAnsi="Arial" w:eastAsia="宋体"/>
      <w:b/>
      <w:sz w:val="24"/>
    </w:rPr>
  </w:style>
  <w:style w:type="character" w:customStyle="1" w:styleId="11">
    <w:name w:val="标题 3 Char"/>
    <w:link w:val="4"/>
    <w:qFormat/>
    <w:uiPriority w:val="0"/>
    <w:rPr>
      <w:rFonts w:ascii="Calibri" w:hAnsi="Calibri" w:eastAsia="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政府信息主动公开</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96</a:t>
                    </a:r>
                    <a:r>
                      <a:rPr altLang="en-US"/>
                      <a:t>条</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50</a:t>
                    </a:r>
                    <a:r>
                      <a:rPr altLang="en-US"/>
                      <a:t>条</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5</a:t>
                    </a:r>
                    <a:r>
                      <a:rPr altLang="en-US"/>
                      <a:t>条</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3</a:t>
                    </a:r>
                    <a:r>
                      <a:rPr altLang="en-US"/>
                      <a:t>条</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工作动态信息</c:v>
                </c:pt>
                <c:pt idx="1">
                  <c:v>其他类信息</c:v>
                </c:pt>
                <c:pt idx="2">
                  <c:v>双随机一公开</c:v>
                </c:pt>
                <c:pt idx="3">
                  <c:v>政策性文件</c:v>
                </c:pt>
              </c:strCache>
            </c:strRef>
          </c:cat>
          <c:val>
            <c:numRef>
              <c:f>Sheet1!$B$2:$B$5</c:f>
              <c:numCache>
                <c:formatCode>General</c:formatCode>
                <c:ptCount val="4"/>
                <c:pt idx="0">
                  <c:v>6.2</c:v>
                </c:pt>
                <c:pt idx="1">
                  <c:v>3.2</c:v>
                </c:pt>
                <c:pt idx="2">
                  <c:v>0.4</c:v>
                </c:pt>
                <c:pt idx="3">
                  <c:v>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fe48c8-f129-493a-8c9c-757671cbdbb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en-US"/>
              <a:t>区住建局近四年政府信息申请数量</a:t>
            </a:r>
            <a:endParaRPr altLang="en-US"/>
          </a:p>
        </c:rich>
      </c:tx>
      <c:layout/>
      <c:overlay val="0"/>
      <c:spPr>
        <a:noFill/>
        <a:ln>
          <a:noFill/>
        </a:ln>
        <a:effectLst/>
      </c:spPr>
    </c:title>
    <c:autoTitleDeleted val="0"/>
    <c:plotArea>
      <c:layout/>
      <c:barChart>
        <c:barDir val="col"/>
        <c:grouping val="clustered"/>
        <c:varyColors val="0"/>
        <c:ser>
          <c:idx val="0"/>
          <c:order val="0"/>
          <c:tx>
            <c:strRef>
              <c:f>"2021"</c:f>
              <c:strCache>
                <c:ptCount val="1"/>
                <c:pt idx="0">
                  <c:v>2021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工作表.xlsx]Sheet1'!$C$2</c:f>
              <c:numCache>
                <c:formatCode>General</c:formatCode>
                <c:ptCount val="1"/>
                <c:pt idx="0">
                  <c:v>0</c:v>
                </c:pt>
              </c:numCache>
            </c:numRef>
          </c:val>
        </c:ser>
        <c:ser>
          <c:idx val="1"/>
          <c:order val="1"/>
          <c:tx>
            <c:strRef>
              <c:f>"2022"</c:f>
              <c:strCache>
                <c:ptCount val="1"/>
                <c:pt idx="0">
                  <c:v>2022</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工作表.xlsx]Sheet1'!$C$3</c:f>
              <c:numCache>
                <c:formatCode>General</c:formatCode>
                <c:ptCount val="1"/>
                <c:pt idx="0">
                  <c:v>14</c:v>
                </c:pt>
              </c:numCache>
            </c:numRef>
          </c:val>
        </c:ser>
        <c:ser>
          <c:idx val="2"/>
          <c:order val="2"/>
          <c:tx>
            <c:strRef>
              <c:f>"2023"</c:f>
              <c:strCache>
                <c:ptCount val="1"/>
                <c:pt idx="0">
                  <c:v>2023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工作表.xlsx]Sheet1'!$C$4</c:f>
              <c:numCache>
                <c:formatCode>General</c:formatCode>
                <c:ptCount val="1"/>
                <c:pt idx="0">
                  <c:v>25</c:v>
                </c:pt>
              </c:numCache>
            </c:numRef>
          </c:val>
        </c:ser>
        <c:ser>
          <c:idx val="3"/>
          <c:order val="3"/>
          <c:tx>
            <c:strRef>
              <c:f>"2024"</c:f>
              <c:strCache>
                <c:ptCount val="1"/>
                <c:pt idx="0">
                  <c:v>2024</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工作表.xlsx]Sheet1'!$C$5</c:f>
              <c:numCache>
                <c:formatCode>General</c:formatCode>
                <c:ptCount val="1"/>
                <c:pt idx="0">
                  <c:v>35</c:v>
                </c:pt>
              </c:numCache>
            </c:numRef>
          </c:val>
        </c:ser>
        <c:dLbls>
          <c:showLegendKey val="0"/>
          <c:showVal val="1"/>
          <c:showCatName val="0"/>
          <c:showSerName val="0"/>
          <c:showPercent val="0"/>
          <c:showBubbleSize val="0"/>
        </c:dLbls>
        <c:gapWidth val="246"/>
        <c:overlap val="-28"/>
        <c:axId val="89793667"/>
        <c:axId val="287374164"/>
      </c:barChart>
      <c:catAx>
        <c:axId val="897936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7374164"/>
        <c:crosses val="autoZero"/>
        <c:auto val="1"/>
        <c:lblAlgn val="ctr"/>
        <c:lblOffset val="100"/>
        <c:noMultiLvlLbl val="0"/>
      </c:catAx>
      <c:valAx>
        <c:axId val="28737416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9366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adaaac-cef6-486a-bca1-d3584040bd2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2739</Words>
  <Characters>2855</Characters>
  <Lines>0</Lines>
  <Paragraphs>0</Paragraphs>
  <TotalTime>655</TotalTime>
  <ScaleCrop>false</ScaleCrop>
  <LinksUpToDate>false</LinksUpToDate>
  <CharactersWithSpaces>2856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2024-12-20T10:46:00Z</dcterms:created>
  <dc:creator>刘景</dc:creator>
  <cp:lastModifiedBy>刘景</cp:lastModifiedBy>
  <cp:lastPrinted>2025-01-08T10:05:00Z</cp:lastPrinted>
  <dcterms:modified xsi:type="dcterms:W3CDTF">2025-01-22T08:43:20Z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D6A8A32992B347CC9CA78CE35A4D5606_13</vt:lpwstr>
  </property>
  <property fmtid="{D5CDD505-2E9C-101B-9397-08002B2CF9AE}" pid="4" name="KSOTemplateDocerSaveRecord">
    <vt:lpwstr>eyJoZGlkIjoiYmNlOTUxNzg1ODA0YmI1YTFlZDJhNjNmMTljNGRjODAiLCJ1c2VySWQiOiIxNjU4NzMwODc3In0=</vt:lpwstr>
  </property>
</Properties>
</file>