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黑体简体" w:cs="Times New Roman"/>
          <w:b/>
          <w:color w:val="000000"/>
          <w:sz w:val="32"/>
          <w:szCs w:val="32"/>
        </w:rPr>
      </w:pPr>
    </w:p>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济宁市兖州区商务局</w:t>
      </w:r>
      <w:r>
        <w:rPr>
          <w:rFonts w:hint="default" w:ascii="Times New Roman" w:hAnsi="Times New Roman" w:eastAsia="方正小标宋简体" w:cs="Times New Roman"/>
          <w:b/>
          <w:color w:val="000000"/>
          <w:sz w:val="44"/>
          <w:szCs w:val="44"/>
        </w:rPr>
        <w:t>2021年政府信息公开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济宁市兖州区商务局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http://www.yanzhou.gov.cn/）查阅或下载。如对本报告有疑问，请与</w:t>
      </w:r>
      <w:r>
        <w:rPr>
          <w:rFonts w:hint="eastAsia" w:eastAsia="方正仿宋简体" w:cs="Times New Roman"/>
          <w:b/>
          <w:color w:val="000000"/>
          <w:sz w:val="32"/>
          <w:szCs w:val="32"/>
          <w:lang w:val="en-US" w:eastAsia="zh-CN"/>
        </w:rPr>
        <w:t>济宁市兖州区商务局</w:t>
      </w:r>
      <w:r>
        <w:rPr>
          <w:rFonts w:hint="default" w:ascii="Times New Roman" w:hAnsi="Times New Roman" w:eastAsia="方正仿宋简体" w:cs="Times New Roman"/>
          <w:b/>
          <w:color w:val="000000"/>
          <w:sz w:val="32"/>
          <w:szCs w:val="32"/>
        </w:rPr>
        <w:t>联系（地址：</w:t>
      </w:r>
      <w:r>
        <w:rPr>
          <w:rFonts w:hint="eastAsia" w:ascii="Times New Roman" w:hAnsi="Times New Roman" w:eastAsia="方正仿宋简体" w:cs="Times New Roman"/>
          <w:b/>
          <w:color w:val="000000"/>
          <w:sz w:val="32"/>
          <w:szCs w:val="32"/>
        </w:rPr>
        <w:t>济宁市兖州区行政办公中心</w:t>
      </w:r>
      <w:r>
        <w:rPr>
          <w:rFonts w:hint="default" w:ascii="Times New Roman" w:hAnsi="Times New Roman" w:eastAsia="方正仿宋简体" w:cs="Times New Roman"/>
          <w:b/>
          <w:color w:val="000000"/>
          <w:sz w:val="32"/>
          <w:szCs w:val="32"/>
        </w:rPr>
        <w:t>A</w:t>
      </w:r>
      <w:r>
        <w:rPr>
          <w:rFonts w:hint="eastAsia" w:ascii="Times New Roman" w:hAnsi="Times New Roman" w:eastAsia="方正仿宋简体" w:cs="Times New Roman"/>
          <w:b/>
          <w:color w:val="000000"/>
          <w:sz w:val="32"/>
          <w:szCs w:val="32"/>
        </w:rPr>
        <w:t>区</w:t>
      </w:r>
      <w:r>
        <w:rPr>
          <w:rFonts w:hint="default" w:ascii="Times New Roman" w:hAnsi="Times New Roman" w:eastAsia="方正仿宋简体" w:cs="Times New Roman"/>
          <w:b/>
          <w:color w:val="000000"/>
          <w:sz w:val="32"/>
          <w:szCs w:val="32"/>
        </w:rPr>
        <w:t>532</w:t>
      </w:r>
      <w:r>
        <w:rPr>
          <w:rFonts w:hint="eastAsia" w:ascii="Times New Roman" w:hAnsi="Times New Roman" w:eastAsia="方正仿宋简体" w:cs="Times New Roman"/>
          <w:b/>
          <w:color w:val="000000"/>
          <w:sz w:val="32"/>
          <w:szCs w:val="32"/>
        </w:rPr>
        <w:t>室</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3413757</w:t>
      </w:r>
      <w:r>
        <w:rPr>
          <w:rFonts w:hint="default" w:ascii="Times New Roman" w:hAnsi="Times New Roman" w:eastAsia="方正仿宋简体" w:cs="Times New Roman"/>
          <w:b/>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val="en-US" w:eastAsia="zh-CN"/>
        </w:rPr>
        <w:t>一</w:t>
      </w:r>
      <w:r>
        <w:rPr>
          <w:rFonts w:hint="default" w:ascii="Times New Roman" w:hAnsi="Times New Roman" w:eastAsia="方正楷体简体" w:cs="Times New Roman"/>
          <w:b/>
          <w:color w:val="000000"/>
          <w:sz w:val="32"/>
          <w:szCs w:val="32"/>
        </w:rPr>
        <w:t>）主动公开情况</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3" w:firstLineChars="200"/>
        <w:jc w:val="left"/>
        <w:textAlignment w:val="auto"/>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区商务局高度重视政府信息公开工作，按照《条例》，就完善组织推进机制、信息发布协调机制、保密审查机制、监督机制等政府信息公开机制、制度作出全面部署。2021年，我局通过网上政府信息公开专栏及时公开政府信息及工作动态信息共11</w:t>
      </w:r>
      <w:r>
        <w:rPr>
          <w:rFonts w:hint="eastAsia" w:eastAsia="方正仿宋简体" w:cs="Times New Roman"/>
          <w:b/>
          <w:color w:val="000000"/>
          <w:sz w:val="32"/>
          <w:szCs w:val="32"/>
          <w:lang w:val="en-US" w:eastAsia="zh-CN"/>
        </w:rPr>
        <w:t>9</w:t>
      </w:r>
      <w:r>
        <w:rPr>
          <w:rFonts w:hint="default" w:ascii="Times New Roman" w:hAnsi="Times New Roman" w:eastAsia="方正仿宋简体" w:cs="Times New Roman"/>
          <w:b/>
          <w:color w:val="000000"/>
          <w:sz w:val="32"/>
          <w:szCs w:val="32"/>
        </w:rPr>
        <w:t>条，其中组织机构及领导信息4条、政务公开组织管理信息9条、政务动态8条、规划计划文件4条、统计信息文件13条、公示公告文件9条、财政预决算4条、应急管理7条、人事任免1条、决策公开9条、执行和落实情况公开10条、重点领域信息公开20条、双随机一公开6条、政府信息公开指南及年报2条。部门文件3条、政策解读文字解读及图文解读6条、回应关切</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drawing>
          <wp:inline distT="0" distB="0" distL="114300" distR="114300">
            <wp:extent cx="5080000" cy="3810000"/>
            <wp:effectExtent l="13970" t="13970" r="30480" b="24130"/>
            <wp:docPr id="4" name="图表 4" descr="7b0a202020202263686172745265734964223a2022343730373933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val="en-US" w:eastAsia="zh-CN"/>
        </w:rPr>
        <w:t>二</w:t>
      </w:r>
      <w:r>
        <w:rPr>
          <w:rFonts w:hint="default" w:ascii="Times New Roman" w:hAnsi="Times New Roman" w:eastAsia="方正楷体简体" w:cs="Times New Roman"/>
          <w:b/>
          <w:color w:val="000000"/>
          <w:sz w:val="32"/>
          <w:szCs w:val="32"/>
        </w:rPr>
        <w:t>）依申请公开情况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区商务局2021年度无依申请公开的政府信息，故无收费情况。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val="en-US" w:eastAsia="zh-CN"/>
        </w:rPr>
        <w:t>三</w:t>
      </w:r>
      <w:r>
        <w:rPr>
          <w:rFonts w:hint="default" w:ascii="Times New Roman" w:hAnsi="Times New Roman" w:eastAsia="方正楷体简体" w:cs="Times New Roman"/>
          <w:b/>
          <w:color w:val="000000"/>
          <w:sz w:val="32"/>
          <w:szCs w:val="32"/>
        </w:rPr>
        <w:t>）政府信息管理情况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区商务局严格按照信息公开程序和审批制度开展信息公开工作，对所有信息公开内容实行预先审核制度，经过事前审核并由科室负责人与分管领导严格确认后，才进行网上公开，确保了公开信息的安全和规范。同时，根据《条例》，我局严格执行保密规则，严肃把关，既做到了“应公开尽公开”，又做到了“涉密不公开”。</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val="en-US" w:eastAsia="zh-CN"/>
        </w:rPr>
        <w:t>四</w:t>
      </w:r>
      <w:r>
        <w:rPr>
          <w:rFonts w:hint="default" w:ascii="Times New Roman" w:hAnsi="Times New Roman" w:eastAsia="方正楷体简体" w:cs="Times New Roman"/>
          <w:b/>
          <w:color w:val="000000"/>
          <w:sz w:val="32"/>
          <w:szCs w:val="32"/>
        </w:rPr>
        <w:t>）政府信息公开平台建设情况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区商务局充分利用、发挥兖州区政府门户网站平台作用，及时做好信息发布、政策解读和宣传推广工作。于行政办公中心A532室设有一台专共查阅我局政务公开信息的电脑。</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val="en-US" w:eastAsia="zh-CN"/>
        </w:rPr>
        <w:t>五</w:t>
      </w:r>
      <w:r>
        <w:rPr>
          <w:rFonts w:hint="default" w:ascii="Times New Roman" w:hAnsi="Times New Roman" w:eastAsia="方正楷体简体" w:cs="Times New Roman"/>
          <w:b/>
          <w:color w:val="000000"/>
          <w:sz w:val="32"/>
          <w:szCs w:val="32"/>
        </w:rPr>
        <w:t>）监督保障情况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区商务局坚持对政府信息公开进行督查考核，日常做好了信息及时性、有效性的审查，年度坚持在机关年度考核中添加政府信息公开工作。年内依据培训计划，上下半年分别开展了一次政务公开培训。</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存在问题主要表现在：一是政府信息公开工作规范性有待进一步加强;二是部分栏目建设仍不够完善;三是主动向社会公开信息的领域有待于进一步拓展。</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下步，一是继续积极贯彻落实上级有关文件精神，提高规范性；二是进一步做好我局信息公开工作，丰富信息公开内容。三是进一步结合实际,提高公开实效。</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（一）依据《政府信息公开信息处理费管理办法》收取信息处理费的情况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年内未收到任何依申请信息公开请求，无依据《政府信息公开信息处理费管理办法》收取信息处理费的情况。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（二）本行政机关落实上级年度政务公开工作要点情况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区商务局严格按照区政府安排部署，落实各项工作任务，对政府工作报告落实、重点工作执行等领域信息及时有效公开。</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（三）本行政机关人大代表建议和政协提案办理结果公开情况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年度人大政协提案办理2件，办理结果均已公开。</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（四）本行政机关年度政务公开工作创新情况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对政务公开工作创新情况，本机关进一步精进了政策图文解读。</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（五）本行政机关政府信息公开工作年度报告数据统计需要说明的事项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区商务局无政府信息公开工作年度报告数据统计需要说明的事项。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（六）本行政机关认为需要报告的其他事项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区商务局无认为需要报告的其他事项。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（七）其他有关文件专门要求通过政府信息公开工作年度报告予以报告的事项</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区商务局无其他有关文件专门要求通过政府信息公开工作年度报告予以报告的事项。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FC106"/>
    <w:multiLevelType w:val="singleLevel"/>
    <w:tmpl w:val="507FC1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558E3"/>
    <w:rsid w:val="119E3442"/>
    <w:rsid w:val="1F765A9D"/>
    <w:rsid w:val="20664E0B"/>
    <w:rsid w:val="271E5BB1"/>
    <w:rsid w:val="2CB54ED0"/>
    <w:rsid w:val="47995699"/>
    <w:rsid w:val="49A558E3"/>
    <w:rsid w:val="4D20313E"/>
    <w:rsid w:val="4EA300E3"/>
    <w:rsid w:val="4F2F5A16"/>
    <w:rsid w:val="532E7EEF"/>
    <w:rsid w:val="542449F0"/>
    <w:rsid w:val="54C93241"/>
    <w:rsid w:val="6EF0192C"/>
    <w:rsid w:val="701D5166"/>
    <w:rsid w:val="735579E1"/>
    <w:rsid w:val="7524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cap="none" spc="20" baseline="0">
                <a:solidFill>
                  <a:schemeClr val="dk1">
                    <a:lumMod val="50000"/>
                    <a:lumOff val="50000"/>
                  </a:schemeClr>
                </a:solidFill>
                <a:latin typeface="+mn-lt"/>
                <a:ea typeface="+mn-ea"/>
                <a:cs typeface="+mn-cs"/>
              </a:defRPr>
            </a:pPr>
            <a:r>
              <a:rPr sz="1680"/>
              <a:t>三年政府信息总数</a:t>
            </a:r>
            <a:endParaRPr sz="1680"/>
          </a:p>
        </c:rich>
      </c:tx>
      <c:layout/>
      <c:overlay val="0"/>
      <c:spPr>
        <a:noFill/>
        <a:ln>
          <a:noFill/>
        </a:ln>
        <a:effectLst/>
      </c:spPr>
    </c:title>
    <c:autoTitleDeleted val="0"/>
    <c:plotArea>
      <c:layout/>
      <c:lineChart>
        <c:grouping val="standard"/>
        <c:varyColors val="0"/>
        <c:ser>
          <c:idx val="0"/>
          <c:order val="0"/>
          <c:tx>
            <c:strRef>
              <c:f>Sheet1!$B$1</c:f>
              <c:strCache>
                <c:ptCount val="1"/>
                <c:pt idx="0">
                  <c:v>条数</c:v>
                </c:pt>
              </c:strCache>
            </c:strRef>
          </c:tx>
          <c:spPr>
            <a:ln w="22225" cap="rnd" cmpd="sng" algn="ctr">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dk1">
                        <a:lumMod val="65000"/>
                        <a:lumOff val="3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2019年</c:v>
                </c:pt>
                <c:pt idx="1">
                  <c:v>2020年</c:v>
                </c:pt>
                <c:pt idx="2">
                  <c:v>2021年</c:v>
                </c:pt>
              </c:strCache>
            </c:strRef>
          </c:cat>
          <c:val>
            <c:numRef>
              <c:f>Sheet1!$B$2:$B$5</c:f>
              <c:numCache>
                <c:formatCode>General</c:formatCode>
                <c:ptCount val="4"/>
                <c:pt idx="0">
                  <c:v>70</c:v>
                </c:pt>
                <c:pt idx="1">
                  <c:v>105</c:v>
                </c:pt>
                <c:pt idx="2">
                  <c:v>119</c:v>
                </c:pt>
              </c:numCache>
            </c:numRef>
          </c:val>
          <c:smooth val="0"/>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upDownBars>
          <c:gapWidth val="150"/>
          <c:upBars>
            <c:spPr>
              <a:solidFill>
                <a:schemeClr val="lt1"/>
              </a:solidFill>
              <a:ln w="9525">
                <a:solidFill>
                  <a:schemeClr val="dk1">
                    <a:lumMod val="65000"/>
                    <a:lumOff val="35000"/>
                  </a:schemeClr>
                </a:solidFill>
              </a:ln>
              <a:effectLst/>
            </c:spPr>
          </c:upBars>
          <c:downBars>
            <c:spPr>
              <a:solidFill>
                <a:schemeClr val="dk1">
                  <a:lumMod val="75000"/>
                  <a:lumOff val="25000"/>
                </a:schemeClr>
              </a:solidFill>
              <a:ln w="9525">
                <a:solidFill>
                  <a:schemeClr val="dk1">
                    <a:lumMod val="65000"/>
                    <a:lumOff val="35000"/>
                  </a:schemeClr>
                </a:solidFill>
              </a:ln>
              <a:effectLst/>
            </c:spPr>
          </c:downBars>
        </c:upDownBars>
        <c:marker val="0"/>
        <c:smooth val="0"/>
        <c:axId val="291752491"/>
        <c:axId val="703660466"/>
        <c:extLst>
          <c:ext xmlns:c15="http://schemas.microsoft.com/office/drawing/2012/chart" uri="{02D57815-91ED-43cb-92C2-25804820EDAC}">
            <c15:filteredLineSeries>
              <c15:ser>
                <c:idx val="1"/>
                <c:order val="1"/>
                <c:tx>
                  <c:strRef>
                    <c:extLst>
                      <c:ext uri="{02D57815-91ED-43cb-92C2-25804820EDAC}">
                        <c15:formulaRef>
                          <c15:sqref>Sheet1!#REF!</c15:sqref>
                        </c15:formulaRef>
                      </c:ext>
                    </c:extLst>
                    <c:strCache>
                      <c:ptCount val="1"/>
                      <c:pt idx="0">
                        <c:v/>
                      </c:pt>
                    </c:strCache>
                  </c:strRef>
                </c:tx>
                <c:spPr>
                  <a:ln w="22225" cap="rnd" cmpd="sng" algn="ctr">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dk1">
                              <a:lumMod val="65000"/>
                              <a:lumOff val="3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extLst>
                      <c:ext uri="{02D57815-91ED-43cb-92C2-25804820EDAC}">
                        <c15:fullRef>
                          <c15:sqref/>
                        </c15:fullRef>
                        <c15:formulaRef>
                          <c15:sqref>Sheet1!$A$2:$A$5</c15:sqref>
                        </c15:formulaRef>
                      </c:ext>
                    </c:extLst>
                    <c:strCache>
                      <c:ptCount val="4"/>
                      <c:pt idx="0">
                        <c:v>2019年</c:v>
                      </c:pt>
                      <c:pt idx="1">
                        <c:v>2020年</c:v>
                      </c:pt>
                      <c:pt idx="2">
                        <c:v>2021年</c:v>
                      </c:pt>
                    </c:strCache>
                  </c:strRef>
                </c:cat>
                <c:val>
                  <c:numRef>
                    <c:extLst>
                      <c:ext uri="{02D57815-91ED-43cb-92C2-25804820EDAC}">
                        <c15:formulaRef>
                          <c15:sqref>Sheet1!#REF!</c15:sqref>
                        </c15:formulaRef>
                      </c:ext>
                    </c:extLst>
                    <c:numCache>
                      <c:formatCode>General</c:formatCode>
                      <c:ptCount val="1"/>
                      <c:pt idx="0">
                        <c:v>1</c:v>
                      </c:pt>
                    </c:numCache>
                  </c:numRef>
                </c:val>
                <c:smooth val="0"/>
              </c15:ser>
            </c15:filteredLineSeries>
            <c15:filteredLineSeries>
              <c15:ser>
                <c:idx val="2"/>
                <c:order val="2"/>
                <c:tx>
                  <c:strRef>
                    <c:extLst>
                      <c:ext uri="{02D57815-91ED-43cb-92C2-25804820EDAC}">
                        <c15:formulaRef>
                          <c15:sqref>Sheet1!#REF!</c15:sqref>
                        </c15:formulaRef>
                      </c:ext>
                    </c:extLst>
                    <c:strCache>
                      <c:ptCount val="1"/>
                      <c:pt idx="0">
                        <c:v/>
                      </c:pt>
                    </c:strCache>
                  </c:strRef>
                </c:tx>
                <c:spPr>
                  <a:ln w="22225" cap="rnd" cmpd="sng" algn="ctr">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dk1">
                              <a:lumMod val="65000"/>
                              <a:lumOff val="3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extLst>
                      <c:ext uri="{02D57815-91ED-43cb-92C2-25804820EDAC}">
                        <c15:fullRef>
                          <c15:sqref/>
                        </c15:fullRef>
                        <c15:formulaRef>
                          <c15:sqref>Sheet1!$A$2:$A$5</c15:sqref>
                        </c15:formulaRef>
                      </c:ext>
                    </c:extLst>
                    <c:strCache>
                      <c:ptCount val="4"/>
                      <c:pt idx="0">
                        <c:v>2019年</c:v>
                      </c:pt>
                      <c:pt idx="1">
                        <c:v>2020年</c:v>
                      </c:pt>
                      <c:pt idx="2">
                        <c:v>2021年</c:v>
                      </c:pt>
                    </c:strCache>
                  </c:strRef>
                </c:cat>
                <c:val>
                  <c:numRef>
                    <c:extLst>
                      <c:ext uri="{02D57815-91ED-43cb-92C2-25804820EDAC}">
                        <c15:formulaRef>
                          <c15:sqref>Sheet1!#REF!</c15:sqref>
                        </c15:formulaRef>
                      </c:ext>
                    </c:extLst>
                    <c:numCache>
                      <c:formatCode>General</c:formatCode>
                      <c:ptCount val="1"/>
                      <c:pt idx="0">
                        <c:v>1</c:v>
                      </c:pt>
                    </c:numCache>
                  </c:numRef>
                </c:val>
                <c:smooth val="0"/>
              </c15:ser>
            </c15:filteredLineSeries>
          </c:ext>
        </c:extLst>
      </c:lineChart>
      <c:catAx>
        <c:axId val="291752491"/>
        <c:scaling>
          <c:orientation val="minMax"/>
        </c:scaling>
        <c:delete val="0"/>
        <c:axPos val="b"/>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1400" b="0" i="0" u="none" strike="noStrike" kern="1200" spc="20" baseline="0">
                <a:solidFill>
                  <a:schemeClr val="dk1">
                    <a:lumMod val="65000"/>
                    <a:lumOff val="35000"/>
                  </a:schemeClr>
                </a:solidFill>
                <a:latin typeface="+mn-lt"/>
                <a:ea typeface="+mn-ea"/>
                <a:cs typeface="+mn-cs"/>
              </a:defRPr>
            </a:pPr>
          </a:p>
        </c:txPr>
        <c:crossAx val="703660466"/>
        <c:crosses val="autoZero"/>
        <c:auto val="1"/>
        <c:lblAlgn val="ctr"/>
        <c:lblOffset val="100"/>
        <c:noMultiLvlLbl val="0"/>
      </c:catAx>
      <c:valAx>
        <c:axId val="70366046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1400" b="0" i="0" u="none" strike="noStrike" kern="1200" spc="20" baseline="0">
                <a:solidFill>
                  <a:schemeClr val="dk1">
                    <a:lumMod val="65000"/>
                    <a:lumOff val="35000"/>
                  </a:schemeClr>
                </a:solidFill>
                <a:latin typeface="+mn-lt"/>
                <a:ea typeface="+mn-ea"/>
                <a:cs typeface="+mn-cs"/>
              </a:defRPr>
            </a:pPr>
          </a:p>
        </c:txPr>
        <c:crossAx val="29175249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28575" cap="flat" cmpd="sng" algn="ctr">
      <a:solidFill>
        <a:schemeClr val="accent5">
          <a:lumMod val="20000"/>
          <a:lumOff val="80000"/>
        </a:schemeClr>
      </a:solidFill>
      <a:prstDash val="solid"/>
      <a:round/>
    </a:ln>
    <a:effectLst/>
  </c:spPr>
  <c:txPr>
    <a:bodyPr/>
    <a:lstStyle/>
    <a:p>
      <a:pPr>
        <a:defRPr lang="zh-CN" sz="14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2022-01-10T01:08:00Z</dcterms:created>
  <dc:creator>平平安安</dc:creator>
  <cp:lastModifiedBy>平平安安</cp:lastModifiedBy>
  <dcterms:modified xsi:type="dcterms:W3CDTF">2022-01-14T06:03:47Z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A63DC38BAF0A48439E735743EEC53FE8</vt:lpwstr>
  </property>
</Properties>
</file>