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hint="default" w:ascii="Times New Roman" w:hAnsi="Times New Roman" w:eastAsia="方正黑体简体" w:cs="Times New Roman"/>
          <w:b/>
          <w:color w:val="000000"/>
          <w:sz w:val="32"/>
          <w:szCs w:val="32"/>
        </w:rPr>
      </w:pPr>
    </w:p>
    <w:p>
      <w:pPr>
        <w:spacing w:line="590" w:lineRule="exact"/>
        <w:ind w:right="-100" w:rightChars="-50"/>
        <w:rPr>
          <w:rFonts w:hint="default" w:ascii="Times New Roman" w:hAnsi="Times New Roman" w:eastAsia="方正仿宋简体" w:cs="Times New Roman"/>
          <w:b/>
          <w:color w:val="000000"/>
          <w:sz w:val="32"/>
          <w:szCs w:val="32"/>
        </w:rPr>
      </w:pP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eastAsia" w:eastAsia="方正小标宋简体" w:cs="Times New Roman"/>
          <w:b/>
          <w:color w:val="000000"/>
          <w:sz w:val="44"/>
          <w:szCs w:val="44"/>
          <w:lang w:val="en-US" w:eastAsia="zh-CN"/>
        </w:rPr>
        <w:t>济宁市兖州区商务局</w:t>
      </w:r>
      <w:r>
        <w:rPr>
          <w:rFonts w:hint="default" w:ascii="Times New Roman" w:hAnsi="Times New Roman" w:eastAsia="方正小标宋简体" w:cs="Times New Roman"/>
          <w:b/>
          <w:color w:val="000000"/>
          <w:sz w:val="44"/>
          <w:szCs w:val="44"/>
        </w:rPr>
        <w:t>2021年政府信息公开</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jc w:val="left"/>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eastAsia" w:eastAsia="方正仿宋简体" w:cs="Times New Roman"/>
          <w:b/>
          <w:color w:val="000000"/>
          <w:sz w:val="32"/>
          <w:szCs w:val="32"/>
          <w:lang w:val="en-US" w:eastAsia="zh-CN"/>
        </w:rPr>
        <w:t>济宁市兖州区商务局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jc w:val="left"/>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jc w:val="left"/>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”政府门户网站</w:t>
      </w:r>
      <w:r>
        <w:rPr>
          <w:rFonts w:hint="eastAsia"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http://www.yanzhou.gov.cn/）查阅或下载。如对本报告有疑问，请与</w:t>
      </w:r>
      <w:r>
        <w:rPr>
          <w:rFonts w:hint="eastAsia" w:eastAsia="方正仿宋简体" w:cs="Times New Roman"/>
          <w:b/>
          <w:color w:val="000000"/>
          <w:sz w:val="32"/>
          <w:szCs w:val="32"/>
          <w:lang w:val="en-US" w:eastAsia="zh-CN"/>
        </w:rPr>
        <w:t>济宁市兖州区商务局</w:t>
      </w:r>
      <w:r>
        <w:rPr>
          <w:rFonts w:hint="default" w:ascii="Times New Roman" w:hAnsi="Times New Roman" w:eastAsia="方正仿宋简体" w:cs="Times New Roman"/>
          <w:b/>
          <w:color w:val="000000"/>
          <w:sz w:val="32"/>
          <w:szCs w:val="32"/>
        </w:rPr>
        <w:t>联系（地址：</w:t>
      </w:r>
      <w:r>
        <w:rPr>
          <w:rFonts w:hint="eastAsia" w:ascii="Times New Roman" w:hAnsi="Times New Roman" w:eastAsia="方正仿宋简体" w:cs="Times New Roman"/>
          <w:b/>
          <w:color w:val="000000"/>
          <w:sz w:val="32"/>
          <w:szCs w:val="32"/>
        </w:rPr>
        <w:t>济宁市兖州区行政办公中心</w:t>
      </w:r>
      <w:r>
        <w:rPr>
          <w:rFonts w:hint="default" w:ascii="Times New Roman" w:hAnsi="Times New Roman" w:eastAsia="方正仿宋简体" w:cs="Times New Roman"/>
          <w:b/>
          <w:color w:val="000000"/>
          <w:sz w:val="32"/>
          <w:szCs w:val="32"/>
        </w:rPr>
        <w:t>A</w:t>
      </w:r>
      <w:r>
        <w:rPr>
          <w:rFonts w:hint="eastAsia" w:ascii="Times New Roman" w:hAnsi="Times New Roman" w:eastAsia="方正仿宋简体" w:cs="Times New Roman"/>
          <w:b/>
          <w:color w:val="000000"/>
          <w:sz w:val="32"/>
          <w:szCs w:val="32"/>
        </w:rPr>
        <w:t>区</w:t>
      </w:r>
      <w:r>
        <w:rPr>
          <w:rFonts w:hint="default" w:ascii="Times New Roman" w:hAnsi="Times New Roman" w:eastAsia="方正仿宋简体" w:cs="Times New Roman"/>
          <w:b/>
          <w:color w:val="000000"/>
          <w:sz w:val="32"/>
          <w:szCs w:val="32"/>
        </w:rPr>
        <w:t>532</w:t>
      </w:r>
      <w:r>
        <w:rPr>
          <w:rFonts w:hint="eastAsia" w:ascii="Times New Roman" w:hAnsi="Times New Roman" w:eastAsia="方正仿宋简体" w:cs="Times New Roman"/>
          <w:b/>
          <w:color w:val="000000"/>
          <w:sz w:val="32"/>
          <w:szCs w:val="32"/>
        </w:rPr>
        <w:t>室</w:t>
      </w:r>
      <w:r>
        <w:rPr>
          <w:rFonts w:hint="default" w:ascii="Times New Roman" w:hAnsi="Times New Roman" w:eastAsia="方正仿宋简体" w:cs="Times New Roman"/>
          <w:b/>
          <w:color w:val="000000"/>
          <w:sz w:val="32"/>
          <w:szCs w:val="32"/>
        </w:rPr>
        <w:t>，联系电话：0537-</w:t>
      </w:r>
      <w:r>
        <w:rPr>
          <w:rFonts w:hint="eastAsia" w:eastAsia="方正仿宋简体" w:cs="Times New Roman"/>
          <w:b/>
          <w:color w:val="000000"/>
          <w:sz w:val="32"/>
          <w:szCs w:val="32"/>
          <w:lang w:val="en-US" w:eastAsia="zh-CN"/>
        </w:rPr>
        <w:t>3413757</w:t>
      </w:r>
      <w:r>
        <w:rPr>
          <w:rFonts w:hint="default" w:ascii="Times New Roman" w:hAnsi="Times New Roman" w:eastAsia="方正仿宋简体" w:cs="Times New Roman"/>
          <w:b/>
          <w:color w:val="000000"/>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总体情况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w:t>
      </w:r>
      <w:r>
        <w:rPr>
          <w:rFonts w:hint="eastAsia" w:eastAsia="方正楷体简体" w:cs="Times New Roman"/>
          <w:b/>
          <w:color w:val="000000"/>
          <w:sz w:val="32"/>
          <w:szCs w:val="32"/>
          <w:lang w:val="en-US" w:eastAsia="zh-CN"/>
        </w:rPr>
        <w:t>一</w:t>
      </w:r>
      <w:r>
        <w:rPr>
          <w:rFonts w:hint="default" w:ascii="Times New Roman" w:hAnsi="Times New Roman" w:eastAsia="方正楷体简体" w:cs="Times New Roman"/>
          <w:b/>
          <w:color w:val="000000"/>
          <w:sz w:val="32"/>
          <w:szCs w:val="32"/>
        </w:rPr>
        <w:t>）主动公开情况</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jc w:val="left"/>
        <w:textAlignment w:val="auto"/>
        <w:rPr>
          <w:rFonts w:hint="eastAsia"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rPr>
        <w:t>区商务局高度重视政府信息公开工作，按照《条例》，就完善组织推进机制、信息发布协调机制、保密审查机制、监督机制等政府信息公开机制、制度作出全面部署。2021年，我局通过网上政府信息公开专栏及时公开政府信息及工作动态信息共11</w:t>
      </w:r>
      <w:r>
        <w:rPr>
          <w:rFonts w:hint="eastAsia" w:eastAsia="方正仿宋简体" w:cs="Times New Roman"/>
          <w:b/>
          <w:color w:val="000000"/>
          <w:sz w:val="32"/>
          <w:szCs w:val="32"/>
          <w:lang w:val="en-US" w:eastAsia="zh-CN"/>
        </w:rPr>
        <w:t>9</w:t>
      </w:r>
      <w:r>
        <w:rPr>
          <w:rFonts w:hint="default" w:ascii="Times New Roman" w:hAnsi="Times New Roman" w:eastAsia="方正仿宋简体" w:cs="Times New Roman"/>
          <w:b/>
          <w:color w:val="000000"/>
          <w:sz w:val="32"/>
          <w:szCs w:val="32"/>
        </w:rPr>
        <w:t>条，其中组织机构及领导信息4条、政务公开组织管理信息9条、政务动态8条、规划计划文件4条、统计信息文件13条、公示公告文件9条、财政预决算4条、应急管理7条、人事任免1条、决策公开9条、执行和落实情况公开10条、重点领域信息公开20条、双随机一公开6条、政府信息公开指南及年报2条。部门文件3条、政策解读文字解读及图文解读6条、回应关切</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rPr>
        <w:t>条。</w:t>
      </w:r>
      <w:r>
        <w:rPr>
          <w:rFonts w:hint="eastAsia" w:ascii="Times New Roman" w:hAnsi="Times New Roman" w:eastAsia="方正仿宋简体" w:cs="Times New Roman"/>
          <w:b/>
          <w:color w:val="000000"/>
          <w:sz w:val="32"/>
          <w:szCs w:val="32"/>
          <w:lang w:eastAsia="zh-CN"/>
        </w:rPr>
        <w:drawing>
          <wp:inline distT="0" distB="0" distL="114300" distR="114300">
            <wp:extent cx="5080000" cy="3810000"/>
            <wp:effectExtent l="13970" t="13970" r="30480" b="24130"/>
            <wp:docPr id="4" name="图表 4" descr="7b0a202020202263686172745265734964223a2022343730373933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w:t>
      </w:r>
      <w:r>
        <w:rPr>
          <w:rFonts w:hint="eastAsia" w:eastAsia="方正楷体简体" w:cs="Times New Roman"/>
          <w:b/>
          <w:color w:val="000000"/>
          <w:sz w:val="32"/>
          <w:szCs w:val="32"/>
          <w:lang w:val="en-US" w:eastAsia="zh-CN"/>
        </w:rPr>
        <w:t>二</w:t>
      </w:r>
      <w:r>
        <w:rPr>
          <w:rFonts w:hint="default" w:ascii="Times New Roman" w:hAnsi="Times New Roman" w:eastAsia="方正楷体简体" w:cs="Times New Roman"/>
          <w:b/>
          <w:color w:val="000000"/>
          <w:sz w:val="32"/>
          <w:szCs w:val="32"/>
        </w:rPr>
        <w:t>）依申请公开情况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rPr>
        <w:t>区商务局2021年度无依申请公开的政府信息，故无收费情况。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w:t>
      </w:r>
      <w:r>
        <w:rPr>
          <w:rFonts w:hint="eastAsia" w:eastAsia="方正楷体简体" w:cs="Times New Roman"/>
          <w:b/>
          <w:color w:val="000000"/>
          <w:sz w:val="32"/>
          <w:szCs w:val="32"/>
          <w:lang w:val="en-US" w:eastAsia="zh-CN"/>
        </w:rPr>
        <w:t>三</w:t>
      </w:r>
      <w:r>
        <w:rPr>
          <w:rFonts w:hint="default" w:ascii="Times New Roman" w:hAnsi="Times New Roman" w:eastAsia="方正楷体简体" w:cs="Times New Roman"/>
          <w:b/>
          <w:color w:val="000000"/>
          <w:sz w:val="32"/>
          <w:szCs w:val="32"/>
        </w:rPr>
        <w:t>）政府信息管理情况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rPr>
        <w:t>区商务局严格按照信息公开程序和审批制度开展信息公开工作，对所有信息公开内容实行预先审核制度，经过事前审核并由科室负责人与分管领导严格确认后，才进行网上公开，确保了公开信息的安全和规范。同时，根据《条例》，我局严格执行保密规则，严肃把关，既做到了“应公开尽公开”，又做到了“涉密不公开”。</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w:t>
      </w:r>
      <w:r>
        <w:rPr>
          <w:rFonts w:hint="eastAsia" w:eastAsia="方正楷体简体" w:cs="Times New Roman"/>
          <w:b/>
          <w:color w:val="000000"/>
          <w:sz w:val="32"/>
          <w:szCs w:val="32"/>
          <w:lang w:val="en-US" w:eastAsia="zh-CN"/>
        </w:rPr>
        <w:t>四</w:t>
      </w:r>
      <w:r>
        <w:rPr>
          <w:rFonts w:hint="default" w:ascii="Times New Roman" w:hAnsi="Times New Roman" w:eastAsia="方正楷体简体" w:cs="Times New Roman"/>
          <w:b/>
          <w:color w:val="000000"/>
          <w:sz w:val="32"/>
          <w:szCs w:val="32"/>
        </w:rPr>
        <w:t>）政府信息公开平台建设情况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rPr>
        <w:t>区商务局充分利用、发挥兖州区政府门户网站平台作用，及时做好信息发布、政策解读和宣传推广工作。于行政办公中心A532室设有一台专共查阅我局政务公开信息的电脑。</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w:t>
      </w:r>
      <w:r>
        <w:rPr>
          <w:rFonts w:hint="eastAsia" w:eastAsia="方正楷体简体" w:cs="Times New Roman"/>
          <w:b/>
          <w:color w:val="000000"/>
          <w:sz w:val="32"/>
          <w:szCs w:val="32"/>
          <w:lang w:val="en-US" w:eastAsia="zh-CN"/>
        </w:rPr>
        <w:t>五</w:t>
      </w:r>
      <w:r>
        <w:rPr>
          <w:rFonts w:hint="default" w:ascii="Times New Roman" w:hAnsi="Times New Roman" w:eastAsia="方正楷体简体" w:cs="Times New Roman"/>
          <w:b/>
          <w:color w:val="000000"/>
          <w:sz w:val="32"/>
          <w:szCs w:val="32"/>
        </w:rPr>
        <w:t>）监督保障情况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eastAsia"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rPr>
        <w:t>区商务局坚持对政府信息公开进行督查考核，日常做好了信息及时性、有效性的审查，年度坚持在机关年度考核中添加政府信息公开工作。年内依据培训计划，上下半年分别开展了一次政务公开培训。</w:t>
      </w:r>
    </w:p>
    <w:p>
      <w:pPr>
        <w:spacing w:line="590" w:lineRule="exact"/>
        <w:ind w:right="-100" w:rightChars="-50" w:firstLine="643"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存在问题主要表现在：一是政府信息公开工作规范性有待进一步加强;二是部分栏目建设仍不够完善;三是主动向社会公开信息的领域有待于进一步拓展。</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下步，一是继续积极贯彻落实上级有关文件精神，提高规范性；二是进一步做好我局信息公开工作，丰富信息公开内容。三是进一步结合实际,提高公开实效。</w:t>
      </w:r>
    </w:p>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（一）依据《政府信息公开信息处理费管理办法》收取信息处理费的情况</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年内未收到任何依申请信息公开请求，无依据《政府信息公开信息处理费管理办法》收取信息处理费的情况。</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（二）本行政机关落实上级年度政务公开工作要点情况</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区商务局严格按照区政府安排部署，落实各项工作任务，对政府工作报告落实、重点工作执行等领域信息及时有效公开。</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（三）本行政机关人大代表建议和政协提案办理结果公开情况</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年度人大政协提案办理2件，办理结果均已公开。</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（四）本行政机关年度政务公开工作创新情况</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对政务公开工作创新情况，本机关进一步精进了政策图文解读。</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（五）本行政机关政府信息公开工作年度报告数据统计需要说明的事项</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区商务局无政府信息公开工作年度报告数据统计需要说明的事项。</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（六）本行政机关认为需要报告的其他事项</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区商务局无认为需要报告的其他事项。</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（七）其他有关文件专门要求通过政府信息公开工作年度报告予以报告的事项</w:t>
      </w:r>
    </w:p>
    <w:p>
      <w:pPr>
        <w:spacing w:line="590" w:lineRule="exact"/>
        <w:ind w:right="-100"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区商务局无其他有关文件专门要求通过政府信息公开工作年度报告予以报告的事项。</w:t>
      </w:r>
    </w:p>
    <w:p>
      <w:pPr>
        <w:spacing w:line="590" w:lineRule="exact"/>
        <w:ind w:right="-100" w:rightChars="-50" w:firstLine="643" w:firstLineChars="200"/>
        <w:rPr>
          <w:rFonts w:hint="default" w:ascii="Times New Roman" w:hAnsi="Times New Roman" w:eastAsia="方正仿宋简体" w:cs="Times New Roman"/>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7FC106"/>
    <w:multiLevelType w:val="singleLevel"/>
    <w:tmpl w:val="507FC10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A558E3"/>
    <w:rsid w:val="119E3442"/>
    <w:rsid w:val="1F765A9D"/>
    <w:rsid w:val="20664E0B"/>
    <w:rsid w:val="271E5BB1"/>
    <w:rsid w:val="2CB54ED0"/>
    <w:rsid w:val="47995699"/>
    <w:rsid w:val="49A558E3"/>
    <w:rsid w:val="4D20313E"/>
    <w:rsid w:val="4EA300E3"/>
    <w:rsid w:val="4F2F5A16"/>
    <w:rsid w:val="532E7EEF"/>
    <w:rsid w:val="542449F0"/>
    <w:rsid w:val="54C93241"/>
    <w:rsid w:val="6EF0192C"/>
    <w:rsid w:val="701D5166"/>
    <w:rsid w:val="735579E1"/>
    <w:rsid w:val="75244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80" b="0" i="0" u="none" strike="noStrike" kern="1200" cap="none" spc="20" baseline="0">
                <a:solidFill>
                  <a:schemeClr val="dk1">
                    <a:lumMod val="50000"/>
                    <a:lumOff val="50000"/>
                  </a:schemeClr>
                </a:solidFill>
                <a:latin typeface="+mn-lt"/>
                <a:ea typeface="+mn-ea"/>
                <a:cs typeface="+mn-cs"/>
              </a:defRPr>
            </a:pPr>
            <a:r>
              <a:rPr sz="1680"/>
              <a:t>三年政府信息总数</a:t>
            </a:r>
            <a:endParaRPr sz="1680"/>
          </a:p>
        </c:rich>
      </c:tx>
      <c:layout/>
      <c:overlay val="0"/>
      <c:spPr>
        <a:noFill/>
        <a:ln>
          <a:noFill/>
        </a:ln>
        <a:effectLst/>
      </c:spPr>
    </c:title>
    <c:autoTitleDeleted val="0"/>
    <c:plotArea>
      <c:layout/>
      <c:lineChart>
        <c:grouping val="standard"/>
        <c:varyColors val="0"/>
        <c:ser>
          <c:idx val="0"/>
          <c:order val="0"/>
          <c:tx>
            <c:strRef>
              <c:f>Sheet1!$B$1</c:f>
              <c:strCache>
                <c:ptCount val="1"/>
                <c:pt idx="0">
                  <c:v>条数</c:v>
                </c:pt>
              </c:strCache>
            </c:strRef>
          </c:tx>
          <c:spPr>
            <a:ln w="22225" cap="rnd" cmpd="sng" algn="ctr">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400" b="0" i="0" u="none" strike="noStrike" kern="1200" baseline="0">
                    <a:solidFill>
                      <a:schemeClr val="dk1">
                        <a:lumMod val="65000"/>
                        <a:lumOff val="3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Sheet1!$A$2:$A$5</c:f>
              <c:strCache>
                <c:ptCount val="4"/>
                <c:pt idx="0">
                  <c:v>2019年</c:v>
                </c:pt>
                <c:pt idx="1">
                  <c:v>2020年</c:v>
                </c:pt>
                <c:pt idx="2">
                  <c:v>2021年</c:v>
                </c:pt>
              </c:strCache>
            </c:strRef>
          </c:cat>
          <c:val>
            <c:numRef>
              <c:f>Sheet1!$B$2:$B$5</c:f>
              <c:numCache>
                <c:formatCode>General</c:formatCode>
                <c:ptCount val="4"/>
                <c:pt idx="0">
                  <c:v>70</c:v>
                </c:pt>
                <c:pt idx="1">
                  <c:v>105</c:v>
                </c:pt>
                <c:pt idx="2">
                  <c:v>119</c:v>
                </c:pt>
              </c:numCache>
            </c:numRef>
          </c:val>
          <c:smooth val="0"/>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upDownBars>
          <c:gapWidth val="150"/>
          <c:upBars>
            <c:spPr>
              <a:solidFill>
                <a:schemeClr val="lt1"/>
              </a:solidFill>
              <a:ln w="9525">
                <a:solidFill>
                  <a:schemeClr val="dk1">
                    <a:lumMod val="65000"/>
                    <a:lumOff val="35000"/>
                  </a:schemeClr>
                </a:solidFill>
              </a:ln>
              <a:effectLst/>
            </c:spPr>
          </c:upBars>
          <c:downBars>
            <c:spPr>
              <a:solidFill>
                <a:schemeClr val="dk1">
                  <a:lumMod val="75000"/>
                  <a:lumOff val="25000"/>
                </a:schemeClr>
              </a:solidFill>
              <a:ln w="9525">
                <a:solidFill>
                  <a:schemeClr val="dk1">
                    <a:lumMod val="65000"/>
                    <a:lumOff val="35000"/>
                  </a:schemeClr>
                </a:solidFill>
              </a:ln>
              <a:effectLst/>
            </c:spPr>
          </c:downBars>
        </c:upDownBars>
        <c:marker val="0"/>
        <c:smooth val="0"/>
        <c:axId val="291752491"/>
        <c:axId val="703660466"/>
        <c:extLst>
          <c:ext xmlns:c15="http://schemas.microsoft.com/office/drawing/2012/chart" uri="{02D57815-91ED-43cb-92C2-25804820EDAC}">
            <c15:filteredLineSeries>
              <c15:ser>
                <c:idx val="1"/>
                <c:order val="1"/>
                <c:tx>
                  <c:strRef>
                    <c:extLst>
                      <c:ext uri="{02D57815-91ED-43cb-92C2-25804820EDAC}">
                        <c15:formulaRef>
                          <c15:sqref>Sheet1!#REF!</c15:sqref>
                        </c15:formulaRef>
                      </c:ext>
                    </c:extLst>
                    <c:strCache>
                      <c:ptCount val="1"/>
                      <c:pt idx="0">
                        <c:v/>
                      </c:pt>
                    </c:strCache>
                  </c:strRef>
                </c:tx>
                <c:spPr>
                  <a:ln w="22225" cap="rnd" cmpd="sng" algn="ctr">
                    <a:solidFill>
                      <a:schemeClr val="accent2"/>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400" b="0" i="0" u="none" strike="noStrike" kern="1200" baseline="0">
                          <a:solidFill>
                            <a:schemeClr val="dk1">
                              <a:lumMod val="65000"/>
                              <a:lumOff val="3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extLst>
                      <c:ext uri="{02D57815-91ED-43cb-92C2-25804820EDAC}">
                        <c15:fullRef>
                          <c15:sqref/>
                        </c15:fullRef>
                        <c15:formulaRef>
                          <c15:sqref>Sheet1!$A$2:$A$5</c15:sqref>
                        </c15:formulaRef>
                      </c:ext>
                    </c:extLst>
                    <c:strCache>
                      <c:ptCount val="4"/>
                      <c:pt idx="0">
                        <c:v>2019年</c:v>
                      </c:pt>
                      <c:pt idx="1">
                        <c:v>2020年</c:v>
                      </c:pt>
                      <c:pt idx="2">
                        <c:v>2021年</c:v>
                      </c:pt>
                    </c:strCache>
                  </c:strRef>
                </c:cat>
                <c:val>
                  <c:numRef>
                    <c:extLst>
                      <c:ext uri="{02D57815-91ED-43cb-92C2-25804820EDAC}">
                        <c15:formulaRef>
                          <c15:sqref>Sheet1!#REF!</c15:sqref>
                        </c15:formulaRef>
                      </c:ext>
                    </c:extLst>
                    <c:numCache>
                      <c:formatCode>General</c:formatCode>
                      <c:ptCount val="1"/>
                      <c:pt idx="0">
                        <c:v>1</c:v>
                      </c:pt>
                    </c:numCache>
                  </c:numRef>
                </c:val>
                <c:smooth val="0"/>
              </c15:ser>
            </c15:filteredLineSeries>
            <c15:filteredLineSeries>
              <c15:ser>
                <c:idx val="2"/>
                <c:order val="2"/>
                <c:tx>
                  <c:strRef>
                    <c:extLst>
                      <c:ext uri="{02D57815-91ED-43cb-92C2-25804820EDAC}">
                        <c15:formulaRef>
                          <c15:sqref>Sheet1!#REF!</c15:sqref>
                        </c15:formulaRef>
                      </c:ext>
                    </c:extLst>
                    <c:strCache>
                      <c:ptCount val="1"/>
                      <c:pt idx="0">
                        <c:v/>
                      </c:pt>
                    </c:strCache>
                  </c:strRef>
                </c:tx>
                <c:spPr>
                  <a:ln w="22225" cap="rnd" cmpd="sng" algn="ctr">
                    <a:solidFill>
                      <a:schemeClr val="accent3"/>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400" b="0" i="0" u="none" strike="noStrike" kern="1200" baseline="0">
                          <a:solidFill>
                            <a:schemeClr val="dk1">
                              <a:lumMod val="65000"/>
                              <a:lumOff val="3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extLst>
                      <c:ext uri="{02D57815-91ED-43cb-92C2-25804820EDAC}">
                        <c15:fullRef>
                          <c15:sqref/>
                        </c15:fullRef>
                        <c15:formulaRef>
                          <c15:sqref>Sheet1!$A$2:$A$5</c15:sqref>
                        </c15:formulaRef>
                      </c:ext>
                    </c:extLst>
                    <c:strCache>
                      <c:ptCount val="4"/>
                      <c:pt idx="0">
                        <c:v>2019年</c:v>
                      </c:pt>
                      <c:pt idx="1">
                        <c:v>2020年</c:v>
                      </c:pt>
                      <c:pt idx="2">
                        <c:v>2021年</c:v>
                      </c:pt>
                    </c:strCache>
                  </c:strRef>
                </c:cat>
                <c:val>
                  <c:numRef>
                    <c:extLst>
                      <c:ext uri="{02D57815-91ED-43cb-92C2-25804820EDAC}">
                        <c15:formulaRef>
                          <c15:sqref>Sheet1!#REF!</c15:sqref>
                        </c15:formulaRef>
                      </c:ext>
                    </c:extLst>
                    <c:numCache>
                      <c:formatCode>General</c:formatCode>
                      <c:ptCount val="1"/>
                      <c:pt idx="0">
                        <c:v>1</c:v>
                      </c:pt>
                    </c:numCache>
                  </c:numRef>
                </c:val>
                <c:smooth val="0"/>
              </c15:ser>
            </c15:filteredLineSeries>
          </c:ext>
        </c:extLst>
      </c:lineChart>
      <c:catAx>
        <c:axId val="291752491"/>
        <c:scaling>
          <c:orientation val="minMax"/>
        </c:scaling>
        <c:delete val="0"/>
        <c:axPos val="b"/>
        <c:numFmt formatCode="General" sourceLinked="0"/>
        <c:majorTickMark val="out"/>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1400" b="0" i="0" u="none" strike="noStrike" kern="1200" spc="20" baseline="0">
                <a:solidFill>
                  <a:schemeClr val="dk1">
                    <a:lumMod val="65000"/>
                    <a:lumOff val="35000"/>
                  </a:schemeClr>
                </a:solidFill>
                <a:latin typeface="+mn-lt"/>
                <a:ea typeface="+mn-ea"/>
                <a:cs typeface="+mn-cs"/>
              </a:defRPr>
            </a:pPr>
          </a:p>
        </c:txPr>
        <c:crossAx val="703660466"/>
        <c:crosses val="autoZero"/>
        <c:auto val="1"/>
        <c:lblAlgn val="ctr"/>
        <c:lblOffset val="100"/>
        <c:noMultiLvlLbl val="0"/>
      </c:catAx>
      <c:valAx>
        <c:axId val="703660466"/>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1400" b="0" i="0" u="none" strike="noStrike" kern="1200" spc="20" baseline="0">
                <a:solidFill>
                  <a:schemeClr val="dk1">
                    <a:lumMod val="65000"/>
                    <a:lumOff val="35000"/>
                  </a:schemeClr>
                </a:solidFill>
                <a:latin typeface="+mn-lt"/>
                <a:ea typeface="+mn-ea"/>
                <a:cs typeface="+mn-cs"/>
              </a:defRPr>
            </a:pPr>
          </a:p>
        </c:txPr>
        <c:crossAx val="291752491"/>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noFill/>
    <a:ln w="28575" cap="flat" cmpd="sng" algn="ctr">
      <a:solidFill>
        <a:schemeClr val="accent5">
          <a:lumMod val="20000"/>
          <a:lumOff val="80000"/>
        </a:schemeClr>
      </a:solidFill>
      <a:prstDash val="solid"/>
      <a:round/>
    </a:ln>
    <a:effectLst/>
  </c:spPr>
  <c:txPr>
    <a:bodyPr/>
    <a:lstStyle/>
    <a:p>
      <a:pPr>
        <a:defRPr lang="zh-CN" sz="14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2022-01-10T01:08:00Z</dcterms:created>
  <dc:creator>平平安安</dc:creator>
  <cp:lastModifiedBy>平平安安</cp:lastModifiedBy>
  <dcterms:modified xsi:type="dcterms:W3CDTF">2022-01-14T06:03:47Z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A63DC38BAF0A48439E735743EEC53FE8</vt:lpwstr>
  </property>
</Properties>
</file>