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Times New Roman" w:hAnsi="Times New Roman" w:eastAsia="方正小标宋简体" w:cs="Times New Roman"/>
          <w:b/>
          <w:color w:val="000000"/>
          <w:kern w:val="0"/>
          <w:sz w:val="44"/>
          <w:szCs w:val="44"/>
          <w:lang w:val="en-US" w:eastAsia="zh-CN"/>
        </w:rPr>
      </w:pPr>
      <w:r>
        <w:rPr>
          <w:rFonts w:hint="eastAsia" w:ascii="Times New Roman" w:hAnsi="Times New Roman" w:eastAsia="方正小标宋简体" w:cs="Times New Roman"/>
          <w:b/>
          <w:color w:val="000000"/>
          <w:kern w:val="0"/>
          <w:sz w:val="44"/>
          <w:szCs w:val="44"/>
          <w:lang w:val="en-US" w:eastAsia="zh-CN"/>
        </w:rPr>
        <w:t>济宁市兖州区交通运输局2022年</w:t>
      </w:r>
    </w:p>
    <w:p>
      <w:pPr>
        <w:spacing w:line="590" w:lineRule="exact"/>
        <w:ind w:right="-105" w:rightChars="-50"/>
        <w:jc w:val="center"/>
        <w:rPr>
          <w:rFonts w:hint="eastAsia" w:ascii="Times New Roman" w:hAnsi="Times New Roman" w:eastAsia="方正小标宋简体" w:cs="Times New Roman"/>
          <w:b/>
          <w:color w:val="000000"/>
          <w:kern w:val="0"/>
          <w:sz w:val="44"/>
          <w:szCs w:val="44"/>
          <w:lang w:val="en-US" w:eastAsia="zh-CN"/>
        </w:rPr>
      </w:pPr>
      <w:r>
        <w:rPr>
          <w:rFonts w:hint="eastAsia" w:ascii="Times New Roman" w:hAnsi="Times New Roman" w:eastAsia="方正小标宋简体" w:cs="Times New Roman"/>
          <w:b/>
          <w:color w:val="000000"/>
          <w:kern w:val="0"/>
          <w:sz w:val="44"/>
          <w:szCs w:val="44"/>
          <w:lang w:val="en-US" w:eastAsia="zh-CN"/>
        </w:rPr>
        <w:t>政务公开年报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本报告由区交通运输局按照《中华人民共和国政府信息公开条例》（以下简称《条例》）和《中华人民共和国政府信息公开工作年度报告格式》（国办公开办函〔2021〕30号）要求编制。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本报告内容包括交通运输局全年总体情况、主动公开政府信息情况、收到和处理政府信息公开申请情况、政府信息公开行政复议和行政诉讼情况、存在的主要问题及改进情况、其他需要报告的事项等六部分内容。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3" w:firstLineChars="200"/>
        <w:textAlignment w:val="auto"/>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所列数据的统计期限自2022年1月1日起至2022年12月31日止。本报告电子版可在“中国·兖州”政府门户网站（http://www.yanzhou.gov.cn/）查阅或下载。如对本报告有疑问，请与兖州区交通运输局联系（地址：济宁市兖州区扬州路2号，区政务服务中心南楼6楼，联系电话：0537-3413776）。</w:t>
      </w:r>
    </w:p>
    <w:p>
      <w:pPr>
        <w:keepNext w:val="0"/>
        <w:keepLines w:val="0"/>
        <w:pageBreakBefore w:val="0"/>
        <w:widowControl w:val="0"/>
        <w:kinsoku/>
        <w:wordWrap/>
        <w:overflowPunct/>
        <w:topLinePunct w:val="0"/>
        <w:autoSpaceDE/>
        <w:autoSpaceDN/>
        <w:bidi w:val="0"/>
        <w:adjustRightInd/>
        <w:snapToGrid/>
        <w:spacing w:line="610" w:lineRule="exact"/>
        <w:ind w:right="-105" w:rightChars="-50" w:firstLine="641" w:firstLineChars="200"/>
        <w:textAlignment w:val="auto"/>
        <w:rPr>
          <w:rFonts w:hint="default" w:ascii="Times New Roman" w:hAnsi="Times New Roman" w:eastAsia="方正黑体简体" w:cs="Times New Roman"/>
          <w:b/>
          <w:color w:val="000000"/>
          <w:kern w:val="0"/>
          <w:sz w:val="32"/>
          <w:szCs w:val="32"/>
        </w:rPr>
      </w:pPr>
      <w:r>
        <w:rPr>
          <w:rFonts w:hint="default" w:ascii="Times New Roman" w:hAnsi="Times New Roman" w:eastAsia="方正黑体简体" w:cs="Times New Roman"/>
          <w:b/>
          <w:color w:val="000000"/>
          <w:kern w:val="0"/>
          <w:sz w:val="32"/>
          <w:szCs w:val="32"/>
        </w:rPr>
        <w:t>一、总体情况</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2022年以来，济宁市兖州区交通运输局深入贯彻学习落实《中华人民共和国政府信息公开条例》，按照《条例》和省、市、区有关信息公开工作的要求，规范公开形式、围绕公众关切，进一步规范，强化政府信息公开的规范运作，全面提升政府信息公开的档次和水平。严格落实区政府决策部署，健全机构，完善机制，大力推进交通政务公开工作有序开展。重点抓好以下几方面工作：</w:t>
      </w:r>
    </w:p>
    <w:p>
      <w:pPr>
        <w:keepNext w:val="0"/>
        <w:keepLines w:val="0"/>
        <w:pageBreakBefore w:val="0"/>
        <w:widowControl w:val="0"/>
        <w:kinsoku/>
        <w:wordWrap/>
        <w:overflowPunct/>
        <w:topLinePunct w:val="0"/>
        <w:autoSpaceDE/>
        <w:autoSpaceDN/>
        <w:bidi w:val="0"/>
        <w:adjustRightInd/>
        <w:snapToGrid/>
        <w:spacing w:line="610" w:lineRule="exact"/>
        <w:ind w:right="0" w:rightChars="0" w:firstLine="643" w:firstLineChars="200"/>
        <w:textAlignment w:val="auto"/>
        <w:rPr>
          <w:rFonts w:hint="default"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（一） 扎实开展网站信息主动公开</w:t>
      </w:r>
    </w:p>
    <w:p>
      <w:pPr>
        <w:pStyle w:val="3"/>
        <w:ind w:left="-420"/>
        <w:jc w:val="left"/>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区交通运输局将政务公开作为单位工作的基本制度，与业务工作同部署，制定了《济宁市兖州区交通运输局关于进一步推进政务工作实施方案》，并把政务公开作为单位目标管理考核的重要内容，同时，不定期开展对政务公开推进过程中事项的督察，将公开事项落实到位。同时按照政府信息公开工作的要求，2022年1-12月我局主动公开政府信息363条。其中机构职能和领导信息4条，组织管理9条，部门文件6条，应急管理6条，通知公告43条，行政权力运行公开243条，重点领域66条，政府信息公开指南年报1条，主动公开基本目录4条。</w:t>
      </w:r>
    </w:p>
    <w:p>
      <w:pPr>
        <w:pStyle w:val="3"/>
        <w:ind w:left="-420" w:firstLine="1680" w:firstLineChars="600"/>
        <w:jc w:val="both"/>
        <w:rPr>
          <w:rFonts w:hint="eastAsia" w:ascii="方正小标宋简体" w:eastAsia="方正小标宋简体"/>
          <w:sz w:val="28"/>
          <w:szCs w:val="28"/>
        </w:rPr>
      </w:pPr>
      <w:bookmarkStart w:id="0" w:name="_GoBack"/>
      <w:bookmarkEnd w:id="0"/>
      <w:r>
        <w:rPr>
          <w:rFonts w:hint="eastAsia" w:ascii="方正小标宋简体" w:eastAsia="方正小标宋简体"/>
          <w:sz w:val="28"/>
          <w:szCs w:val="28"/>
        </w:rPr>
        <w:t>区交通运输局近三年政府推动公开信息数量</w:t>
      </w:r>
    </w:p>
    <w:p>
      <w:pPr>
        <w:rPr>
          <w:rFonts w:hint="eastAsia"/>
        </w:rPr>
      </w:pPr>
      <w:r>
        <w:drawing>
          <wp:anchor distT="0" distB="0" distL="114300" distR="114300" simplePos="0" relativeHeight="251659264" behindDoc="0" locked="0" layoutInCell="1" allowOverlap="1">
            <wp:simplePos x="0" y="0"/>
            <wp:positionH relativeFrom="column">
              <wp:posOffset>287020</wp:posOffset>
            </wp:positionH>
            <wp:positionV relativeFrom="paragraph">
              <wp:posOffset>187960</wp:posOffset>
            </wp:positionV>
            <wp:extent cx="4545330" cy="1911985"/>
            <wp:effectExtent l="4445" t="4445" r="22225" b="76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
      <w:pPr>
        <w:pStyle w:val="6"/>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p>
    <w:p>
      <w:pPr>
        <w:pStyle w:val="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（二）继续规范依申请公开</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认真组织相关人员学习依申请公开法律法规，严格落实相关依申请公开流程，规范依申请公开答复，做到规范办理，确保政务信息公开工作制度化、规范化。2022年，我局依申请公开政府信息条数1条，涉及城区小区机动车停车场（包括小区门口机动车停车场）备案问题，已按时答复。</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楷体简体" w:cs="Times New Roman"/>
          <w:b/>
          <w:color w:val="000000"/>
          <w:kern w:val="0"/>
          <w:sz w:val="32"/>
          <w:szCs w:val="32"/>
          <w:lang w:val="en-US" w:eastAsia="zh-CN" w:bidi="ar-SA"/>
        </w:rPr>
      </w:pPr>
      <w:r>
        <w:rPr>
          <w:rFonts w:hint="eastAsia" w:ascii="Times New Roman" w:hAnsi="Times New Roman" w:eastAsia="方正楷体简体" w:cs="Times New Roman"/>
          <w:b/>
          <w:color w:val="000000"/>
          <w:kern w:val="0"/>
          <w:sz w:val="32"/>
          <w:szCs w:val="32"/>
          <w:lang w:val="en-US" w:eastAsia="zh-CN" w:bidi="ar-SA"/>
        </w:rPr>
        <w:t>政府信息管理的长期优化</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我单位认真执行公文公开属性源头认定制度、政府信息公开保密审查办法、政府信息公开协调机制等，明确了职责分工、工作流程等，确保政府信息公开工作规范有序。着力提高政府信息和政务公开规范化水平，形成长效工作机制。完善政务公开工作机制，优化制发公文的公开审批程序，健全信息公开审核制度和发布台账。在符合保密要求的前提下，依法公开本机关的政务信息，做好公开内容表述、公开时机、公开方式的研判，及时制定更新主动公开基本目录。年内未发生信息发布失信、影响社会稳定等问题。</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（四）有效提升政府信息公开平台建设</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我局除了在区政府门户网站公开政府信息外，还利用政风行风热线节目、微信公众号、出租车、公交车LED屏等多种渠道对我局工作职能、群众关心的热点难点问题、重大项目进展情况、文明城市创建、大气污染防治、疫情防控等公开政府信息。</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楷体简体" w:cs="Times New Roman"/>
          <w:b/>
          <w:color w:val="000000"/>
          <w:kern w:val="0"/>
          <w:sz w:val="32"/>
          <w:szCs w:val="32"/>
          <w:lang w:val="en-US" w:eastAsia="zh-CN" w:bidi="ar-SA"/>
        </w:rPr>
      </w:pPr>
      <w:r>
        <w:rPr>
          <w:rFonts w:hint="eastAsia" w:ascii="Times New Roman" w:hAnsi="Times New Roman" w:eastAsia="方正楷体简体" w:cs="Times New Roman"/>
          <w:b/>
          <w:color w:val="000000"/>
          <w:kern w:val="0"/>
          <w:sz w:val="32"/>
          <w:szCs w:val="32"/>
          <w:lang w:val="en-US" w:eastAsia="zh-CN" w:bidi="ar-SA"/>
        </w:rPr>
        <w:t>着力加强监督保障机制</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区交运局高度重视政务公开工作，加强组织领导。严格按照《条例》等有关制度规定开展工作，细化工作方法、明确工作流程、强化责任落实。成立了由局长任组长，其他党委成员任副组长，各科室负责人为成员的政府信息公开工作领导小组，制定了进一步推进政务工作实施方案，指定专人负责政府信息公开日常工作，依据政务信息公开原则和要求，进一步制定完善信息审核、备案、发布制度，及时更新工作信息和动态。充分发挥民意征集、网上调查等公众参与互动栏目的作用，鼓励群众建言献策。认真抓好落实，促进政府信息公开工作有序开展。</w:t>
      </w:r>
    </w:p>
    <w:p>
      <w:pPr>
        <w:spacing w:line="590" w:lineRule="exact"/>
        <w:ind w:right="-105" w:rightChars="-50" w:firstLine="641" w:firstLineChars="200"/>
        <w:rPr>
          <w:rFonts w:hint="eastAsia" w:ascii="Times New Roman" w:hAnsi="Times New Roman" w:eastAsia="方正黑体简体" w:cs="Times New Roman"/>
          <w:b/>
          <w:color w:val="000000"/>
          <w:kern w:val="0"/>
          <w:sz w:val="32"/>
          <w:szCs w:val="32"/>
        </w:rPr>
      </w:pPr>
      <w:r>
        <w:rPr>
          <w:rFonts w:hint="default" w:ascii="Times New Roman" w:hAnsi="Times New Roman" w:eastAsia="方正黑体简体" w:cs="Times New Roman"/>
          <w:b/>
          <w:color w:val="000000"/>
          <w:kern w:val="0"/>
          <w:sz w:val="32"/>
          <w:szCs w:val="32"/>
        </w:rPr>
        <w:t>二、主动公开政府信息情况</w:t>
      </w:r>
    </w:p>
    <w:tbl>
      <w:tblPr>
        <w:tblStyle w:val="7"/>
        <w:tblW w:w="8775" w:type="dxa"/>
        <w:tblInd w:w="4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信息内容</w:t>
            </w:r>
          </w:p>
        </w:tc>
        <w:tc>
          <w:tcPr>
            <w:tcW w:w="21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本年制发件数</w:t>
            </w:r>
          </w:p>
        </w:tc>
        <w:tc>
          <w:tcPr>
            <w:tcW w:w="222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本年废止件数</w:t>
            </w:r>
          </w:p>
        </w:tc>
        <w:tc>
          <w:tcPr>
            <w:tcW w:w="1995"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规章</w:t>
            </w:r>
          </w:p>
        </w:tc>
        <w:tc>
          <w:tcPr>
            <w:tcW w:w="21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0</w:t>
            </w:r>
          </w:p>
        </w:tc>
        <w:tc>
          <w:tcPr>
            <w:tcW w:w="222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0</w:t>
            </w:r>
          </w:p>
        </w:tc>
        <w:tc>
          <w:tcPr>
            <w:tcW w:w="199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行政规范性文件</w:t>
            </w:r>
          </w:p>
        </w:tc>
        <w:tc>
          <w:tcPr>
            <w:tcW w:w="21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0</w:t>
            </w:r>
          </w:p>
        </w:tc>
        <w:tc>
          <w:tcPr>
            <w:tcW w:w="222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0</w:t>
            </w:r>
          </w:p>
        </w:tc>
        <w:tc>
          <w:tcPr>
            <w:tcW w:w="199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行政许可</w:t>
            </w:r>
          </w:p>
        </w:tc>
        <w:tc>
          <w:tcPr>
            <w:tcW w:w="634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行政处罚</w:t>
            </w:r>
          </w:p>
        </w:tc>
        <w:tc>
          <w:tcPr>
            <w:tcW w:w="634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207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行政强制</w:t>
            </w:r>
          </w:p>
        </w:tc>
        <w:tc>
          <w:tcPr>
            <w:tcW w:w="634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行政事业性收费</w:t>
            </w:r>
          </w:p>
        </w:tc>
        <w:tc>
          <w:tcPr>
            <w:tcW w:w="634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widowControl/>
              <w:spacing w:line="340" w:lineRule="exact"/>
              <w:jc w:val="center"/>
              <w:rPr>
                <w:rFonts w:hint="default" w:ascii="Times New Roman" w:hAnsi="Times New Roman" w:eastAsia="方正仿宋简体" w:cs="Times New Roman"/>
                <w:b/>
                <w:kern w:val="0"/>
                <w:sz w:val="24"/>
                <w:szCs w:val="24"/>
                <w:lang w:bidi="ar"/>
              </w:rPr>
            </w:pPr>
            <w:r>
              <w:rPr>
                <w:rFonts w:hint="default" w:ascii="Times New Roman" w:hAnsi="Times New Roman" w:eastAsia="方正仿宋简体" w:cs="Times New Roman"/>
                <w:b/>
                <w:kern w:val="0"/>
                <w:sz w:val="24"/>
                <w:szCs w:val="24"/>
                <w:lang w:bidi="ar"/>
              </w:rPr>
              <w:t>0</w:t>
            </w:r>
          </w:p>
        </w:tc>
      </w:tr>
    </w:tbl>
    <w:p>
      <w:pPr>
        <w:spacing w:line="590" w:lineRule="exact"/>
        <w:ind w:right="-105" w:rightChars="-50" w:firstLine="641" w:firstLineChars="200"/>
        <w:rPr>
          <w:rFonts w:hint="default" w:ascii="Times New Roman" w:hAnsi="Times New Roman" w:eastAsia="方正黑体简体" w:cs="Times New Roman"/>
          <w:b/>
          <w:color w:val="000000"/>
          <w:kern w:val="0"/>
          <w:sz w:val="32"/>
          <w:szCs w:val="32"/>
        </w:rPr>
      </w:pPr>
      <w:r>
        <w:rPr>
          <w:rFonts w:hint="default" w:ascii="Times New Roman" w:hAnsi="Times New Roman" w:eastAsia="方正黑体简体" w:cs="Times New Roman"/>
          <w:b/>
          <w:color w:val="000000"/>
          <w:kern w:val="0"/>
          <w:sz w:val="32"/>
          <w:szCs w:val="32"/>
        </w:rPr>
        <w:t>三、收到和处理政府信息公开申请情况</w:t>
      </w:r>
    </w:p>
    <w:tbl>
      <w:tblPr>
        <w:tblStyle w:val="7"/>
        <w:tblW w:w="88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6"/>
        <w:gridCol w:w="945"/>
        <w:gridCol w:w="3795"/>
        <w:gridCol w:w="525"/>
        <w:gridCol w:w="570"/>
        <w:gridCol w:w="495"/>
        <w:gridCol w:w="510"/>
        <w:gridCol w:w="465"/>
        <w:gridCol w:w="525"/>
        <w:gridCol w:w="4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316"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（本列数据的勾稽关系为：第一项加第二项之和，等于第三项加第四项之和）</w:t>
            </w:r>
          </w:p>
        </w:tc>
        <w:tc>
          <w:tcPr>
            <w:tcW w:w="3555"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316"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525" w:type="dxa"/>
            <w:vMerge w:val="restart"/>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自然人</w:t>
            </w:r>
          </w:p>
        </w:tc>
        <w:tc>
          <w:tcPr>
            <w:tcW w:w="2565" w:type="dxa"/>
            <w:gridSpan w:val="5"/>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法人或其他组织</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316"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52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商业</w:t>
            </w:r>
          </w:p>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企业</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科研</w:t>
            </w:r>
          </w:p>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机构</w:t>
            </w:r>
          </w:p>
        </w:tc>
        <w:tc>
          <w:tcPr>
            <w:tcW w:w="51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社会公益组织</w:t>
            </w:r>
          </w:p>
        </w:tc>
        <w:tc>
          <w:tcPr>
            <w:tcW w:w="46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法律服务机构</w:t>
            </w:r>
          </w:p>
        </w:tc>
        <w:tc>
          <w:tcPr>
            <w:tcW w:w="52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其他</w:t>
            </w: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531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一、本年新收政府信息公开申请数量</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531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二、上年结转政府信息公开申请数量</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76"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三、本年度办理结果</w:t>
            </w:r>
          </w:p>
        </w:tc>
        <w:tc>
          <w:tcPr>
            <w:tcW w:w="4740"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（一）予以公开</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3"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4740"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（二）部分公开（区分处理的，只计这一情形，不计其他情形）</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（三）不予公开</w:t>
            </w: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1.属于国家秘密</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8"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2.其他法律行政法规禁止公开</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3.危及“三安全一稳定”</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4.保护第三方合法权益</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5.属于三类内部事务信息</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6.属于四类过程性信息</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7.属于行政执法案卷</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8.属于行政查询事项</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45"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（四）无法提供</w:t>
            </w: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1.本机关不掌握相关政府信息</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9"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2.没有现成信息需要另行制作</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88"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3.补正后申请内容仍不明确</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76"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（五）不予处理</w:t>
            </w: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1.信访举报投诉类申请</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2.重复申请</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3.要求提供公开出版物</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3"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4.无正当理由大量反复申请</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67" w:hRule="atLeast"/>
        </w:trPr>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5.要求行政机关确认或重新出具已获取信息</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（六）其他处理</w:t>
            </w: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1.申请人无正当理由逾期不补正、行政机关不再处理其政府信息公开申请</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2.申请人逾期未按收费通知要求缴纳费用、行政机关不再处理其政府信息公开申请</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3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3.其他</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76"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p>
        </w:tc>
        <w:tc>
          <w:tcPr>
            <w:tcW w:w="4740"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（七）总计</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31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四、结转下年度继续办理</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1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00" w:lineRule="exact"/>
              <w:jc w:val="center"/>
              <w:rPr>
                <w:rFonts w:hint="default" w:ascii="Times New Roman" w:hAnsi="Times New Roman" w:eastAsia="方正仿宋简体" w:cs="Times New Roman"/>
                <w:b/>
                <w:kern w:val="0"/>
                <w:sz w:val="21"/>
                <w:szCs w:val="21"/>
                <w:lang w:bidi="ar"/>
              </w:rPr>
            </w:pPr>
            <w:r>
              <w:rPr>
                <w:rFonts w:hint="default" w:ascii="Times New Roman" w:hAnsi="Times New Roman" w:eastAsia="方正仿宋简体" w:cs="Times New Roman"/>
                <w:b/>
                <w:kern w:val="0"/>
                <w:sz w:val="21"/>
                <w:szCs w:val="21"/>
                <w:lang w:bidi="ar"/>
              </w:rPr>
              <w:t>0</w:t>
            </w:r>
          </w:p>
        </w:tc>
      </w:tr>
    </w:tbl>
    <w:p>
      <w:pPr>
        <w:spacing w:line="590" w:lineRule="exact"/>
        <w:ind w:right="-105" w:rightChars="-50" w:firstLine="641" w:firstLineChars="200"/>
        <w:rPr>
          <w:rFonts w:hint="default" w:ascii="Times New Roman" w:hAnsi="Times New Roman" w:eastAsia="方正黑体简体" w:cs="Times New Roman"/>
          <w:b/>
          <w:color w:val="000000"/>
          <w:kern w:val="0"/>
          <w:sz w:val="32"/>
          <w:szCs w:val="32"/>
        </w:rPr>
      </w:pPr>
      <w:r>
        <w:rPr>
          <w:rFonts w:hint="default" w:ascii="Times New Roman" w:hAnsi="Times New Roman" w:eastAsia="方正黑体简体" w:cs="Times New Roman"/>
          <w:b/>
          <w:color w:val="000000"/>
          <w:kern w:val="0"/>
          <w:sz w:val="32"/>
          <w:szCs w:val="32"/>
        </w:rPr>
        <w:t>四、政府信息公开行政复议、行政诉讼情况</w:t>
      </w:r>
    </w:p>
    <w:tbl>
      <w:tblPr>
        <w:tblStyle w:val="7"/>
        <w:tblW w:w="880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3"/>
        <w:gridCol w:w="613"/>
        <w:gridCol w:w="599"/>
        <w:gridCol w:w="584"/>
        <w:gridCol w:w="479"/>
        <w:gridCol w:w="644"/>
        <w:gridCol w:w="644"/>
        <w:gridCol w:w="644"/>
        <w:gridCol w:w="629"/>
        <w:gridCol w:w="450"/>
        <w:gridCol w:w="644"/>
        <w:gridCol w:w="644"/>
        <w:gridCol w:w="644"/>
        <w:gridCol w:w="554"/>
        <w:gridCol w:w="4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kern w:val="0"/>
                <w:sz w:val="21"/>
                <w:szCs w:val="21"/>
                <w:lang w:bidi="ar"/>
              </w:rPr>
            </w:pPr>
            <w:r>
              <w:rPr>
                <w:rFonts w:hint="default" w:ascii="Times New Roman" w:hAnsi="Times New Roman" w:eastAsia="方正黑体简体" w:cs="Times New Roman"/>
                <w:b/>
                <w:kern w:val="0"/>
                <w:sz w:val="21"/>
                <w:szCs w:val="21"/>
                <w:lang w:bidi="ar"/>
              </w:rPr>
              <w:t>0</w:t>
            </w:r>
          </w:p>
        </w:tc>
      </w:tr>
    </w:tbl>
    <w:p>
      <w:pPr>
        <w:spacing w:line="590" w:lineRule="exact"/>
        <w:ind w:right="-105" w:rightChars="-50" w:firstLine="641" w:firstLineChars="200"/>
        <w:rPr>
          <w:rFonts w:hint="default" w:ascii="Times New Roman" w:hAnsi="Times New Roman" w:eastAsia="方正黑体简体" w:cs="Times New Roman"/>
          <w:b/>
          <w:color w:val="000000"/>
          <w:kern w:val="0"/>
          <w:sz w:val="32"/>
          <w:szCs w:val="32"/>
        </w:rPr>
      </w:pPr>
      <w:r>
        <w:rPr>
          <w:rFonts w:hint="default" w:ascii="Times New Roman" w:hAnsi="Times New Roman" w:eastAsia="方正黑体简体" w:cs="Times New Roman"/>
          <w:b/>
          <w:color w:val="000000"/>
          <w:kern w:val="0"/>
          <w:sz w:val="32"/>
          <w:szCs w:val="32"/>
        </w:rPr>
        <w:t>五、存在的主要问题及改进情况</w:t>
      </w:r>
    </w:p>
    <w:p>
      <w:pPr>
        <w:spacing w:line="590" w:lineRule="exact"/>
        <w:ind w:right="-105" w:rightChars="-50" w:firstLine="643" w:firstLineChars="200"/>
        <w:rPr>
          <w:rFonts w:hint="default" w:ascii="Times New Roman" w:hAnsi="Times New Roman" w:eastAsia="方正仿宋简体" w:cs="Times New Roman"/>
          <w:b/>
          <w:color w:val="auto"/>
          <w:kern w:val="0"/>
          <w:sz w:val="32"/>
          <w:szCs w:val="32"/>
        </w:rPr>
      </w:pPr>
      <w:r>
        <w:rPr>
          <w:rFonts w:hint="default" w:ascii="Times New Roman" w:hAnsi="Times New Roman" w:eastAsia="方正仿宋简体" w:cs="Times New Roman"/>
          <w:b/>
          <w:color w:val="auto"/>
          <w:kern w:val="0"/>
          <w:sz w:val="32"/>
          <w:szCs w:val="32"/>
        </w:rPr>
        <w:t>2022年，我局政务公开工作取得一定成效，局机关各科室主动公开信息的意识不断增强，但还存在信息发布不够及时，信息内容不够全面、等问题。针对以上不足，2022年将</w:t>
      </w:r>
      <w:r>
        <w:rPr>
          <w:rFonts w:hint="eastAsia" w:ascii="Times New Roman" w:hAnsi="Times New Roman" w:eastAsia="方正仿宋简体" w:cs="Times New Roman"/>
          <w:b/>
          <w:color w:val="auto"/>
          <w:kern w:val="0"/>
          <w:sz w:val="32"/>
          <w:szCs w:val="32"/>
          <w:lang w:val="en-US" w:eastAsia="zh-CN"/>
        </w:rPr>
        <w:t>在以下几个方面做好改进工作</w:t>
      </w:r>
      <w:r>
        <w:rPr>
          <w:rFonts w:hint="default" w:ascii="Times New Roman" w:hAnsi="Times New Roman" w:eastAsia="方正仿宋简体" w:cs="Times New Roman"/>
          <w:b/>
          <w:color w:val="auto"/>
          <w:kern w:val="0"/>
          <w:sz w:val="32"/>
          <w:szCs w:val="32"/>
        </w:rPr>
        <w:t>：一是加强学习培训。举办培训班，对机关各科室进行专题业务培训，继续深入学习贯彻《条例》，不断提升机关工作人员的公开意识和业务水平。二是进一步完善政府信息公开工作制度。对公开的形式、内容、时限、程序、监督和运行机制等进一步规范，强化政府信息公开的规范运作，全面提升政府信息公开的档次和水平。三是及时提供最新的政务公开信息，重点推进群众关注度高的重点领域信息公开。四是进一步加大政府信息公开力度。全面推进政府部门办事规定、程序、过程和结果公开，接受社会和群众的监督。</w:t>
      </w:r>
    </w:p>
    <w:p>
      <w:pPr>
        <w:pStyle w:val="6"/>
        <w:widowControl/>
        <w:snapToGrid w:val="0"/>
        <w:spacing w:beforeAutospacing="0" w:afterAutospacing="0" w:line="560" w:lineRule="exact"/>
        <w:ind w:firstLine="420"/>
        <w:rPr>
          <w:rFonts w:hint="default" w:ascii="Times New Roman" w:hAnsi="Times New Roman" w:eastAsia="方正黑体简体" w:cs="Times New Roman"/>
          <w:b/>
          <w:kern w:val="0"/>
          <w:sz w:val="32"/>
          <w:szCs w:val="32"/>
          <w:lang w:val="en-US" w:eastAsia="zh-CN" w:bidi="ar-SA"/>
        </w:rPr>
      </w:pPr>
      <w:r>
        <w:rPr>
          <w:rFonts w:ascii="Times New Roman" w:hAnsi="Times New Roman" w:eastAsia="方正仿宋简体"/>
          <w:sz w:val="32"/>
          <w:szCs w:val="32"/>
        </w:rPr>
        <w:t>​</w:t>
      </w:r>
      <w:r>
        <w:rPr>
          <w:rFonts w:hint="default" w:ascii="Times New Roman" w:hAnsi="Times New Roman" w:eastAsia="方正黑体简体" w:cs="Times New Roman"/>
          <w:b/>
          <w:kern w:val="0"/>
          <w:sz w:val="32"/>
          <w:szCs w:val="32"/>
          <w:lang w:val="en-US" w:eastAsia="zh-CN" w:bidi="ar-SA"/>
        </w:rPr>
        <w:t>六、其他需要报告的事项</w:t>
      </w:r>
    </w:p>
    <w:p>
      <w:pPr>
        <w:spacing w:line="590" w:lineRule="exact"/>
        <w:ind w:right="-105" w:rightChars="-50" w:firstLine="643" w:firstLineChars="200"/>
        <w:rPr>
          <w:rFonts w:hint="eastAsia" w:ascii="Times New Roman" w:hAnsi="Times New Roman" w:eastAsia="方正仿宋简体" w:cs="Times New Roman"/>
          <w:b/>
          <w:kern w:val="0"/>
          <w:sz w:val="32"/>
          <w:szCs w:val="32"/>
          <w:lang w:eastAsia="zh-CN"/>
        </w:rPr>
      </w:pPr>
      <w:r>
        <w:rPr>
          <w:rFonts w:hint="eastAsia" w:ascii="Times New Roman" w:hAnsi="Times New Roman" w:eastAsia="方正仿宋简体" w:cs="Times New Roman"/>
          <w:b/>
          <w:kern w:val="0"/>
          <w:sz w:val="32"/>
          <w:szCs w:val="32"/>
          <w:lang w:eastAsia="zh-CN"/>
        </w:rPr>
        <w:t>（一）</w:t>
      </w:r>
      <w:r>
        <w:rPr>
          <w:rFonts w:hint="default" w:ascii="Times New Roman" w:hAnsi="Times New Roman" w:eastAsia="方正仿宋简体" w:cs="Times New Roman"/>
          <w:b/>
          <w:kern w:val="0"/>
          <w:sz w:val="32"/>
          <w:szCs w:val="32"/>
        </w:rPr>
        <w:t>依据《政府信息公开信息处理费管理办法》收取信息处理费的情况</w:t>
      </w:r>
      <w:r>
        <w:rPr>
          <w:rFonts w:hint="eastAsia" w:ascii="Times New Roman" w:hAnsi="Times New Roman" w:eastAsia="方正仿宋简体" w:cs="Times New Roman"/>
          <w:b/>
          <w:kern w:val="0"/>
          <w:sz w:val="32"/>
          <w:szCs w:val="32"/>
          <w:lang w:eastAsia="zh-CN"/>
        </w:rPr>
        <w:t>：</w:t>
      </w:r>
    </w:p>
    <w:p>
      <w:pPr>
        <w:spacing w:line="590" w:lineRule="exact"/>
        <w:ind w:right="-105" w:rightChars="-50" w:firstLine="643" w:firstLineChars="200"/>
        <w:rPr>
          <w:rFonts w:hint="eastAsia" w:ascii="Times New Roman" w:hAnsi="Times New Roman" w:eastAsia="方正仿宋简体" w:cs="Times New Roman"/>
          <w:b/>
          <w:kern w:val="0"/>
          <w:sz w:val="32"/>
          <w:szCs w:val="32"/>
          <w:lang w:eastAsia="zh-CN"/>
        </w:rPr>
      </w:pPr>
      <w:r>
        <w:rPr>
          <w:rFonts w:hint="eastAsia" w:ascii="Times New Roman" w:hAnsi="Times New Roman" w:eastAsia="方正仿宋简体" w:cs="Times New Roman"/>
          <w:b/>
          <w:kern w:val="0"/>
          <w:sz w:val="32"/>
          <w:szCs w:val="32"/>
          <w:lang w:val="en-US" w:eastAsia="zh-CN"/>
        </w:rPr>
        <w:t>2022年我局在政务公开工作中未收取</w:t>
      </w:r>
      <w:r>
        <w:rPr>
          <w:rFonts w:hint="default" w:ascii="Times New Roman" w:hAnsi="Times New Roman" w:eastAsia="方正仿宋简体" w:cs="Times New Roman"/>
          <w:b/>
          <w:kern w:val="0"/>
          <w:sz w:val="32"/>
          <w:szCs w:val="32"/>
        </w:rPr>
        <w:t>信息公开信息处理费</w:t>
      </w:r>
      <w:r>
        <w:rPr>
          <w:rFonts w:hint="eastAsia" w:ascii="Times New Roman" w:hAnsi="Times New Roman" w:eastAsia="方正仿宋简体" w:cs="Times New Roman"/>
          <w:b/>
          <w:kern w:val="0"/>
          <w:sz w:val="32"/>
          <w:szCs w:val="32"/>
          <w:lang w:eastAsia="zh-CN"/>
        </w:rPr>
        <w:t>。</w:t>
      </w:r>
    </w:p>
    <w:p>
      <w:pPr>
        <w:spacing w:line="590" w:lineRule="exact"/>
        <w:ind w:right="-105" w:rightChars="-50" w:firstLine="643" w:firstLineChars="200"/>
        <w:rPr>
          <w:rFonts w:hint="eastAsia" w:ascii="Times New Roman" w:hAnsi="Times New Roman" w:eastAsia="方正仿宋简体" w:cs="Times New Roman"/>
          <w:b/>
          <w:kern w:val="0"/>
          <w:sz w:val="32"/>
          <w:szCs w:val="32"/>
          <w:lang w:eastAsia="zh-CN"/>
        </w:rPr>
      </w:pPr>
      <w:r>
        <w:rPr>
          <w:rFonts w:hint="default" w:ascii="Times New Roman" w:hAnsi="Times New Roman" w:eastAsia="方正仿宋简体" w:cs="Times New Roman"/>
          <w:b/>
          <w:kern w:val="0"/>
          <w:sz w:val="32"/>
          <w:szCs w:val="32"/>
        </w:rPr>
        <w:t>（二）本行政机关落实上级年度政务公开工作要点情况</w:t>
      </w:r>
      <w:r>
        <w:rPr>
          <w:rFonts w:hint="eastAsia" w:ascii="Times New Roman" w:hAnsi="Times New Roman" w:eastAsia="方正仿宋简体" w:cs="Times New Roman"/>
          <w:b/>
          <w:kern w:val="0"/>
          <w:sz w:val="32"/>
          <w:szCs w:val="32"/>
          <w:lang w:eastAsia="zh-CN"/>
        </w:rPr>
        <w:t>：</w:t>
      </w:r>
    </w:p>
    <w:p>
      <w:pPr>
        <w:spacing w:line="590" w:lineRule="exact"/>
        <w:ind w:right="-105" w:rightChars="-50" w:firstLine="643" w:firstLineChars="200"/>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本行政机关落实上级年度政务公开工作要点情况。我局高度重视政府信息公开工作，为更好地提供政府信息公开服务，方便公民、法人和其他组织获得相关政府信息，明确了专门人员具体负责政府信息公开的日常工作。按照公开要求，应公开的及时公开。</w:t>
      </w:r>
    </w:p>
    <w:p>
      <w:pPr>
        <w:spacing w:line="590" w:lineRule="exact"/>
        <w:ind w:right="-105" w:rightChars="-50" w:firstLine="643" w:firstLineChars="200"/>
        <w:rPr>
          <w:rFonts w:hint="eastAsia" w:ascii="Times New Roman" w:hAnsi="Times New Roman" w:eastAsia="方正仿宋简体" w:cs="Times New Roman"/>
          <w:b/>
          <w:kern w:val="0"/>
          <w:sz w:val="32"/>
          <w:szCs w:val="32"/>
          <w:lang w:eastAsia="zh-CN"/>
        </w:rPr>
      </w:pPr>
      <w:r>
        <w:rPr>
          <w:rFonts w:hint="default" w:ascii="Times New Roman" w:hAnsi="Times New Roman" w:eastAsia="方正仿宋简体" w:cs="Times New Roman"/>
          <w:b/>
          <w:kern w:val="0"/>
          <w:sz w:val="32"/>
          <w:szCs w:val="32"/>
        </w:rPr>
        <w:t>（三）本行政机关人大代表建议和政协提案办理结果公开情况</w:t>
      </w:r>
      <w:r>
        <w:rPr>
          <w:rFonts w:hint="eastAsia" w:ascii="Times New Roman" w:hAnsi="Times New Roman" w:eastAsia="方正仿宋简体" w:cs="Times New Roman"/>
          <w:b/>
          <w:kern w:val="0"/>
          <w:sz w:val="32"/>
          <w:szCs w:val="32"/>
          <w:lang w:eastAsia="zh-CN"/>
        </w:rPr>
        <w:t>：</w:t>
      </w:r>
    </w:p>
    <w:p>
      <w:pPr>
        <w:spacing w:line="590" w:lineRule="exact"/>
        <w:ind w:right="-105" w:rightChars="-50" w:firstLine="643" w:firstLineChars="200"/>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2022年共承办人大议案10件，政协提案4件，收到建议议案提案后，我局高度重视，及时召开会议研究部署，制定办理工作方案，明确分管领导和责任人，逐件分解到承办科室、单位，确保每一件提案办理工作得到有效落实。所有提案均与需答复代表、委员见面，答复满意率为100%。并及时在兖州区政府门户网站“建议提案办理结果”专栏公开；</w:t>
      </w:r>
    </w:p>
    <w:p>
      <w:pPr>
        <w:spacing w:line="590" w:lineRule="exact"/>
        <w:ind w:right="-105" w:rightChars="-50" w:firstLine="643" w:firstLineChars="200"/>
        <w:rPr>
          <w:rFonts w:hint="eastAsia" w:ascii="Times New Roman" w:hAnsi="Times New Roman" w:eastAsia="方正仿宋简体" w:cs="Times New Roman"/>
          <w:b/>
          <w:kern w:val="0"/>
          <w:sz w:val="32"/>
          <w:szCs w:val="32"/>
          <w:lang w:eastAsia="zh-CN"/>
        </w:rPr>
      </w:pPr>
      <w:r>
        <w:rPr>
          <w:rFonts w:hint="default" w:ascii="Times New Roman" w:hAnsi="Times New Roman" w:eastAsia="方正仿宋简体" w:cs="Times New Roman"/>
          <w:b/>
          <w:kern w:val="0"/>
          <w:sz w:val="32"/>
          <w:szCs w:val="32"/>
        </w:rPr>
        <w:t>（四）本行政机关年度政务公开工作创新情况</w:t>
      </w:r>
      <w:r>
        <w:rPr>
          <w:rFonts w:hint="eastAsia" w:ascii="Times New Roman" w:hAnsi="Times New Roman" w:eastAsia="方正仿宋简体" w:cs="Times New Roman"/>
          <w:b/>
          <w:kern w:val="0"/>
          <w:sz w:val="32"/>
          <w:szCs w:val="32"/>
          <w:lang w:eastAsia="zh-CN"/>
        </w:rPr>
        <w:t>：</w:t>
      </w:r>
    </w:p>
    <w:p>
      <w:pPr>
        <w:spacing w:line="590" w:lineRule="exact"/>
        <w:ind w:right="-105" w:rightChars="-50" w:firstLine="643" w:firstLineChars="200"/>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我局在进一步坚持和完善政府信息公开栏通用载体的基础上，认真创新政府信息公开的载体，使政府信息公开的形式呈现灵活多样，充分利用各级媒体、广播、微信公众号等的宣传作用，让不同层次的群众通过不同渠道获取信息，自觉接受群众的监督；</w:t>
      </w:r>
    </w:p>
    <w:p>
      <w:pPr>
        <w:spacing w:line="590" w:lineRule="exact"/>
        <w:ind w:right="-105" w:rightChars="-50" w:firstLine="643" w:firstLineChars="200"/>
        <w:rPr>
          <w:rFonts w:hint="eastAsia" w:ascii="Times New Roman" w:hAnsi="Times New Roman" w:eastAsia="方正仿宋简体" w:cs="Times New Roman"/>
          <w:b/>
          <w:kern w:val="0"/>
          <w:sz w:val="32"/>
          <w:szCs w:val="32"/>
          <w:lang w:eastAsia="zh-CN"/>
        </w:rPr>
      </w:pPr>
      <w:r>
        <w:rPr>
          <w:rFonts w:hint="default" w:ascii="Times New Roman" w:hAnsi="Times New Roman" w:eastAsia="方正仿宋简体" w:cs="Times New Roman"/>
          <w:b/>
          <w:kern w:val="0"/>
          <w:sz w:val="32"/>
          <w:szCs w:val="32"/>
        </w:rPr>
        <w:t>（五）本行政机关政府信息公开工作年度报告数据统计需要说明的事项</w:t>
      </w:r>
      <w:r>
        <w:rPr>
          <w:rFonts w:hint="eastAsia" w:ascii="Times New Roman" w:hAnsi="Times New Roman" w:eastAsia="方正仿宋简体" w:cs="Times New Roman"/>
          <w:b/>
          <w:kern w:val="0"/>
          <w:sz w:val="32"/>
          <w:szCs w:val="32"/>
          <w:lang w:eastAsia="zh-CN"/>
        </w:rPr>
        <w:t>：</w:t>
      </w:r>
    </w:p>
    <w:p>
      <w:pPr>
        <w:spacing w:line="590" w:lineRule="exact"/>
        <w:ind w:right="-105" w:rightChars="-50" w:firstLine="643" w:firstLineChars="200"/>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2022年我局共召开政府信息公开工作会议和专题会议6次，举办各类培训班4次，培训人数100余人次；</w:t>
      </w:r>
    </w:p>
    <w:p>
      <w:pPr>
        <w:spacing w:line="590" w:lineRule="exact"/>
        <w:ind w:right="-105" w:rightChars="-50" w:firstLine="643" w:firstLineChars="200"/>
        <w:rPr>
          <w:rFonts w:hint="eastAsia" w:ascii="Times New Roman" w:hAnsi="Times New Roman" w:eastAsia="方正仿宋简体" w:cs="Times New Roman"/>
          <w:b/>
          <w:kern w:val="0"/>
          <w:sz w:val="32"/>
          <w:szCs w:val="32"/>
          <w:lang w:eastAsia="zh-CN"/>
        </w:rPr>
      </w:pPr>
      <w:r>
        <w:rPr>
          <w:rFonts w:hint="default" w:ascii="Times New Roman" w:hAnsi="Times New Roman" w:eastAsia="方正仿宋简体" w:cs="Times New Roman"/>
          <w:b/>
          <w:kern w:val="0"/>
          <w:sz w:val="32"/>
          <w:szCs w:val="32"/>
        </w:rPr>
        <w:t>（六）本行政机关认为需要报告的其他事项</w:t>
      </w:r>
      <w:r>
        <w:rPr>
          <w:rFonts w:hint="eastAsia" w:ascii="Times New Roman" w:hAnsi="Times New Roman" w:eastAsia="方正仿宋简体" w:cs="Times New Roman"/>
          <w:b/>
          <w:kern w:val="0"/>
          <w:sz w:val="32"/>
          <w:szCs w:val="32"/>
          <w:lang w:eastAsia="zh-CN"/>
        </w:rPr>
        <w:t>：</w:t>
      </w:r>
    </w:p>
    <w:p>
      <w:pPr>
        <w:spacing w:line="590" w:lineRule="exact"/>
        <w:ind w:right="-105" w:rightChars="-50" w:firstLine="643" w:firstLineChars="200"/>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2022年我局暂无需要其他报告的事项；</w:t>
      </w:r>
    </w:p>
    <w:p>
      <w:pPr>
        <w:spacing w:line="590" w:lineRule="exact"/>
        <w:ind w:right="-105" w:rightChars="-50" w:firstLine="643" w:firstLineChars="200"/>
        <w:rPr>
          <w:rFonts w:hint="eastAsia" w:ascii="Times New Roman" w:hAnsi="Times New Roman" w:eastAsia="方正仿宋简体" w:cs="Times New Roman"/>
          <w:b/>
          <w:kern w:val="0"/>
          <w:sz w:val="32"/>
          <w:szCs w:val="32"/>
          <w:lang w:eastAsia="zh-CN"/>
        </w:rPr>
      </w:pPr>
      <w:r>
        <w:rPr>
          <w:rFonts w:hint="default" w:ascii="Times New Roman" w:hAnsi="Times New Roman" w:eastAsia="方正仿宋简体" w:cs="Times New Roman"/>
          <w:b/>
          <w:kern w:val="0"/>
          <w:sz w:val="32"/>
          <w:szCs w:val="32"/>
        </w:rPr>
        <w:t>（七）其他有关文件专门要求通过政府信息公开工作年度报告予以报告的事项</w:t>
      </w:r>
      <w:r>
        <w:rPr>
          <w:rFonts w:hint="eastAsia" w:ascii="Times New Roman" w:hAnsi="Times New Roman" w:eastAsia="方正仿宋简体" w:cs="Times New Roman"/>
          <w:b/>
          <w:kern w:val="0"/>
          <w:sz w:val="32"/>
          <w:szCs w:val="32"/>
          <w:lang w:eastAsia="zh-CN"/>
        </w:rPr>
        <w:t>：</w:t>
      </w:r>
    </w:p>
    <w:p>
      <w:pPr>
        <w:spacing w:line="590" w:lineRule="exact"/>
        <w:ind w:right="-105" w:rightChars="-50" w:firstLine="643" w:firstLineChars="200"/>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2022年我局未收到其他有关文件专门要求通过政府信息公开工作年度报告予以报告的事项。</w:t>
      </w:r>
    </w:p>
    <w:sectPr>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73235CF0-B098-4A05-A8FC-0BAE6C7A3395}"/>
  </w:font>
  <w:font w:name="方正仿宋简体">
    <w:panose1 w:val="02000000000000000000"/>
    <w:charset w:val="86"/>
    <w:family w:val="auto"/>
    <w:pitch w:val="default"/>
    <w:sig w:usb0="A00002BF" w:usb1="184F6CFA" w:usb2="00000012" w:usb3="00000000" w:csb0="00040001" w:csb1="00000000"/>
    <w:embedRegular r:id="rId2" w:fontKey="{DB44DC63-1844-46FF-9A37-4AB515D1EDDC}"/>
  </w:font>
  <w:font w:name="方正黑体简体">
    <w:panose1 w:val="02000000000000000000"/>
    <w:charset w:val="86"/>
    <w:family w:val="auto"/>
    <w:pitch w:val="default"/>
    <w:sig w:usb0="A00002BF" w:usb1="184F6CFA" w:usb2="00000012" w:usb3="00000000" w:csb0="00040001" w:csb1="00000000"/>
    <w:embedRegular r:id="rId3" w:fontKey="{0A310664-4594-4DBD-8874-88E97419D9C3}"/>
  </w:font>
  <w:font w:name="方正楷体简体">
    <w:panose1 w:val="03000509000000000000"/>
    <w:charset w:val="86"/>
    <w:family w:val="auto"/>
    <w:pitch w:val="default"/>
    <w:sig w:usb0="00000001" w:usb1="080E0000" w:usb2="00000000" w:usb3="00000000" w:csb0="00040000" w:csb1="00000000"/>
    <w:embedRegular r:id="rId4" w:fontKey="{00C53F6B-B451-48D5-9C83-1B50059FC761}"/>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3A50D"/>
    <w:multiLevelType w:val="singleLevel"/>
    <w:tmpl w:val="8AF3A50D"/>
    <w:lvl w:ilvl="0" w:tentative="0">
      <w:start w:val="5"/>
      <w:numFmt w:val="chineseCounting"/>
      <w:suff w:val="nothing"/>
      <w:lvlText w:val="（%1）"/>
      <w:lvlJc w:val="left"/>
      <w:rPr>
        <w:rFonts w:hint="eastAsia"/>
      </w:rPr>
    </w:lvl>
  </w:abstractNum>
  <w:abstractNum w:abstractNumId="1">
    <w:nsid w:val="B73B1643"/>
    <w:multiLevelType w:val="singleLevel"/>
    <w:tmpl w:val="B73B164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ZlZmRiNjMyYWYxYTgzYjI2NGU3NzIxMjgxZTM1OWUifQ=="/>
  </w:docVars>
  <w:rsids>
    <w:rsidRoot w:val="00CF751B"/>
    <w:rsid w:val="00032A27"/>
    <w:rsid w:val="00A46995"/>
    <w:rsid w:val="00CF751B"/>
    <w:rsid w:val="00DB3747"/>
    <w:rsid w:val="00EC1136"/>
    <w:rsid w:val="06D25DA9"/>
    <w:rsid w:val="0717375D"/>
    <w:rsid w:val="094042E4"/>
    <w:rsid w:val="0A546A76"/>
    <w:rsid w:val="0E4B0190"/>
    <w:rsid w:val="0EC03EEE"/>
    <w:rsid w:val="0F0767AD"/>
    <w:rsid w:val="0F583128"/>
    <w:rsid w:val="10E05409"/>
    <w:rsid w:val="16B234A2"/>
    <w:rsid w:val="1A3A17E5"/>
    <w:rsid w:val="1B3501FE"/>
    <w:rsid w:val="1B8B6070"/>
    <w:rsid w:val="1FA140B4"/>
    <w:rsid w:val="23711FEF"/>
    <w:rsid w:val="26853756"/>
    <w:rsid w:val="2C0D645A"/>
    <w:rsid w:val="2ECC092A"/>
    <w:rsid w:val="347272FA"/>
    <w:rsid w:val="35165030"/>
    <w:rsid w:val="38235F2E"/>
    <w:rsid w:val="3AF6489F"/>
    <w:rsid w:val="3B341654"/>
    <w:rsid w:val="3C713DA2"/>
    <w:rsid w:val="41127418"/>
    <w:rsid w:val="41A35612"/>
    <w:rsid w:val="42EB7271"/>
    <w:rsid w:val="43B41D58"/>
    <w:rsid w:val="455D148C"/>
    <w:rsid w:val="48207BF2"/>
    <w:rsid w:val="4DD51249"/>
    <w:rsid w:val="4F5F526E"/>
    <w:rsid w:val="55A439DB"/>
    <w:rsid w:val="563847E8"/>
    <w:rsid w:val="59D96F58"/>
    <w:rsid w:val="5DD11AF4"/>
    <w:rsid w:val="5E783B29"/>
    <w:rsid w:val="5FB163F2"/>
    <w:rsid w:val="66206353"/>
    <w:rsid w:val="665358E1"/>
    <w:rsid w:val="6A335914"/>
    <w:rsid w:val="6BF32B6E"/>
    <w:rsid w:val="6DF67D87"/>
    <w:rsid w:val="705D253C"/>
    <w:rsid w:val="769B62DC"/>
    <w:rsid w:val="785A1B5C"/>
    <w:rsid w:val="7CEA3B1A"/>
    <w:rsid w:val="7D910439"/>
    <w:rsid w:val="7E20204D"/>
    <w:rsid w:val="7F840255"/>
    <w:rsid w:val="7FDF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eastAsia="宋体" w:cs="Calibri"/>
    </w:r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295814944055"/>
          <c:y val="0.131273446840087"/>
          <c:w val="0.717978032684853"/>
          <c:h val="0.779735746382488"/>
        </c:manualLayout>
      </c:layout>
      <c:barChart>
        <c:barDir val="col"/>
        <c:grouping val="clustered"/>
        <c:varyColors val="0"/>
        <c:ser>
          <c:idx val="0"/>
          <c:order val="0"/>
          <c:tx>
            <c:strRef>
              <c:f>Sheet1!$B$1</c:f>
              <c:strCache>
                <c:ptCount val="1"/>
                <c:pt idx="0">
                  <c:v>2020</c:v>
                </c:pt>
              </c:strCache>
            </c:strRef>
          </c:tx>
          <c:invertIfNegative val="0"/>
          <c:dLbls>
            <c:delete val="1"/>
          </c:dLbls>
          <c:cat>
            <c:strRef>
              <c:f>Sheet1!$A$2</c:f>
              <c:strCache>
                <c:ptCount val="1"/>
                <c:pt idx="0">
                  <c:v>类别 1</c:v>
                </c:pt>
              </c:strCache>
            </c:strRef>
          </c:cat>
          <c:val>
            <c:numRef>
              <c:f>Sheet1!$B$2</c:f>
              <c:numCache>
                <c:formatCode>General</c:formatCode>
                <c:ptCount val="1"/>
                <c:pt idx="0">
                  <c:v>275</c:v>
                </c:pt>
              </c:numCache>
            </c:numRef>
          </c:val>
        </c:ser>
        <c:ser>
          <c:idx val="1"/>
          <c:order val="1"/>
          <c:tx>
            <c:strRef>
              <c:f>Sheet1!$C$1</c:f>
              <c:strCache>
                <c:ptCount val="1"/>
                <c:pt idx="0">
                  <c:v>2021</c:v>
                </c:pt>
              </c:strCache>
            </c:strRef>
          </c:tx>
          <c:invertIfNegative val="0"/>
          <c:dLbls>
            <c:delete val="1"/>
          </c:dLbls>
          <c:cat>
            <c:strRef>
              <c:f>Sheet1!$A$2</c:f>
              <c:strCache>
                <c:ptCount val="1"/>
                <c:pt idx="0">
                  <c:v>类别 1</c:v>
                </c:pt>
              </c:strCache>
            </c:strRef>
          </c:cat>
          <c:val>
            <c:numRef>
              <c:f>Sheet1!$C$2</c:f>
              <c:numCache>
                <c:formatCode>General</c:formatCode>
                <c:ptCount val="1"/>
                <c:pt idx="0">
                  <c:v>295</c:v>
                </c:pt>
              </c:numCache>
            </c:numRef>
          </c:val>
        </c:ser>
        <c:ser>
          <c:idx val="2"/>
          <c:order val="2"/>
          <c:tx>
            <c:strRef>
              <c:f>Sheet1!$D$1</c:f>
              <c:strCache>
                <c:ptCount val="1"/>
                <c:pt idx="0">
                  <c:v>2022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Sheet1!$D$2</c:f>
              <c:numCache>
                <c:formatCode>General</c:formatCode>
                <c:ptCount val="1"/>
                <c:pt idx="0">
                  <c:v>363</c:v>
                </c:pt>
              </c:numCache>
            </c:numRef>
          </c:val>
        </c:ser>
        <c:dLbls>
          <c:showLegendKey val="0"/>
          <c:showVal val="0"/>
          <c:showCatName val="0"/>
          <c:showSerName val="0"/>
          <c:showPercent val="0"/>
          <c:showBubbleSize val="0"/>
        </c:dLbls>
        <c:gapWidth val="150"/>
        <c:axId val="36533760"/>
        <c:axId val="36535296"/>
      </c:barChart>
      <c:catAx>
        <c:axId val="365337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535296"/>
        <c:crosses val="autoZero"/>
        <c:auto val="1"/>
        <c:lblAlgn val="ctr"/>
        <c:lblOffset val="100"/>
        <c:noMultiLvlLbl val="0"/>
      </c:catAx>
      <c:valAx>
        <c:axId val="365352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533760"/>
        <c:crosses val="autoZero"/>
        <c:crossBetween val="between"/>
      </c:valAx>
    </c:plotArea>
    <c:legend>
      <c:legendPos val="r"/>
      <c:layout>
        <c:manualLayout>
          <c:xMode val="edge"/>
          <c:yMode val="edge"/>
          <c:x val="0.881494348688558"/>
          <c:y val="0.364915871118204"/>
          <c:w val="0.104076228503672"/>
          <c:h val="0.23653231173328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3415</Words>
  <Characters>3534</Characters>
  <Lines>4</Lines>
  <Paragraphs>7</Paragraphs>
  <TotalTime>4</TotalTime>
  <ScaleCrop>false</ScaleCrop>
  <LinksUpToDate>false</LinksUpToDate>
  <CharactersWithSpaces>3535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2023-01-04T06:46:00Z</dcterms:created>
  <dc:creator>Administrator</dc:creator>
  <cp:lastModifiedBy>一战成公</cp:lastModifiedBy>
  <cp:lastPrinted>2023-01-18T08:50:00Z</cp:lastPrinted>
  <dcterms:modified xsi:type="dcterms:W3CDTF">2023-02-08T01:00:09Z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C669A81B9D9E4707998DFECA3E8EA9C8</vt:lpwstr>
  </property>
</Properties>
</file>