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920" w:lineRule="exact"/>
        <w:jc w:val="center"/>
        <w:rPr>
          <w:rFonts w:eastAsia="方正小标宋简体"/>
          <w:bCs/>
          <w:color w:val="1A1A1A" w:themeColor="background1" w:themeShade="1A"/>
          <w:sz w:val="48"/>
          <w:szCs w:val="48"/>
        </w:rPr>
      </w:pPr>
      <w:bookmarkStart w:id="0" w:name="_Hlk65155387"/>
      <w:r>
        <w:rPr>
          <w:rFonts w:eastAsia="方正小标宋简体"/>
          <w:bCs/>
          <w:color w:val="1A1A1A" w:themeColor="background1" w:themeShade="1A"/>
          <w:sz w:val="48"/>
          <w:szCs w:val="48"/>
        </w:rPr>
        <w:t>济宁市兖州区“十四五”生态环境保护规划</w:t>
      </w:r>
      <w:bookmarkEnd w:id="0"/>
    </w:p>
    <w:p>
      <w:pPr>
        <w:spacing w:line="920" w:lineRule="exact"/>
        <w:jc w:val="center"/>
        <w:rPr>
          <w:rFonts w:eastAsia="方正小标宋简体"/>
          <w:bCs/>
          <w:color w:val="0D1E0F"/>
          <w:kern w:val="0"/>
          <w:sz w:val="52"/>
          <w:szCs w:val="44"/>
        </w:rPr>
      </w:pPr>
      <w:r>
        <w:rPr>
          <w:rFonts w:eastAsia="方正小标宋简体"/>
          <w:bCs/>
          <w:color w:val="0D1E0F"/>
          <w:kern w:val="0"/>
          <w:sz w:val="52"/>
          <w:szCs w:val="44"/>
        </w:rPr>
        <w:t>（2021～2025年）</w:t>
      </w:r>
    </w:p>
    <w:p>
      <w:pPr>
        <w:autoSpaceDE w:val="0"/>
        <w:autoSpaceDN w:val="0"/>
        <w:adjustRightInd w:val="0"/>
        <w:spacing w:line="620" w:lineRule="exact"/>
        <w:jc w:val="center"/>
        <w:rPr>
          <w:rFonts w:hint="eastAsia"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32"/>
          <w:szCs w:val="44"/>
        </w:rPr>
      </w:pPr>
      <w:r>
        <w:rPr>
          <w:rFonts w:hint="eastAsia" w:eastAsia="方正小标宋简体"/>
          <w:bCs/>
          <w:color w:val="1A1A1A" w:themeColor="background1" w:themeShade="1A"/>
          <w:sz w:val="32"/>
          <w:szCs w:val="44"/>
        </w:rPr>
        <w:t>（草  案）</w:t>
      </w: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color w:val="1A1A1A" w:themeColor="background1" w:themeShade="1A"/>
          <w:sz w:val="44"/>
          <w:szCs w:val="44"/>
        </w:rPr>
      </w:pPr>
    </w:p>
    <w:p>
      <w:pPr>
        <w:autoSpaceDE w:val="0"/>
        <w:autoSpaceDN w:val="0"/>
        <w:adjustRightInd w:val="0"/>
        <w:spacing w:line="620" w:lineRule="exact"/>
        <w:jc w:val="center"/>
        <w:rPr>
          <w:rFonts w:eastAsia="方正小标宋简体"/>
          <w:bCs/>
          <w:strike/>
          <w:color w:val="1A1A1A" w:themeColor="background1" w:themeShade="1A"/>
          <w:sz w:val="44"/>
          <w:szCs w:val="44"/>
        </w:rPr>
      </w:pPr>
    </w:p>
    <w:p>
      <w:pPr>
        <w:autoSpaceDE w:val="0"/>
        <w:autoSpaceDN w:val="0"/>
        <w:adjustRightInd w:val="0"/>
        <w:spacing w:line="620" w:lineRule="exact"/>
        <w:jc w:val="center"/>
        <w:rPr>
          <w:rFonts w:eastAsia="方正小标宋简体"/>
          <w:bCs/>
          <w:strike/>
          <w:color w:val="1A1A1A" w:themeColor="background1" w:themeShade="1A"/>
          <w:sz w:val="44"/>
          <w:szCs w:val="44"/>
        </w:rPr>
        <w:sectPr>
          <w:footerReference r:id="rId3" w:type="default"/>
          <w:type w:val="continuous"/>
          <w:pgSz w:w="11906" w:h="16838"/>
          <w:pgMar w:top="1588" w:right="1474" w:bottom="1474" w:left="1588" w:header="851" w:footer="1134" w:gutter="0"/>
          <w:pgNumType w:fmt="upperRoman" w:start="1"/>
          <w:cols w:space="720" w:num="1"/>
          <w:titlePg/>
          <w:docGrid w:type="lines" w:linePitch="312" w:charSpace="0"/>
        </w:sectPr>
      </w:pPr>
    </w:p>
    <w:p>
      <w:pPr>
        <w:autoSpaceDE w:val="0"/>
        <w:autoSpaceDN w:val="0"/>
        <w:adjustRightInd w:val="0"/>
        <w:spacing w:line="620" w:lineRule="exact"/>
        <w:jc w:val="center"/>
        <w:rPr>
          <w:rFonts w:eastAsia="方正小标宋简体"/>
          <w:bCs/>
          <w:strike/>
          <w:color w:val="1A1A1A" w:themeColor="background1" w:themeShade="1A"/>
          <w:sz w:val="44"/>
          <w:szCs w:val="44"/>
        </w:rPr>
      </w:pPr>
    </w:p>
    <w:sdt>
      <w:sdtPr>
        <w:rPr>
          <w:rFonts w:ascii="Times New Roman" w:hAnsi="Times New Roman" w:eastAsia="宋体" w:cs="Times New Roman"/>
          <w:color w:val="1A1A1A" w:themeColor="background1" w:themeShade="1A"/>
          <w:kern w:val="2"/>
          <w:sz w:val="21"/>
          <w:szCs w:val="22"/>
          <w:lang w:val="zh-CN"/>
        </w:rPr>
        <w:id w:val="-1964872758"/>
        <w:docPartObj>
          <w:docPartGallery w:val="Table of Contents"/>
          <w:docPartUnique/>
        </w:docPartObj>
      </w:sdtPr>
      <w:sdtEndPr>
        <w:rPr>
          <w:rFonts w:ascii="Times New Roman" w:hAnsi="Times New Roman" w:eastAsia="宋体" w:cs="Times New Roman"/>
          <w:b/>
          <w:bCs/>
          <w:color w:val="1A1A1A" w:themeColor="background1" w:themeShade="1A"/>
          <w:kern w:val="2"/>
          <w:sz w:val="28"/>
          <w:szCs w:val="28"/>
          <w:lang w:val="zh-CN"/>
        </w:rPr>
      </w:sdtEndPr>
      <w:sdtContent>
        <w:p>
          <w:pPr>
            <w:pStyle w:val="53"/>
            <w:jc w:val="center"/>
            <w:rPr>
              <w:rFonts w:ascii="Times New Roman" w:hAnsi="Times New Roman" w:eastAsia="黑体" w:cs="Times New Roman"/>
              <w:b/>
              <w:color w:val="1A1A1A" w:themeColor="background1" w:themeShade="1A"/>
              <w:kern w:val="2"/>
            </w:rPr>
          </w:pPr>
          <w:r>
            <w:rPr>
              <w:rFonts w:ascii="Times New Roman" w:hAnsi="Times New Roman" w:eastAsia="黑体" w:cs="Times New Roman"/>
              <w:b/>
              <w:color w:val="1A1A1A" w:themeColor="background1" w:themeShade="1A"/>
              <w:kern w:val="2"/>
            </w:rPr>
            <w:t>目</w:t>
          </w:r>
          <w:r>
            <w:rPr>
              <w:rFonts w:hint="eastAsia" w:ascii="Times New Roman" w:hAnsi="Times New Roman" w:eastAsia="黑体" w:cs="Times New Roman"/>
              <w:b/>
              <w:color w:val="1A1A1A" w:themeColor="background1" w:themeShade="1A"/>
              <w:kern w:val="2"/>
            </w:rPr>
            <w:t xml:space="preserve"> </w:t>
          </w:r>
          <w:r>
            <w:rPr>
              <w:rFonts w:ascii="Times New Roman" w:hAnsi="Times New Roman" w:eastAsia="黑体" w:cs="Times New Roman"/>
              <w:b/>
              <w:color w:val="1A1A1A" w:themeColor="background1" w:themeShade="1A"/>
              <w:kern w:val="2"/>
            </w:rPr>
            <w:t xml:space="preserve"> 录</w:t>
          </w:r>
        </w:p>
        <w:p>
          <w:pPr>
            <w:pStyle w:val="15"/>
            <w:snapToGrid w:val="0"/>
            <w:spacing w:line="480" w:lineRule="exact"/>
            <w:rPr>
              <w:rFonts w:eastAsia="仿宋_GB2312"/>
              <w:b/>
              <w:bCs/>
              <w:color w:val="1A1A1A" w:themeColor="background1" w:themeShade="1A"/>
              <w:sz w:val="28"/>
              <w:szCs w:val="28"/>
            </w:rPr>
          </w:pPr>
          <w:r>
            <w:rPr>
              <w:color w:val="1A1A1A" w:themeColor="background1" w:themeShade="1A"/>
              <w:sz w:val="28"/>
              <w:szCs w:val="28"/>
            </w:rPr>
            <w:fldChar w:fldCharType="begin"/>
          </w:r>
          <w:r>
            <w:rPr>
              <w:color w:val="1A1A1A" w:themeColor="background1" w:themeShade="1A"/>
              <w:sz w:val="28"/>
              <w:szCs w:val="28"/>
            </w:rPr>
            <w:instrText xml:space="preserve"> TOC \o "1-3" \h \z \u </w:instrText>
          </w:r>
          <w:r>
            <w:rPr>
              <w:color w:val="1A1A1A" w:themeColor="background1" w:themeShade="1A"/>
              <w:sz w:val="28"/>
              <w:szCs w:val="28"/>
            </w:rPr>
            <w:fldChar w:fldCharType="separate"/>
          </w:r>
          <w:r>
            <w:fldChar w:fldCharType="begin"/>
          </w:r>
          <w:r>
            <w:instrText xml:space="preserve"> HYPERLINK \l "_Toc116030697" </w:instrText>
          </w:r>
          <w:r>
            <w:fldChar w:fldCharType="separate"/>
          </w:r>
          <w:r>
            <w:rPr>
              <w:rStyle w:val="26"/>
              <w:rFonts w:eastAsia="仿宋_GB2312"/>
              <w:b/>
              <w:bCs/>
              <w:color w:val="1A1A1A" w:themeColor="background1" w:themeShade="1A"/>
              <w:sz w:val="28"/>
              <w:szCs w:val="28"/>
            </w:rPr>
            <w:t>第一章  聚力突破生态强区，建设更高品质美丽兖州</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_Toc116030697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- 1 -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"_Toc116030698" </w:instrText>
          </w:r>
          <w:r>
            <w:fldChar w:fldCharType="separate"/>
          </w:r>
          <w:r>
            <w:rPr>
              <w:rStyle w:val="26"/>
              <w:rFonts w:ascii="Times New Roman" w:hAnsi="Times New Roman" w:eastAsia="仿宋_GB2312"/>
              <w:color w:val="1A1A1A" w:themeColor="background1" w:themeShade="1A"/>
              <w:sz w:val="28"/>
              <w:szCs w:val="28"/>
            </w:rPr>
            <w:t>第一节  “十三五”生态环境保护成果丰硕</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_Toc116030698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- 1 -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"_Toc116030699" </w:instrText>
          </w:r>
          <w:r>
            <w:fldChar w:fldCharType="separate"/>
          </w:r>
          <w:r>
            <w:rPr>
              <w:rStyle w:val="26"/>
              <w:rFonts w:ascii="Times New Roman" w:hAnsi="Times New Roman" w:eastAsia="仿宋_GB2312"/>
              <w:color w:val="1A1A1A" w:themeColor="background1" w:themeShade="1A"/>
              <w:sz w:val="28"/>
              <w:szCs w:val="28"/>
            </w:rPr>
            <w:t>第二节  “十四五”生态环境保护仍面临压力与挑战</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_Toc116030699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- 4 -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"_Toc116030700" </w:instrText>
          </w:r>
          <w:r>
            <w:fldChar w:fldCharType="separate"/>
          </w:r>
          <w:r>
            <w:rPr>
              <w:rStyle w:val="26"/>
              <w:rFonts w:ascii="Times New Roman" w:hAnsi="Times New Roman" w:eastAsia="仿宋_GB2312"/>
              <w:color w:val="1A1A1A" w:themeColor="background1" w:themeShade="1A"/>
              <w:sz w:val="28"/>
              <w:szCs w:val="28"/>
            </w:rPr>
            <w:t>第三节  开创生态强区建设新局面</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_Toc116030700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- 6 -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5"/>
            <w:snapToGrid w:val="0"/>
            <w:spacing w:line="480" w:lineRule="exact"/>
            <w:rPr>
              <w:rFonts w:eastAsia="仿宋_GB2312"/>
              <w:b/>
              <w:bCs/>
              <w:color w:val="1A1A1A" w:themeColor="background1" w:themeShade="1A"/>
              <w:sz w:val="28"/>
              <w:szCs w:val="28"/>
            </w:rPr>
          </w:pPr>
          <w:r>
            <w:fldChar w:fldCharType="begin"/>
          </w:r>
          <w:r>
            <w:instrText xml:space="preserve"> HYPERLINK \l "_Toc116030701" </w:instrText>
          </w:r>
          <w:r>
            <w:fldChar w:fldCharType="separate"/>
          </w:r>
          <w:r>
            <w:rPr>
              <w:rStyle w:val="26"/>
              <w:rFonts w:eastAsia="仿宋_GB2312"/>
              <w:b/>
              <w:bCs/>
              <w:color w:val="1A1A1A" w:themeColor="background1" w:themeShade="1A"/>
              <w:sz w:val="28"/>
              <w:szCs w:val="28"/>
            </w:rPr>
            <w:t>第二章  “十四五”时期总体要求和主要目标</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_Toc116030701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- 7 -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"_Toc116030702" </w:instrText>
          </w:r>
          <w:r>
            <w:fldChar w:fldCharType="separate"/>
          </w:r>
          <w:r>
            <w:rPr>
              <w:rStyle w:val="26"/>
              <w:rFonts w:ascii="Times New Roman" w:hAnsi="Times New Roman" w:eastAsia="仿宋_GB2312"/>
              <w:color w:val="1A1A1A" w:themeColor="background1" w:themeShade="1A"/>
              <w:sz w:val="28"/>
              <w:szCs w:val="28"/>
            </w:rPr>
            <w:t>第一节  指导思想</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_Toc116030702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- 7 -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"_Toc116030703" </w:instrText>
          </w:r>
          <w:r>
            <w:fldChar w:fldCharType="separate"/>
          </w:r>
          <w:r>
            <w:rPr>
              <w:rStyle w:val="26"/>
              <w:rFonts w:ascii="Times New Roman" w:hAnsi="Times New Roman" w:eastAsia="仿宋_GB2312"/>
              <w:color w:val="1A1A1A" w:themeColor="background1" w:themeShade="1A"/>
              <w:sz w:val="28"/>
              <w:szCs w:val="28"/>
            </w:rPr>
            <w:t>第二节  基本原则</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_Toc116030703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- 8 -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"_Toc116030704" </w:instrText>
          </w:r>
          <w:r>
            <w:fldChar w:fldCharType="separate"/>
          </w:r>
          <w:r>
            <w:rPr>
              <w:rStyle w:val="26"/>
              <w:rFonts w:ascii="Times New Roman" w:hAnsi="Times New Roman" w:eastAsia="仿宋_GB2312"/>
              <w:color w:val="1A1A1A" w:themeColor="background1" w:themeShade="1A"/>
              <w:sz w:val="28"/>
              <w:szCs w:val="28"/>
            </w:rPr>
            <w:t>第三节  主要目标</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_Toc116030704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- 8 -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5"/>
            <w:snapToGrid w:val="0"/>
            <w:spacing w:line="480" w:lineRule="exact"/>
            <w:rPr>
              <w:rFonts w:eastAsia="仿宋_GB2312"/>
              <w:b/>
              <w:bCs/>
              <w:color w:val="1A1A1A" w:themeColor="background1" w:themeShade="1A"/>
              <w:sz w:val="28"/>
              <w:szCs w:val="28"/>
            </w:rPr>
          </w:pPr>
          <w:r>
            <w:fldChar w:fldCharType="begin"/>
          </w:r>
          <w:r>
            <w:instrText xml:space="preserve"> HYPERLINK \l "_Toc116030705" </w:instrText>
          </w:r>
          <w:r>
            <w:fldChar w:fldCharType="separate"/>
          </w:r>
          <w:r>
            <w:rPr>
              <w:rStyle w:val="26"/>
              <w:rFonts w:eastAsia="仿宋_GB2312"/>
              <w:b/>
              <w:bCs/>
              <w:color w:val="1A1A1A" w:themeColor="background1" w:themeShade="1A"/>
              <w:sz w:val="28"/>
              <w:szCs w:val="28"/>
            </w:rPr>
            <w:t>第三章  推动结构调整  加快经济发展绿色转型</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_Toc116030705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- 11 -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"_Toc116030706" </w:instrText>
          </w:r>
          <w:r>
            <w:fldChar w:fldCharType="separate"/>
          </w:r>
          <w:r>
            <w:rPr>
              <w:rStyle w:val="26"/>
              <w:rFonts w:ascii="Times New Roman" w:hAnsi="Times New Roman" w:eastAsia="仿宋_GB2312"/>
              <w:color w:val="1A1A1A" w:themeColor="background1" w:themeShade="1A"/>
              <w:sz w:val="28"/>
              <w:szCs w:val="28"/>
            </w:rPr>
            <w:t>第一节  夯实绿色发展根基</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_Toc116030706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- 11 -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"_Toc116030707" </w:instrText>
          </w:r>
          <w:r>
            <w:fldChar w:fldCharType="separate"/>
          </w:r>
          <w:r>
            <w:rPr>
              <w:rStyle w:val="26"/>
              <w:rFonts w:ascii="Times New Roman" w:hAnsi="Times New Roman" w:eastAsia="仿宋_GB2312"/>
              <w:color w:val="1A1A1A" w:themeColor="background1" w:themeShade="1A"/>
              <w:sz w:val="28"/>
              <w:szCs w:val="28"/>
            </w:rPr>
            <w:t>第二节  加快推动产业结构调整</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_Toc116030707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- 13 -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"_Toc116030708" </w:instrText>
          </w:r>
          <w:r>
            <w:fldChar w:fldCharType="separate"/>
          </w:r>
          <w:r>
            <w:rPr>
              <w:rStyle w:val="26"/>
              <w:rFonts w:ascii="Times New Roman" w:hAnsi="Times New Roman" w:eastAsia="仿宋_GB2312"/>
              <w:color w:val="1A1A1A" w:themeColor="background1" w:themeShade="1A"/>
              <w:sz w:val="28"/>
              <w:szCs w:val="28"/>
            </w:rPr>
            <w:t>第三节  深入实施能源结构调整</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_Toc116030708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- 16 -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"_Toc116030709" </w:instrText>
          </w:r>
          <w:r>
            <w:fldChar w:fldCharType="separate"/>
          </w:r>
          <w:r>
            <w:rPr>
              <w:rStyle w:val="26"/>
              <w:rFonts w:ascii="Times New Roman" w:hAnsi="Times New Roman" w:eastAsia="仿宋_GB2312"/>
              <w:color w:val="1A1A1A" w:themeColor="background1" w:themeShade="1A"/>
              <w:sz w:val="28"/>
              <w:szCs w:val="28"/>
            </w:rPr>
            <w:t>第四节  持续推进交通运输结构调整</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_Toc116030709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- 19 -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"_Toc116030710" </w:instrText>
          </w:r>
          <w:r>
            <w:fldChar w:fldCharType="separate"/>
          </w:r>
          <w:r>
            <w:rPr>
              <w:rStyle w:val="26"/>
              <w:rFonts w:ascii="Times New Roman" w:hAnsi="Times New Roman" w:eastAsia="仿宋_GB2312"/>
              <w:color w:val="1A1A1A" w:themeColor="background1" w:themeShade="1A"/>
              <w:sz w:val="28"/>
              <w:szCs w:val="28"/>
            </w:rPr>
            <w:t>第五节  积极开展农业投入与用地结构调整</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_Toc116030710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- 21 -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5"/>
            <w:snapToGrid w:val="0"/>
            <w:spacing w:line="480" w:lineRule="exact"/>
            <w:rPr>
              <w:rFonts w:eastAsia="仿宋_GB2312"/>
              <w:b/>
              <w:bCs/>
              <w:color w:val="1A1A1A" w:themeColor="background1" w:themeShade="1A"/>
              <w:sz w:val="28"/>
              <w:szCs w:val="28"/>
            </w:rPr>
          </w:pPr>
          <w:r>
            <w:fldChar w:fldCharType="begin"/>
          </w:r>
          <w:r>
            <w:instrText xml:space="preserve"> HYPERLINK \l "_Toc116030711" </w:instrText>
          </w:r>
          <w:r>
            <w:fldChar w:fldCharType="separate"/>
          </w:r>
          <w:r>
            <w:rPr>
              <w:rStyle w:val="26"/>
              <w:rFonts w:eastAsia="仿宋_GB2312"/>
              <w:b/>
              <w:bCs/>
              <w:color w:val="1A1A1A" w:themeColor="background1" w:themeShade="1A"/>
              <w:sz w:val="28"/>
              <w:szCs w:val="28"/>
            </w:rPr>
            <w:t>第四章  控制温室气体  积极应对气候变化</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_Toc116030711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- 23 -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"_Toc116030712" </w:instrText>
          </w:r>
          <w:r>
            <w:fldChar w:fldCharType="separate"/>
          </w:r>
          <w:r>
            <w:rPr>
              <w:rStyle w:val="26"/>
              <w:rFonts w:ascii="Times New Roman" w:hAnsi="Times New Roman" w:eastAsia="仿宋_GB2312"/>
              <w:color w:val="1A1A1A" w:themeColor="background1" w:themeShade="1A"/>
              <w:sz w:val="28"/>
              <w:szCs w:val="28"/>
            </w:rPr>
            <w:t>第一节  开展二氧化碳排放达峰行动</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_Toc116030712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- 23 -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"_Toc116030713" </w:instrText>
          </w:r>
          <w:r>
            <w:fldChar w:fldCharType="separate"/>
          </w:r>
          <w:r>
            <w:rPr>
              <w:rStyle w:val="26"/>
              <w:rFonts w:ascii="Times New Roman" w:hAnsi="Times New Roman" w:eastAsia="仿宋_GB2312"/>
              <w:color w:val="1A1A1A" w:themeColor="background1" w:themeShade="1A"/>
              <w:sz w:val="28"/>
              <w:szCs w:val="28"/>
            </w:rPr>
            <w:t>第二节  加强温室气体排放控制</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_Toc116030713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- 24 -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"_Toc116030714" </w:instrText>
          </w:r>
          <w:r>
            <w:fldChar w:fldCharType="separate"/>
          </w:r>
          <w:r>
            <w:rPr>
              <w:rStyle w:val="26"/>
              <w:rFonts w:ascii="Times New Roman" w:hAnsi="Times New Roman" w:eastAsia="仿宋_GB2312"/>
              <w:color w:val="1A1A1A" w:themeColor="background1" w:themeShade="1A"/>
              <w:sz w:val="28"/>
              <w:szCs w:val="28"/>
            </w:rPr>
            <w:t>第三节  积极落实应对气候变化工作</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_Toc116030714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- 25 -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5"/>
            <w:snapToGrid w:val="0"/>
            <w:spacing w:line="480" w:lineRule="exact"/>
            <w:rPr>
              <w:rFonts w:eastAsia="仿宋_GB2312"/>
              <w:b/>
              <w:bCs/>
              <w:color w:val="1A1A1A" w:themeColor="background1" w:themeShade="1A"/>
              <w:sz w:val="28"/>
              <w:szCs w:val="28"/>
            </w:rPr>
          </w:pPr>
          <w:r>
            <w:fldChar w:fldCharType="begin"/>
          </w:r>
          <w:r>
            <w:instrText xml:space="preserve"> HYPERLINK \l "_Toc116030715" </w:instrText>
          </w:r>
          <w:r>
            <w:fldChar w:fldCharType="separate"/>
          </w:r>
          <w:r>
            <w:rPr>
              <w:rStyle w:val="26"/>
              <w:rFonts w:eastAsia="仿宋_GB2312"/>
              <w:b/>
              <w:bCs/>
              <w:color w:val="1A1A1A" w:themeColor="background1" w:themeShade="1A"/>
              <w:sz w:val="28"/>
              <w:szCs w:val="28"/>
            </w:rPr>
            <w:t>第五章  强化协同控制  促进空气质量持续改善</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_Toc116030715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- 27 -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"_Toc116030716" </w:instrText>
          </w:r>
          <w:r>
            <w:fldChar w:fldCharType="separate"/>
          </w:r>
          <w:r>
            <w:rPr>
              <w:rStyle w:val="26"/>
              <w:rFonts w:ascii="Times New Roman" w:hAnsi="Times New Roman" w:eastAsia="仿宋_GB2312"/>
              <w:color w:val="1A1A1A" w:themeColor="background1" w:themeShade="1A"/>
              <w:sz w:val="28"/>
              <w:szCs w:val="28"/>
            </w:rPr>
            <w:t>第一节  加强细颗粒物和臭氧协同控制</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_Toc116030716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- 27 -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"_Toc116030717" </w:instrText>
          </w:r>
          <w:r>
            <w:fldChar w:fldCharType="separate"/>
          </w:r>
          <w:r>
            <w:rPr>
              <w:rStyle w:val="26"/>
              <w:rFonts w:ascii="Times New Roman" w:hAnsi="Times New Roman" w:eastAsia="仿宋_GB2312"/>
              <w:color w:val="1A1A1A" w:themeColor="background1" w:themeShade="1A"/>
              <w:sz w:val="28"/>
              <w:szCs w:val="28"/>
            </w:rPr>
            <w:t>第二节  深化工业污染源治理</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_Toc116030717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- 28 -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"_Toc116030718" </w:instrText>
          </w:r>
          <w:r>
            <w:fldChar w:fldCharType="separate"/>
          </w:r>
          <w:r>
            <w:rPr>
              <w:rStyle w:val="26"/>
              <w:rFonts w:ascii="Times New Roman" w:hAnsi="Times New Roman" w:eastAsia="仿宋_GB2312"/>
              <w:color w:val="1A1A1A" w:themeColor="background1" w:themeShade="1A"/>
              <w:sz w:val="28"/>
              <w:szCs w:val="28"/>
            </w:rPr>
            <w:t>第三节  强化车油路联合防控</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_Toc116030718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- 31 -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"_Toc116030719" </w:instrText>
          </w:r>
          <w:r>
            <w:fldChar w:fldCharType="separate"/>
          </w:r>
          <w:r>
            <w:rPr>
              <w:rStyle w:val="26"/>
              <w:rFonts w:ascii="Times New Roman" w:hAnsi="Times New Roman" w:eastAsia="仿宋_GB2312"/>
              <w:color w:val="1A1A1A" w:themeColor="background1" w:themeShade="1A"/>
              <w:sz w:val="28"/>
              <w:szCs w:val="28"/>
            </w:rPr>
            <w:t>第四节  严格扬尘源污染治理</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_Toc116030719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- 34 -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"_Toc116030720" </w:instrText>
          </w:r>
          <w:r>
            <w:fldChar w:fldCharType="separate"/>
          </w:r>
          <w:r>
            <w:rPr>
              <w:rStyle w:val="26"/>
              <w:rFonts w:ascii="Times New Roman" w:hAnsi="Times New Roman" w:eastAsia="仿宋_GB2312"/>
              <w:color w:val="1A1A1A" w:themeColor="background1" w:themeShade="1A"/>
              <w:sz w:val="28"/>
              <w:szCs w:val="28"/>
            </w:rPr>
            <w:t>第五节  推进其他涉气污染源治理</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_Toc116030720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- 37 -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"_Toc116030721" </w:instrText>
          </w:r>
          <w:r>
            <w:fldChar w:fldCharType="separate"/>
          </w:r>
          <w:r>
            <w:rPr>
              <w:rStyle w:val="26"/>
              <w:rFonts w:ascii="Times New Roman" w:hAnsi="Times New Roman" w:eastAsia="仿宋_GB2312"/>
              <w:color w:val="1A1A1A" w:themeColor="background1" w:themeShade="1A"/>
              <w:sz w:val="28"/>
              <w:szCs w:val="28"/>
            </w:rPr>
            <w:t>第六节  加强环境空气污染高值区治理</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_Toc116030721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- 39 -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5"/>
            <w:snapToGrid w:val="0"/>
            <w:spacing w:line="480" w:lineRule="exact"/>
            <w:rPr>
              <w:rFonts w:eastAsia="仿宋_GB2312"/>
              <w:b/>
              <w:bCs/>
              <w:color w:val="1A1A1A" w:themeColor="background1" w:themeShade="1A"/>
              <w:sz w:val="28"/>
              <w:szCs w:val="28"/>
            </w:rPr>
          </w:pPr>
          <w:r>
            <w:fldChar w:fldCharType="begin"/>
          </w:r>
          <w:r>
            <w:instrText xml:space="preserve"> HYPERLINK \l "_Toc116030722" </w:instrText>
          </w:r>
          <w:r>
            <w:fldChar w:fldCharType="separate"/>
          </w:r>
          <w:r>
            <w:rPr>
              <w:rStyle w:val="26"/>
              <w:rFonts w:eastAsia="仿宋_GB2312"/>
              <w:b/>
              <w:bCs/>
              <w:color w:val="1A1A1A" w:themeColor="background1" w:themeShade="1A"/>
              <w:sz w:val="28"/>
              <w:szCs w:val="28"/>
            </w:rPr>
            <w:t>第六章  深化三水统筹  持续改善水生态环境质量</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_Toc116030722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- 41 -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"_Toc116030723" </w:instrText>
          </w:r>
          <w:r>
            <w:fldChar w:fldCharType="separate"/>
          </w:r>
          <w:r>
            <w:rPr>
              <w:rStyle w:val="26"/>
              <w:rFonts w:ascii="Times New Roman" w:hAnsi="Times New Roman" w:eastAsia="仿宋_GB2312"/>
              <w:color w:val="1A1A1A" w:themeColor="background1" w:themeShade="1A"/>
              <w:sz w:val="28"/>
              <w:szCs w:val="28"/>
            </w:rPr>
            <w:t>第一节  加强水生态环境系统治理</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_Toc116030723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- 41 -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"_Toc116030724" </w:instrText>
          </w:r>
          <w:r>
            <w:fldChar w:fldCharType="separate"/>
          </w:r>
          <w:r>
            <w:rPr>
              <w:rStyle w:val="26"/>
              <w:rFonts w:ascii="Times New Roman" w:hAnsi="Times New Roman" w:eastAsia="仿宋_GB2312"/>
              <w:color w:val="1A1A1A" w:themeColor="background1" w:themeShade="1A"/>
              <w:sz w:val="28"/>
              <w:szCs w:val="28"/>
            </w:rPr>
            <w:t>第二节  深化水污染防治</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_Toc116030724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- 44 -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"_Toc116030725" </w:instrText>
          </w:r>
          <w:r>
            <w:fldChar w:fldCharType="separate"/>
          </w:r>
          <w:r>
            <w:rPr>
              <w:rStyle w:val="26"/>
              <w:rFonts w:ascii="Times New Roman" w:hAnsi="Times New Roman" w:eastAsia="仿宋_GB2312"/>
              <w:color w:val="1A1A1A" w:themeColor="background1" w:themeShade="1A"/>
              <w:sz w:val="28"/>
              <w:szCs w:val="28"/>
            </w:rPr>
            <w:t>第三节  强化生态需水保障</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_Toc116030725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- 46 -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5"/>
            <w:snapToGrid w:val="0"/>
            <w:spacing w:line="480" w:lineRule="exact"/>
            <w:rPr>
              <w:rFonts w:eastAsia="仿宋_GB2312"/>
              <w:b/>
              <w:bCs/>
              <w:color w:val="1A1A1A" w:themeColor="background1" w:themeShade="1A"/>
              <w:sz w:val="28"/>
              <w:szCs w:val="28"/>
            </w:rPr>
          </w:pPr>
          <w:r>
            <w:fldChar w:fldCharType="begin"/>
          </w:r>
          <w:r>
            <w:instrText xml:space="preserve"> HYPERLINK \l "_Toc116030726" </w:instrText>
          </w:r>
          <w:r>
            <w:fldChar w:fldCharType="separate"/>
          </w:r>
          <w:r>
            <w:rPr>
              <w:rStyle w:val="26"/>
              <w:rFonts w:eastAsia="仿宋_GB2312"/>
              <w:b/>
              <w:bCs/>
              <w:color w:val="1A1A1A" w:themeColor="background1" w:themeShade="1A"/>
              <w:sz w:val="28"/>
              <w:szCs w:val="28"/>
            </w:rPr>
            <w:t>第七章  实施系统防治  推进土壤、地下水和农村环境保护</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_Toc116030726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- 48 -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"_Toc116030727" </w:instrText>
          </w:r>
          <w:r>
            <w:fldChar w:fldCharType="separate"/>
          </w:r>
          <w:r>
            <w:rPr>
              <w:rStyle w:val="26"/>
              <w:rFonts w:ascii="Times New Roman" w:hAnsi="Times New Roman" w:eastAsia="仿宋_GB2312"/>
              <w:color w:val="1A1A1A" w:themeColor="background1" w:themeShade="1A"/>
              <w:sz w:val="28"/>
              <w:szCs w:val="28"/>
            </w:rPr>
            <w:t>第一节  强化土壤和地下水污染源系统防控</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_Toc116030727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- 48 -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"_Toc116030728" </w:instrText>
          </w:r>
          <w:r>
            <w:fldChar w:fldCharType="separate"/>
          </w:r>
          <w:r>
            <w:rPr>
              <w:rStyle w:val="26"/>
              <w:rFonts w:ascii="Times New Roman" w:hAnsi="Times New Roman" w:eastAsia="仿宋_GB2312"/>
              <w:color w:val="1A1A1A" w:themeColor="background1" w:themeShade="1A"/>
              <w:sz w:val="28"/>
              <w:szCs w:val="28"/>
            </w:rPr>
            <w:t>第二节  推进土壤安全利用</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_Toc116030728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- 50 -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"_Toc116030729" </w:instrText>
          </w:r>
          <w:r>
            <w:fldChar w:fldCharType="separate"/>
          </w:r>
          <w:r>
            <w:rPr>
              <w:rStyle w:val="26"/>
              <w:rFonts w:ascii="Times New Roman" w:hAnsi="Times New Roman" w:eastAsia="仿宋_GB2312"/>
              <w:color w:val="1A1A1A" w:themeColor="background1" w:themeShade="1A"/>
              <w:sz w:val="28"/>
              <w:szCs w:val="28"/>
            </w:rPr>
            <w:t>第三节  加强地下水环境监管</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_Toc116030729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- 51 -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"_Toc116030730" </w:instrText>
          </w:r>
          <w:r>
            <w:fldChar w:fldCharType="separate"/>
          </w:r>
          <w:r>
            <w:rPr>
              <w:rStyle w:val="26"/>
              <w:rFonts w:ascii="Times New Roman" w:hAnsi="Times New Roman" w:eastAsia="仿宋_GB2312"/>
              <w:color w:val="1A1A1A" w:themeColor="background1" w:themeShade="1A"/>
              <w:sz w:val="28"/>
              <w:szCs w:val="28"/>
            </w:rPr>
            <w:t>第四节  改善农村生态环境</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_Toc116030730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- 52 -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5"/>
            <w:snapToGrid w:val="0"/>
            <w:spacing w:line="480" w:lineRule="exact"/>
            <w:rPr>
              <w:rFonts w:eastAsia="仿宋_GB2312"/>
              <w:b/>
              <w:bCs/>
              <w:color w:val="1A1A1A" w:themeColor="background1" w:themeShade="1A"/>
              <w:sz w:val="28"/>
              <w:szCs w:val="28"/>
            </w:rPr>
          </w:pPr>
          <w:r>
            <w:fldChar w:fldCharType="begin"/>
          </w:r>
          <w:r>
            <w:instrText xml:space="preserve"> HYPERLINK \l "_Toc116030731" </w:instrText>
          </w:r>
          <w:r>
            <w:fldChar w:fldCharType="separate"/>
          </w:r>
          <w:r>
            <w:rPr>
              <w:rStyle w:val="26"/>
              <w:rFonts w:eastAsia="仿宋_GB2312"/>
              <w:b/>
              <w:bCs/>
              <w:color w:val="1A1A1A" w:themeColor="background1" w:themeShade="1A"/>
              <w:sz w:val="28"/>
              <w:szCs w:val="28"/>
            </w:rPr>
            <w:t>第八章  统筹保护修复  提升生态系统质量和稳定性</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_Toc116030731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- 55 -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"_Toc116030732" </w:instrText>
          </w:r>
          <w:r>
            <w:fldChar w:fldCharType="separate"/>
          </w:r>
          <w:r>
            <w:rPr>
              <w:rStyle w:val="26"/>
              <w:rFonts w:ascii="Times New Roman" w:hAnsi="Times New Roman" w:eastAsia="仿宋_GB2312"/>
              <w:color w:val="1A1A1A" w:themeColor="background1" w:themeShade="1A"/>
              <w:sz w:val="28"/>
              <w:szCs w:val="28"/>
            </w:rPr>
            <w:t>第一节  守住自然生态安全底线</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_Toc116030732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- 55 -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"_Toc116030733" </w:instrText>
          </w:r>
          <w:r>
            <w:fldChar w:fldCharType="separate"/>
          </w:r>
          <w:r>
            <w:rPr>
              <w:rStyle w:val="26"/>
              <w:rFonts w:ascii="Times New Roman" w:hAnsi="Times New Roman" w:eastAsia="仿宋_GB2312"/>
              <w:color w:val="1A1A1A" w:themeColor="background1" w:themeShade="1A"/>
              <w:sz w:val="28"/>
              <w:szCs w:val="28"/>
            </w:rPr>
            <w:t>第二节  加强生态系统保护与修复</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_Toc116030733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- 56 -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"_Toc116030734" </w:instrText>
          </w:r>
          <w:r>
            <w:fldChar w:fldCharType="separate"/>
          </w:r>
          <w:r>
            <w:rPr>
              <w:rStyle w:val="26"/>
              <w:rFonts w:ascii="Times New Roman" w:hAnsi="Times New Roman" w:eastAsia="仿宋_GB2312"/>
              <w:color w:val="1A1A1A" w:themeColor="background1" w:themeShade="1A"/>
              <w:sz w:val="28"/>
              <w:szCs w:val="28"/>
            </w:rPr>
            <w:t>第三节  加强生物多样性保护</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_Toc116030734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- 58 -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5"/>
            <w:snapToGrid w:val="0"/>
            <w:spacing w:line="480" w:lineRule="exact"/>
            <w:rPr>
              <w:rFonts w:eastAsia="仿宋_GB2312"/>
              <w:b/>
              <w:bCs/>
              <w:color w:val="1A1A1A" w:themeColor="background1" w:themeShade="1A"/>
              <w:sz w:val="28"/>
              <w:szCs w:val="28"/>
            </w:rPr>
          </w:pPr>
          <w:r>
            <w:fldChar w:fldCharType="begin"/>
          </w:r>
          <w:r>
            <w:instrText xml:space="preserve"> HYPERLINK \l "_Toc116030735" </w:instrText>
          </w:r>
          <w:r>
            <w:fldChar w:fldCharType="separate"/>
          </w:r>
          <w:r>
            <w:rPr>
              <w:rStyle w:val="26"/>
              <w:rFonts w:eastAsia="仿宋_GB2312"/>
              <w:b/>
              <w:bCs/>
              <w:color w:val="1A1A1A" w:themeColor="background1" w:themeShade="1A"/>
              <w:sz w:val="28"/>
              <w:szCs w:val="28"/>
            </w:rPr>
            <w:t>第九章  强化风险防控  严守环境安全底线</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_Toc116030735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- 59 -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"_Toc116030736" </w:instrText>
          </w:r>
          <w:r>
            <w:fldChar w:fldCharType="separate"/>
          </w:r>
          <w:r>
            <w:rPr>
              <w:rStyle w:val="26"/>
              <w:rFonts w:ascii="Times New Roman" w:hAnsi="Times New Roman" w:eastAsia="仿宋_GB2312"/>
              <w:color w:val="1A1A1A" w:themeColor="background1" w:themeShade="1A"/>
              <w:sz w:val="28"/>
              <w:szCs w:val="28"/>
            </w:rPr>
            <w:t>第一节  完善环境风险防控机制</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_Toc116030736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- 59 -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"_Toc116030737" </w:instrText>
          </w:r>
          <w:r>
            <w:fldChar w:fldCharType="separate"/>
          </w:r>
          <w:r>
            <w:rPr>
              <w:rStyle w:val="26"/>
              <w:rFonts w:ascii="Times New Roman" w:hAnsi="Times New Roman" w:eastAsia="仿宋_GB2312"/>
              <w:color w:val="1A1A1A" w:themeColor="background1" w:themeShade="1A"/>
              <w:sz w:val="28"/>
              <w:szCs w:val="28"/>
            </w:rPr>
            <w:t>第二节  加强危险废物医疗废物环境管理</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_Toc116030737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- 61 -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"_Toc116030738" </w:instrText>
          </w:r>
          <w:r>
            <w:fldChar w:fldCharType="separate"/>
          </w:r>
          <w:r>
            <w:rPr>
              <w:rStyle w:val="26"/>
              <w:rFonts w:ascii="Times New Roman" w:hAnsi="Times New Roman" w:eastAsia="仿宋_GB2312"/>
              <w:color w:val="1A1A1A" w:themeColor="background1" w:themeShade="1A"/>
              <w:sz w:val="28"/>
              <w:szCs w:val="28"/>
            </w:rPr>
            <w:t>第三节  深化重金属污染综合整治</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_Toc116030738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- 62 -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"_Toc116030739" </w:instrText>
          </w:r>
          <w:r>
            <w:fldChar w:fldCharType="separate"/>
          </w:r>
          <w:r>
            <w:rPr>
              <w:rStyle w:val="26"/>
              <w:rFonts w:ascii="Times New Roman" w:hAnsi="Times New Roman" w:eastAsia="仿宋_GB2312"/>
              <w:color w:val="1A1A1A" w:themeColor="background1" w:themeShade="1A"/>
              <w:sz w:val="28"/>
              <w:szCs w:val="28"/>
            </w:rPr>
            <w:t>第四节  加强固体废物污染防治</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_Toc116030739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- 63 -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"_Toc116030740" </w:instrText>
          </w:r>
          <w:r>
            <w:fldChar w:fldCharType="separate"/>
          </w:r>
          <w:r>
            <w:rPr>
              <w:rStyle w:val="26"/>
              <w:rFonts w:ascii="Times New Roman" w:hAnsi="Times New Roman" w:eastAsia="仿宋_GB2312"/>
              <w:color w:val="1A1A1A" w:themeColor="background1" w:themeShade="1A"/>
              <w:sz w:val="28"/>
              <w:szCs w:val="28"/>
            </w:rPr>
            <w:t>第五节  加强核与辐射安全监管</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_Toc116030740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- 66 -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"_Toc116030741" </w:instrText>
          </w:r>
          <w:r>
            <w:fldChar w:fldCharType="separate"/>
          </w:r>
          <w:r>
            <w:rPr>
              <w:rStyle w:val="26"/>
              <w:rFonts w:ascii="Times New Roman" w:hAnsi="Times New Roman" w:eastAsia="仿宋_GB2312"/>
              <w:color w:val="1A1A1A" w:themeColor="background1" w:themeShade="1A"/>
              <w:sz w:val="28"/>
              <w:szCs w:val="28"/>
            </w:rPr>
            <w:t>第六节  加强新污染物治理</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_Toc116030741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- 68 -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5"/>
            <w:snapToGrid w:val="0"/>
            <w:spacing w:line="480" w:lineRule="exact"/>
            <w:rPr>
              <w:rFonts w:eastAsia="仿宋_GB2312"/>
              <w:b/>
              <w:bCs/>
              <w:color w:val="1A1A1A" w:themeColor="background1" w:themeShade="1A"/>
              <w:sz w:val="28"/>
              <w:szCs w:val="28"/>
            </w:rPr>
          </w:pPr>
          <w:r>
            <w:fldChar w:fldCharType="begin"/>
          </w:r>
          <w:r>
            <w:instrText xml:space="preserve"> HYPERLINK \l "_Toc116030742" </w:instrText>
          </w:r>
          <w:r>
            <w:fldChar w:fldCharType="separate"/>
          </w:r>
          <w:r>
            <w:rPr>
              <w:rStyle w:val="26"/>
              <w:rFonts w:eastAsia="仿宋_GB2312"/>
              <w:b/>
              <w:bCs/>
              <w:color w:val="1A1A1A" w:themeColor="background1" w:themeShade="1A"/>
              <w:sz w:val="28"/>
              <w:szCs w:val="28"/>
            </w:rPr>
            <w:t>第十章  健全治理体系  提高生态环境治理能力</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_Toc116030742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- 68 -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"_Toc116030743" </w:instrText>
          </w:r>
          <w:r>
            <w:fldChar w:fldCharType="separate"/>
          </w:r>
          <w:r>
            <w:rPr>
              <w:rStyle w:val="26"/>
              <w:rFonts w:ascii="Times New Roman" w:hAnsi="Times New Roman" w:eastAsia="仿宋_GB2312"/>
              <w:color w:val="1A1A1A" w:themeColor="background1" w:themeShade="1A"/>
              <w:sz w:val="28"/>
              <w:szCs w:val="28"/>
            </w:rPr>
            <w:t>第一节  完善生态环境保护统筹协调机制</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_Toc116030743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- 68 -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"_Toc116030744" </w:instrText>
          </w:r>
          <w:r>
            <w:fldChar w:fldCharType="separate"/>
          </w:r>
          <w:r>
            <w:rPr>
              <w:rStyle w:val="26"/>
              <w:rFonts w:ascii="Times New Roman" w:hAnsi="Times New Roman" w:eastAsia="仿宋_GB2312"/>
              <w:color w:val="1A1A1A" w:themeColor="background1" w:themeShade="1A"/>
              <w:sz w:val="28"/>
              <w:szCs w:val="28"/>
            </w:rPr>
            <w:t>第二节  深化生态环境制度落实</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_Toc116030744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- 69 -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"_Toc116030745" </w:instrText>
          </w:r>
          <w:r>
            <w:fldChar w:fldCharType="separate"/>
          </w:r>
          <w:r>
            <w:rPr>
              <w:rStyle w:val="26"/>
              <w:rFonts w:ascii="Times New Roman" w:hAnsi="Times New Roman" w:eastAsia="仿宋_GB2312"/>
              <w:color w:val="1A1A1A" w:themeColor="background1" w:themeShade="1A"/>
              <w:sz w:val="28"/>
              <w:szCs w:val="28"/>
            </w:rPr>
            <w:t>第三节  健全生态环境市场激励机制</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_Toc116030745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- 71 -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"_Toc116030746" </w:instrText>
          </w:r>
          <w:r>
            <w:fldChar w:fldCharType="separate"/>
          </w:r>
          <w:r>
            <w:rPr>
              <w:rStyle w:val="26"/>
              <w:rFonts w:ascii="Times New Roman" w:hAnsi="Times New Roman" w:eastAsia="仿宋_GB2312"/>
              <w:color w:val="1A1A1A" w:themeColor="background1" w:themeShade="1A"/>
              <w:sz w:val="28"/>
              <w:szCs w:val="28"/>
            </w:rPr>
            <w:t>第四节  强化生态环境监管能力建设</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_Toc116030746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- 72 -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"_Toc116030747" </w:instrText>
          </w:r>
          <w:r>
            <w:fldChar w:fldCharType="separate"/>
          </w:r>
          <w:r>
            <w:rPr>
              <w:rStyle w:val="26"/>
              <w:rFonts w:ascii="Times New Roman" w:hAnsi="Times New Roman" w:eastAsia="仿宋_GB2312"/>
              <w:color w:val="1A1A1A" w:themeColor="background1" w:themeShade="1A"/>
              <w:sz w:val="28"/>
              <w:szCs w:val="28"/>
            </w:rPr>
            <w:t>第五节  加强生态环境科技创新支撑</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_Toc116030747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- 75 -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5"/>
            <w:snapToGrid w:val="0"/>
            <w:spacing w:line="480" w:lineRule="exact"/>
            <w:rPr>
              <w:rFonts w:eastAsia="仿宋_GB2312"/>
              <w:b/>
              <w:bCs/>
              <w:color w:val="1A1A1A" w:themeColor="background1" w:themeShade="1A"/>
              <w:sz w:val="28"/>
              <w:szCs w:val="28"/>
            </w:rPr>
          </w:pPr>
          <w:r>
            <w:fldChar w:fldCharType="begin"/>
          </w:r>
          <w:r>
            <w:instrText xml:space="preserve"> HYPERLINK \l "_Toc116030748" </w:instrText>
          </w:r>
          <w:r>
            <w:fldChar w:fldCharType="separate"/>
          </w:r>
          <w:r>
            <w:rPr>
              <w:rStyle w:val="26"/>
              <w:rFonts w:eastAsia="仿宋_GB2312"/>
              <w:b/>
              <w:bCs/>
              <w:color w:val="1A1A1A" w:themeColor="background1" w:themeShade="1A"/>
              <w:sz w:val="28"/>
              <w:szCs w:val="28"/>
            </w:rPr>
            <w:t>第十一章  引导全民参与  推动形成绿色生活方式</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_Toc116030748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- 77 -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"_Toc116030749" </w:instrText>
          </w:r>
          <w:r>
            <w:fldChar w:fldCharType="separate"/>
          </w:r>
          <w:r>
            <w:rPr>
              <w:rStyle w:val="26"/>
              <w:rFonts w:ascii="Times New Roman" w:hAnsi="Times New Roman" w:eastAsia="仿宋_GB2312"/>
              <w:color w:val="1A1A1A" w:themeColor="background1" w:themeShade="1A"/>
              <w:sz w:val="28"/>
              <w:szCs w:val="28"/>
            </w:rPr>
            <w:t>第一节  增强全民生态环保意识</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_Toc116030749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- 77 -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"_Toc116030750" </w:instrText>
          </w:r>
          <w:r>
            <w:fldChar w:fldCharType="separate"/>
          </w:r>
          <w:r>
            <w:rPr>
              <w:rStyle w:val="26"/>
              <w:rFonts w:ascii="Times New Roman" w:hAnsi="Times New Roman" w:eastAsia="仿宋_GB2312"/>
              <w:color w:val="1A1A1A" w:themeColor="background1" w:themeShade="1A"/>
              <w:sz w:val="28"/>
              <w:szCs w:val="28"/>
            </w:rPr>
            <w:t>第二节  倡导绿色低碳生活方式</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_Toc116030750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- 78 -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"_Toc116030751" </w:instrText>
          </w:r>
          <w:r>
            <w:fldChar w:fldCharType="separate"/>
          </w:r>
          <w:r>
            <w:rPr>
              <w:rStyle w:val="26"/>
              <w:rFonts w:ascii="Times New Roman" w:hAnsi="Times New Roman" w:eastAsia="仿宋_GB2312"/>
              <w:color w:val="1A1A1A" w:themeColor="background1" w:themeShade="1A"/>
              <w:sz w:val="28"/>
              <w:szCs w:val="28"/>
            </w:rPr>
            <w:t>第三节  营造宁静和谐的生活环境</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_Toc116030751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- 79 -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"_Toc116030752" </w:instrText>
          </w:r>
          <w:r>
            <w:fldChar w:fldCharType="separate"/>
          </w:r>
          <w:r>
            <w:rPr>
              <w:rStyle w:val="26"/>
              <w:rFonts w:ascii="Times New Roman" w:hAnsi="Times New Roman" w:eastAsia="仿宋_GB2312"/>
              <w:color w:val="1A1A1A" w:themeColor="background1" w:themeShade="1A"/>
              <w:sz w:val="28"/>
              <w:szCs w:val="28"/>
            </w:rPr>
            <w:t>第四节  开展生态环保全民行动</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_Toc116030752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- 81 -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5"/>
            <w:snapToGrid w:val="0"/>
            <w:spacing w:line="480" w:lineRule="exact"/>
            <w:rPr>
              <w:rFonts w:eastAsia="仿宋_GB2312"/>
              <w:b/>
              <w:bCs/>
              <w:color w:val="1A1A1A" w:themeColor="background1" w:themeShade="1A"/>
              <w:sz w:val="28"/>
              <w:szCs w:val="28"/>
            </w:rPr>
          </w:pPr>
          <w:r>
            <w:fldChar w:fldCharType="begin"/>
          </w:r>
          <w:r>
            <w:instrText xml:space="preserve"> HYPERLINK \l "_Toc116030753" </w:instrText>
          </w:r>
          <w:r>
            <w:fldChar w:fldCharType="separate"/>
          </w:r>
          <w:r>
            <w:rPr>
              <w:rStyle w:val="26"/>
              <w:rFonts w:eastAsia="仿宋_GB2312"/>
              <w:b/>
              <w:bCs/>
              <w:color w:val="1A1A1A" w:themeColor="background1" w:themeShade="1A"/>
              <w:sz w:val="28"/>
              <w:szCs w:val="28"/>
            </w:rPr>
            <w:t>第十二章  加强规划实施保障</w:t>
          </w:r>
          <w:r>
            <w:rPr>
              <w:rFonts w:eastAsia="仿宋_GB2312"/>
              <w:b/>
              <w:bCs/>
              <w:color w:val="1A1A1A" w:themeColor="background1" w:themeShade="1A"/>
              <w:sz w:val="28"/>
              <w:szCs w:val="28"/>
            </w:rPr>
            <w:tab/>
          </w:r>
          <w:r>
            <w:rPr>
              <w:rFonts w:eastAsia="仿宋_GB2312"/>
              <w:b/>
              <w:bCs/>
              <w:color w:val="1A1A1A" w:themeColor="background1" w:themeShade="1A"/>
              <w:sz w:val="28"/>
              <w:szCs w:val="28"/>
            </w:rPr>
            <w:fldChar w:fldCharType="begin"/>
          </w:r>
          <w:r>
            <w:rPr>
              <w:rFonts w:eastAsia="仿宋_GB2312"/>
              <w:b/>
              <w:bCs/>
              <w:color w:val="1A1A1A" w:themeColor="background1" w:themeShade="1A"/>
              <w:sz w:val="28"/>
              <w:szCs w:val="28"/>
            </w:rPr>
            <w:instrText xml:space="preserve"> PAGEREF _Toc116030753 \h </w:instrText>
          </w:r>
          <w:r>
            <w:rPr>
              <w:rFonts w:eastAsia="仿宋_GB2312"/>
              <w:b/>
              <w:bCs/>
              <w:color w:val="1A1A1A" w:themeColor="background1" w:themeShade="1A"/>
              <w:sz w:val="28"/>
              <w:szCs w:val="28"/>
            </w:rPr>
            <w:fldChar w:fldCharType="separate"/>
          </w:r>
          <w:r>
            <w:rPr>
              <w:rFonts w:eastAsia="仿宋_GB2312"/>
              <w:b/>
              <w:bCs/>
              <w:color w:val="1A1A1A" w:themeColor="background1" w:themeShade="1A"/>
              <w:sz w:val="28"/>
              <w:szCs w:val="28"/>
            </w:rPr>
            <w:t>- 83 -</w:t>
          </w:r>
          <w:r>
            <w:rPr>
              <w:rFonts w:eastAsia="仿宋_GB2312"/>
              <w:b/>
              <w:bCs/>
              <w:color w:val="1A1A1A" w:themeColor="background1" w:themeShade="1A"/>
              <w:sz w:val="28"/>
              <w:szCs w:val="28"/>
            </w:rPr>
            <w:fldChar w:fldCharType="end"/>
          </w:r>
          <w:r>
            <w:rPr>
              <w:rFonts w:eastAsia="仿宋_GB2312"/>
              <w:b/>
              <w:bCs/>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"_Toc116030754" </w:instrText>
          </w:r>
          <w:r>
            <w:fldChar w:fldCharType="separate"/>
          </w:r>
          <w:r>
            <w:rPr>
              <w:rStyle w:val="26"/>
              <w:rFonts w:ascii="Times New Roman" w:hAnsi="Times New Roman" w:eastAsia="仿宋_GB2312"/>
              <w:color w:val="1A1A1A" w:themeColor="background1" w:themeShade="1A"/>
              <w:sz w:val="28"/>
              <w:szCs w:val="28"/>
            </w:rPr>
            <w:t>第一节  加强党的领导</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_Toc116030754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- 83 -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"_Toc116030755" </w:instrText>
          </w:r>
          <w:r>
            <w:fldChar w:fldCharType="separate"/>
          </w:r>
          <w:r>
            <w:rPr>
              <w:rStyle w:val="26"/>
              <w:rFonts w:ascii="Times New Roman" w:hAnsi="Times New Roman" w:eastAsia="仿宋_GB2312"/>
              <w:color w:val="1A1A1A" w:themeColor="background1" w:themeShade="1A"/>
              <w:sz w:val="28"/>
              <w:szCs w:val="28"/>
            </w:rPr>
            <w:t>第二节  强化组织实施</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_Toc116030755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- 83 -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"_Toc116030756" </w:instrText>
          </w:r>
          <w:r>
            <w:fldChar w:fldCharType="separate"/>
          </w:r>
          <w:r>
            <w:rPr>
              <w:rStyle w:val="26"/>
              <w:rFonts w:ascii="Times New Roman" w:hAnsi="Times New Roman" w:eastAsia="仿宋_GB2312"/>
              <w:color w:val="1A1A1A" w:themeColor="background1" w:themeShade="1A"/>
              <w:sz w:val="28"/>
              <w:szCs w:val="28"/>
            </w:rPr>
            <w:t>第三节  落实资金保障</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_Toc116030756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- 83 -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ascii="Times New Roman" w:hAnsi="Times New Roman" w:eastAsia="仿宋_GB2312"/>
              <w:color w:val="1A1A1A" w:themeColor="background1" w:themeShade="1A"/>
              <w:kern w:val="2"/>
              <w:sz w:val="28"/>
              <w:szCs w:val="28"/>
            </w:rPr>
          </w:pPr>
          <w:r>
            <w:fldChar w:fldCharType="begin"/>
          </w:r>
          <w:r>
            <w:instrText xml:space="preserve"> HYPERLINK \l "_Toc116030757" </w:instrText>
          </w:r>
          <w:r>
            <w:fldChar w:fldCharType="separate"/>
          </w:r>
          <w:r>
            <w:rPr>
              <w:rStyle w:val="26"/>
              <w:rFonts w:ascii="Times New Roman" w:hAnsi="Times New Roman" w:eastAsia="仿宋_GB2312"/>
              <w:color w:val="1A1A1A" w:themeColor="background1" w:themeShade="1A"/>
              <w:sz w:val="28"/>
              <w:szCs w:val="28"/>
            </w:rPr>
            <w:t>第四节  推进队伍建设</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_Toc116030757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- 84 -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pStyle w:val="17"/>
            <w:tabs>
              <w:tab w:val="right" w:leader="dot" w:pos="8834"/>
            </w:tabs>
            <w:snapToGrid w:val="0"/>
            <w:spacing w:after="0" w:line="480" w:lineRule="exact"/>
            <w:rPr>
              <w:rFonts w:cstheme="minorBidi"/>
              <w:color w:val="1A1A1A" w:themeColor="background1" w:themeShade="1A"/>
              <w:kern w:val="2"/>
              <w:sz w:val="21"/>
            </w:rPr>
          </w:pPr>
          <w:r>
            <w:fldChar w:fldCharType="begin"/>
          </w:r>
          <w:r>
            <w:instrText xml:space="preserve"> HYPERLINK \l "_Toc116030758" </w:instrText>
          </w:r>
          <w:r>
            <w:fldChar w:fldCharType="separate"/>
          </w:r>
          <w:r>
            <w:rPr>
              <w:rStyle w:val="26"/>
              <w:rFonts w:ascii="Times New Roman" w:hAnsi="Times New Roman" w:eastAsia="仿宋_GB2312"/>
              <w:color w:val="1A1A1A" w:themeColor="background1" w:themeShade="1A"/>
              <w:sz w:val="28"/>
              <w:szCs w:val="28"/>
            </w:rPr>
            <w:t>第五节  推动落实评估</w:t>
          </w:r>
          <w:r>
            <w:rPr>
              <w:rFonts w:ascii="Times New Roman" w:hAnsi="Times New Roman" w:eastAsia="仿宋_GB2312"/>
              <w:color w:val="1A1A1A" w:themeColor="background1" w:themeShade="1A"/>
              <w:sz w:val="28"/>
              <w:szCs w:val="28"/>
            </w:rPr>
            <w:tab/>
          </w:r>
          <w:r>
            <w:rPr>
              <w:rFonts w:ascii="Times New Roman" w:hAnsi="Times New Roman" w:eastAsia="仿宋_GB2312"/>
              <w:color w:val="1A1A1A" w:themeColor="background1" w:themeShade="1A"/>
              <w:sz w:val="28"/>
              <w:szCs w:val="28"/>
            </w:rPr>
            <w:fldChar w:fldCharType="begin"/>
          </w:r>
          <w:r>
            <w:rPr>
              <w:rFonts w:ascii="Times New Roman" w:hAnsi="Times New Roman" w:eastAsia="仿宋_GB2312"/>
              <w:color w:val="1A1A1A" w:themeColor="background1" w:themeShade="1A"/>
              <w:sz w:val="28"/>
              <w:szCs w:val="28"/>
            </w:rPr>
            <w:instrText xml:space="preserve"> PAGEREF _Toc116030758 \h </w:instrText>
          </w:r>
          <w:r>
            <w:rPr>
              <w:rFonts w:ascii="Times New Roman" w:hAnsi="Times New Roman" w:eastAsia="仿宋_GB2312"/>
              <w:color w:val="1A1A1A" w:themeColor="background1" w:themeShade="1A"/>
              <w:sz w:val="28"/>
              <w:szCs w:val="28"/>
            </w:rPr>
            <w:fldChar w:fldCharType="separate"/>
          </w:r>
          <w:r>
            <w:rPr>
              <w:rFonts w:ascii="Times New Roman" w:hAnsi="Times New Roman" w:eastAsia="仿宋_GB2312"/>
              <w:color w:val="1A1A1A" w:themeColor="background1" w:themeShade="1A"/>
              <w:sz w:val="28"/>
              <w:szCs w:val="28"/>
            </w:rPr>
            <w:t>- 85 -</w:t>
          </w:r>
          <w:r>
            <w:rPr>
              <w:rFonts w:ascii="Times New Roman" w:hAnsi="Times New Roman" w:eastAsia="仿宋_GB2312"/>
              <w:color w:val="1A1A1A" w:themeColor="background1" w:themeShade="1A"/>
              <w:sz w:val="28"/>
              <w:szCs w:val="28"/>
            </w:rPr>
            <w:fldChar w:fldCharType="end"/>
          </w:r>
          <w:r>
            <w:rPr>
              <w:rFonts w:ascii="Times New Roman" w:hAnsi="Times New Roman" w:eastAsia="仿宋_GB2312"/>
              <w:color w:val="1A1A1A" w:themeColor="background1" w:themeShade="1A"/>
              <w:sz w:val="28"/>
              <w:szCs w:val="28"/>
            </w:rPr>
            <w:fldChar w:fldCharType="end"/>
          </w:r>
        </w:p>
        <w:p>
          <w:pPr>
            <w:spacing w:line="560" w:lineRule="exact"/>
            <w:rPr>
              <w:color w:val="1A1A1A" w:themeColor="background1" w:themeShade="1A"/>
              <w:sz w:val="28"/>
              <w:szCs w:val="28"/>
              <w:lang w:val="zh-CN"/>
            </w:rPr>
          </w:pPr>
          <w:r>
            <w:rPr>
              <w:rFonts w:eastAsia="仿宋_GB2312"/>
              <w:bCs/>
              <w:color w:val="1A1A1A" w:themeColor="background1" w:themeShade="1A"/>
              <w:szCs w:val="28"/>
              <w:lang w:val="zh-CN"/>
            </w:rPr>
            <w:fldChar w:fldCharType="end"/>
          </w:r>
        </w:p>
      </w:sdtContent>
    </w:sdt>
    <w:p>
      <w:pPr>
        <w:adjustRightInd w:val="0"/>
        <w:spacing w:line="360" w:lineRule="auto"/>
        <w:ind w:firstLine="562" w:firstLineChars="200"/>
        <w:textAlignment w:val="baseline"/>
        <w:outlineLvl w:val="0"/>
        <w:rPr>
          <w:rFonts w:eastAsia="黑体"/>
          <w:b/>
          <w:color w:val="1A1A1A" w:themeColor="background1" w:themeShade="1A"/>
          <w:sz w:val="28"/>
          <w:szCs w:val="28"/>
        </w:rPr>
        <w:sectPr>
          <w:pgSz w:w="11906" w:h="16838"/>
          <w:pgMar w:top="1588" w:right="1474" w:bottom="1474" w:left="1588" w:header="851" w:footer="1134" w:gutter="0"/>
          <w:pgNumType w:fmt="upperRoman" w:start="1"/>
          <w:cols w:space="720" w:num="1"/>
          <w:docGrid w:type="lines" w:linePitch="312" w:charSpace="0"/>
        </w:sectPr>
      </w:pPr>
    </w:p>
    <w:p>
      <w:pPr>
        <w:adjustRightInd w:val="0"/>
        <w:spacing w:before="312" w:beforeLines="100" w:after="312" w:afterLines="100"/>
        <w:jc w:val="center"/>
        <w:textAlignment w:val="baseline"/>
        <w:outlineLvl w:val="0"/>
        <w:rPr>
          <w:rFonts w:eastAsia="黑体"/>
          <w:color w:val="1A1A1A" w:themeColor="background1" w:themeShade="1A"/>
          <w:sz w:val="32"/>
          <w:szCs w:val="32"/>
        </w:rPr>
      </w:pPr>
      <w:bookmarkStart w:id="1" w:name="_Toc116030697"/>
      <w:r>
        <w:rPr>
          <w:rFonts w:eastAsia="黑体"/>
          <w:b/>
          <w:color w:val="1A1A1A" w:themeColor="background1" w:themeShade="1A"/>
          <w:sz w:val="32"/>
          <w:szCs w:val="32"/>
        </w:rPr>
        <w:t xml:space="preserve">第一章  </w:t>
      </w:r>
      <w:r>
        <w:rPr>
          <w:rFonts w:hint="eastAsia" w:eastAsia="黑体"/>
          <w:b/>
          <w:color w:val="1A1A1A" w:themeColor="background1" w:themeShade="1A"/>
          <w:sz w:val="32"/>
          <w:szCs w:val="32"/>
        </w:rPr>
        <w:t>聚力突破生态强区，建设更高品质美丽兖州</w:t>
      </w:r>
      <w:bookmarkEnd w:id="1"/>
    </w:p>
    <w:p>
      <w:pPr>
        <w:spacing w:line="360" w:lineRule="auto"/>
        <w:ind w:firstLine="640" w:firstLineChars="200"/>
        <w:rPr>
          <w:rFonts w:eastAsia="仿宋_GB2312"/>
          <w:color w:val="1A1A1A" w:themeColor="background1" w:themeShade="1A"/>
          <w:sz w:val="32"/>
          <w:szCs w:val="32"/>
        </w:rPr>
      </w:pPr>
      <w:r>
        <w:rPr>
          <w:rFonts w:eastAsia="仿宋_GB2312"/>
          <w:color w:val="1A1A1A" w:themeColor="background1" w:themeShade="1A"/>
          <w:sz w:val="32"/>
          <w:szCs w:val="32"/>
        </w:rPr>
        <w:t>“十四五”时期是我国全面建成小康社会、实现第一个百年奋斗目标之后，乘势而上开启全面建设社会主义现代化国家新征程、向第二个百年奋斗目标进军的第一个五年，也是深入贯彻落实习近平生态文明思想，推动经济社会发展全面绿色转型的五年，是深入打好污染防治攻坚战、持续改善生态环境质量，聚力突破生态强区的五年。</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2" w:name="_Toc116030698"/>
      <w:r>
        <w:rPr>
          <w:rFonts w:eastAsia="楷体_GB2312"/>
          <w:b/>
          <w:color w:val="1A1A1A" w:themeColor="background1" w:themeShade="1A"/>
          <w:sz w:val="32"/>
          <w:szCs w:val="32"/>
        </w:rPr>
        <w:t>第一节  “十三五”生态环境保护成果丰硕</w:t>
      </w:r>
      <w:bookmarkEnd w:id="2"/>
    </w:p>
    <w:p>
      <w:pPr>
        <w:spacing w:line="360" w:lineRule="auto"/>
        <w:ind w:firstLine="640" w:firstLineChars="200"/>
        <w:rPr>
          <w:rFonts w:eastAsia="仿宋_GB2312"/>
          <w:color w:val="1A1A1A" w:themeColor="background1" w:themeShade="1A"/>
          <w:sz w:val="32"/>
          <w:szCs w:val="32"/>
        </w:rPr>
      </w:pPr>
      <w:r>
        <w:rPr>
          <w:rFonts w:eastAsia="仿宋_GB2312"/>
          <w:color w:val="1A1A1A" w:themeColor="background1" w:themeShade="1A"/>
          <w:sz w:val="32"/>
          <w:szCs w:val="32"/>
        </w:rPr>
        <w:t>“十三五”时期是兖州生态环境史上极不平凡的五年，是生态环境保护事业全面发展的五年，也是群众生态环境满意度不断提升的五年。兖州区坚持以习近平生态文明思想为指导，牢固树立</w:t>
      </w:r>
      <w:r>
        <w:rPr>
          <w:rFonts w:hint="eastAsia" w:eastAsia="仿宋_GB2312"/>
          <w:color w:val="1A1A1A" w:themeColor="background1" w:themeShade="1A"/>
          <w:sz w:val="32"/>
          <w:szCs w:val="32"/>
        </w:rPr>
        <w:t>“</w:t>
      </w:r>
      <w:r>
        <w:rPr>
          <w:rFonts w:eastAsia="仿宋_GB2312"/>
          <w:color w:val="1A1A1A" w:themeColor="background1" w:themeShade="1A"/>
          <w:sz w:val="32"/>
          <w:szCs w:val="32"/>
        </w:rPr>
        <w:t>绿水青山就是金山银山</w:t>
      </w:r>
      <w:r>
        <w:rPr>
          <w:rFonts w:hint="eastAsia" w:eastAsia="仿宋_GB2312"/>
          <w:color w:val="1A1A1A" w:themeColor="background1" w:themeShade="1A"/>
          <w:sz w:val="32"/>
          <w:szCs w:val="32"/>
        </w:rPr>
        <w:t>”的发展</w:t>
      </w:r>
      <w:r>
        <w:rPr>
          <w:rFonts w:eastAsia="仿宋_GB2312"/>
          <w:color w:val="1A1A1A" w:themeColor="background1" w:themeShade="1A"/>
          <w:sz w:val="32"/>
          <w:szCs w:val="32"/>
        </w:rPr>
        <w:t>理念，大力实施生态强</w:t>
      </w:r>
      <w:r>
        <w:rPr>
          <w:rFonts w:hint="eastAsia" w:eastAsia="仿宋_GB2312"/>
          <w:color w:val="1A1A1A" w:themeColor="background1" w:themeShade="1A"/>
          <w:sz w:val="32"/>
          <w:szCs w:val="32"/>
        </w:rPr>
        <w:t>区</w:t>
      </w:r>
      <w:r>
        <w:rPr>
          <w:rFonts w:eastAsia="仿宋_GB2312"/>
          <w:color w:val="1A1A1A" w:themeColor="background1" w:themeShade="1A"/>
          <w:sz w:val="32"/>
          <w:szCs w:val="32"/>
        </w:rPr>
        <w:t>战略，持续强化工作措施，突出科学治污、精准治污、依法治污，全力解决人民群众关心的突出环境污染问题，蓝天碧水净土保卫战取得丰硕成果，生态环境质量大幅度改善，“十三五”约束性指标全面完成，三年污染防治攻坚战圆满收官，生态环境治理体系和治理能力现代化水平显著提升，全区生态环境保护大格局初步形成。</w:t>
      </w:r>
    </w:p>
    <w:p>
      <w:pPr>
        <w:adjustRightInd w:val="0"/>
        <w:snapToGrid w:val="0"/>
        <w:spacing w:line="580" w:lineRule="exact"/>
        <w:ind w:firstLine="642" w:firstLineChars="200"/>
        <w:rPr>
          <w:rFonts w:eastAsia="仿宋_GB2312"/>
          <w:color w:val="1A1A1A" w:themeColor="background1" w:themeShade="1A"/>
          <w:sz w:val="32"/>
          <w:szCs w:val="32"/>
        </w:rPr>
      </w:pPr>
      <w:r>
        <w:rPr>
          <w:rFonts w:eastAsia="楷体_GB2312"/>
          <w:b/>
          <w:bCs/>
          <w:color w:val="1A1A1A" w:themeColor="background1" w:themeShade="1A"/>
          <w:sz w:val="32"/>
          <w:szCs w:val="32"/>
        </w:rPr>
        <w:t>生态环境持续改善。</w:t>
      </w:r>
      <w:r>
        <w:rPr>
          <w:rFonts w:eastAsia="仿宋_GB2312"/>
          <w:color w:val="1A1A1A" w:themeColor="background1" w:themeShade="1A"/>
          <w:sz w:val="32"/>
          <w:szCs w:val="32"/>
        </w:rPr>
        <w:t>2020年，空气质量优良率、综合指数分别同比改善</w:t>
      </w:r>
      <w:r>
        <w:rPr>
          <w:rFonts w:hint="eastAsia" w:eastAsia="仿宋_GB2312"/>
          <w:color w:val="1A1A1A" w:themeColor="background1" w:themeShade="1A"/>
          <w:sz w:val="32"/>
          <w:szCs w:val="32"/>
        </w:rPr>
        <w:t>15.4</w:t>
      </w:r>
      <w:r>
        <w:rPr>
          <w:rFonts w:eastAsia="仿宋_GB2312"/>
          <w:color w:val="1A1A1A" w:themeColor="background1" w:themeShade="1A"/>
          <w:sz w:val="32"/>
          <w:szCs w:val="32"/>
        </w:rPr>
        <w:t>%、</w:t>
      </w:r>
      <w:r>
        <w:rPr>
          <w:rFonts w:hint="eastAsia" w:eastAsia="仿宋_GB2312"/>
          <w:color w:val="1A1A1A" w:themeColor="background1" w:themeShade="1A"/>
          <w:sz w:val="32"/>
          <w:szCs w:val="32"/>
        </w:rPr>
        <w:t>11.3</w:t>
      </w:r>
      <w:r>
        <w:rPr>
          <w:rFonts w:eastAsia="仿宋_GB2312"/>
          <w:color w:val="1A1A1A" w:themeColor="background1" w:themeShade="1A"/>
          <w:sz w:val="32"/>
          <w:szCs w:val="32"/>
        </w:rPr>
        <w:t>%，</w:t>
      </w:r>
      <w:r>
        <w:rPr>
          <w:rFonts w:hint="eastAsia" w:eastAsia="仿宋_GB2312"/>
          <w:color w:val="1A1A1A" w:themeColor="background1" w:themeShade="1A"/>
          <w:sz w:val="32"/>
          <w:szCs w:val="32"/>
        </w:rPr>
        <w:t>可吸入颗粒物（PM</w:t>
      </w:r>
      <w:r>
        <w:rPr>
          <w:rFonts w:hint="eastAsia" w:eastAsia="仿宋_GB2312"/>
          <w:color w:val="1A1A1A" w:themeColor="background1" w:themeShade="1A"/>
          <w:sz w:val="32"/>
          <w:szCs w:val="32"/>
          <w:vertAlign w:val="subscript"/>
        </w:rPr>
        <w:t>10</w:t>
      </w:r>
      <w:r>
        <w:rPr>
          <w:rFonts w:hint="eastAsia" w:eastAsia="仿宋_GB2312"/>
          <w:color w:val="1A1A1A" w:themeColor="background1" w:themeShade="1A"/>
          <w:sz w:val="32"/>
          <w:szCs w:val="32"/>
        </w:rPr>
        <w:t>）</w:t>
      </w:r>
      <w:r>
        <w:rPr>
          <w:rFonts w:eastAsia="仿宋_GB2312"/>
          <w:color w:val="1A1A1A" w:themeColor="background1" w:themeShade="1A"/>
          <w:sz w:val="32"/>
          <w:szCs w:val="32"/>
        </w:rPr>
        <w:t>、</w:t>
      </w:r>
      <w:r>
        <w:rPr>
          <w:rFonts w:hint="eastAsia" w:eastAsia="仿宋_GB2312"/>
          <w:color w:val="1A1A1A" w:themeColor="background1" w:themeShade="1A"/>
          <w:sz w:val="32"/>
          <w:szCs w:val="32"/>
        </w:rPr>
        <w:t>细颗粒物（PM</w:t>
      </w:r>
      <w:r>
        <w:rPr>
          <w:rFonts w:hint="eastAsia" w:eastAsia="仿宋_GB2312"/>
          <w:color w:val="1A1A1A" w:themeColor="background1" w:themeShade="1A"/>
          <w:sz w:val="32"/>
          <w:szCs w:val="32"/>
          <w:vertAlign w:val="subscript"/>
        </w:rPr>
        <w:t>2.5</w:t>
      </w:r>
      <w:r>
        <w:rPr>
          <w:rFonts w:hint="eastAsia" w:eastAsia="仿宋_GB2312"/>
          <w:color w:val="1A1A1A" w:themeColor="background1" w:themeShade="1A"/>
          <w:sz w:val="32"/>
          <w:szCs w:val="32"/>
        </w:rPr>
        <w:t>）、臭氧（O</w:t>
      </w:r>
      <w:r>
        <w:rPr>
          <w:rFonts w:hint="eastAsia" w:eastAsia="仿宋_GB2312"/>
          <w:color w:val="1A1A1A" w:themeColor="background1" w:themeShade="1A"/>
          <w:sz w:val="32"/>
          <w:szCs w:val="32"/>
          <w:vertAlign w:val="subscript"/>
        </w:rPr>
        <w:t>3</w:t>
      </w:r>
      <w:r>
        <w:rPr>
          <w:rFonts w:hint="eastAsia" w:eastAsia="仿宋_GB2312"/>
          <w:color w:val="1A1A1A" w:themeColor="background1" w:themeShade="1A"/>
          <w:sz w:val="32"/>
          <w:szCs w:val="32"/>
        </w:rPr>
        <w:t>）浓度</w:t>
      </w:r>
      <w:r>
        <w:rPr>
          <w:rFonts w:eastAsia="仿宋_GB2312"/>
          <w:color w:val="1A1A1A" w:themeColor="background1" w:themeShade="1A"/>
          <w:sz w:val="32"/>
          <w:szCs w:val="32"/>
        </w:rPr>
        <w:t>分别同比下降</w:t>
      </w:r>
      <w:r>
        <w:rPr>
          <w:rFonts w:hint="eastAsia" w:eastAsia="仿宋_GB2312"/>
          <w:color w:val="1A1A1A" w:themeColor="background1" w:themeShade="1A"/>
          <w:sz w:val="32"/>
          <w:szCs w:val="32"/>
        </w:rPr>
        <w:t>9.3</w:t>
      </w:r>
      <w:r>
        <w:rPr>
          <w:rFonts w:eastAsia="仿宋_GB2312"/>
          <w:color w:val="1A1A1A" w:themeColor="background1" w:themeShade="1A"/>
          <w:sz w:val="32"/>
          <w:szCs w:val="32"/>
        </w:rPr>
        <w:t>%、</w:t>
      </w:r>
      <w:r>
        <w:rPr>
          <w:rFonts w:hint="eastAsia" w:eastAsia="仿宋_GB2312"/>
          <w:color w:val="1A1A1A" w:themeColor="background1" w:themeShade="1A"/>
          <w:sz w:val="32"/>
          <w:szCs w:val="32"/>
        </w:rPr>
        <w:t>15.0</w:t>
      </w:r>
      <w:r>
        <w:rPr>
          <w:rFonts w:eastAsia="仿宋_GB2312"/>
          <w:color w:val="1A1A1A" w:themeColor="background1" w:themeShade="1A"/>
          <w:sz w:val="32"/>
          <w:szCs w:val="32"/>
        </w:rPr>
        <w:t>%、</w:t>
      </w:r>
      <w:r>
        <w:rPr>
          <w:rFonts w:hint="eastAsia" w:eastAsia="仿宋_GB2312"/>
          <w:color w:val="1A1A1A" w:themeColor="background1" w:themeShade="1A"/>
          <w:sz w:val="32"/>
          <w:szCs w:val="32"/>
        </w:rPr>
        <w:t>11.6</w:t>
      </w:r>
      <w:r>
        <w:rPr>
          <w:rFonts w:eastAsia="仿宋_GB2312"/>
          <w:color w:val="1A1A1A" w:themeColor="background1" w:themeShade="1A"/>
          <w:sz w:val="32"/>
          <w:szCs w:val="32"/>
        </w:rPr>
        <w:t>%，</w:t>
      </w:r>
      <w:r>
        <w:rPr>
          <w:rFonts w:hint="eastAsia" w:eastAsia="仿宋_GB2312"/>
          <w:color w:val="1A1A1A" w:themeColor="background1" w:themeShade="1A"/>
          <w:sz w:val="32"/>
          <w:szCs w:val="32"/>
        </w:rPr>
        <w:t>二氧化硫（SO</w:t>
      </w:r>
      <w:r>
        <w:rPr>
          <w:rFonts w:hint="eastAsia" w:eastAsia="仿宋_GB2312"/>
          <w:color w:val="1A1A1A" w:themeColor="background1" w:themeShade="1A"/>
          <w:sz w:val="32"/>
          <w:szCs w:val="32"/>
          <w:vertAlign w:val="subscript"/>
        </w:rPr>
        <w:t>2</w:t>
      </w:r>
      <w:r>
        <w:rPr>
          <w:rFonts w:hint="eastAsia" w:eastAsia="仿宋_GB2312"/>
          <w:color w:val="1A1A1A" w:themeColor="background1" w:themeShade="1A"/>
          <w:sz w:val="32"/>
          <w:szCs w:val="32"/>
        </w:rPr>
        <w:t>）、二氧化氮（NO</w:t>
      </w:r>
      <w:r>
        <w:rPr>
          <w:rFonts w:hint="eastAsia" w:eastAsia="仿宋_GB2312"/>
          <w:color w:val="1A1A1A" w:themeColor="background1" w:themeShade="1A"/>
          <w:sz w:val="32"/>
          <w:szCs w:val="32"/>
          <w:vertAlign w:val="subscript"/>
        </w:rPr>
        <w:t>2</w:t>
      </w:r>
      <w:r>
        <w:rPr>
          <w:rFonts w:hint="eastAsia" w:eastAsia="仿宋_GB2312"/>
          <w:color w:val="1A1A1A" w:themeColor="background1" w:themeShade="1A"/>
          <w:sz w:val="32"/>
          <w:szCs w:val="32"/>
        </w:rPr>
        <w:t>）、一氧化碳（CO）</w:t>
      </w:r>
      <w:r>
        <w:rPr>
          <w:rFonts w:eastAsia="仿宋_GB2312"/>
          <w:color w:val="1A1A1A" w:themeColor="background1" w:themeShade="1A"/>
          <w:sz w:val="32"/>
          <w:szCs w:val="32"/>
        </w:rPr>
        <w:t>浓度达到国家一级标准</w:t>
      </w:r>
      <w:r>
        <w:rPr>
          <w:rFonts w:hint="eastAsia" w:eastAsia="仿宋_GB2312"/>
          <w:color w:val="1A1A1A" w:themeColor="background1" w:themeShade="1A"/>
          <w:sz w:val="32"/>
          <w:szCs w:val="32"/>
        </w:rPr>
        <w:t>，</w:t>
      </w:r>
      <w:r>
        <w:rPr>
          <w:rFonts w:eastAsia="仿宋_GB2312"/>
          <w:color w:val="1A1A1A" w:themeColor="background1" w:themeShade="1A"/>
          <w:sz w:val="32"/>
          <w:szCs w:val="32"/>
        </w:rPr>
        <w:t>PM</w:t>
      </w:r>
      <w:r>
        <w:rPr>
          <w:rFonts w:hint="eastAsia" w:eastAsia="仿宋_GB2312"/>
          <w:color w:val="1A1A1A" w:themeColor="background1" w:themeShade="1A"/>
          <w:sz w:val="32"/>
          <w:szCs w:val="32"/>
          <w:vertAlign w:val="subscript"/>
        </w:rPr>
        <w:t>2.5</w:t>
      </w:r>
      <w:r>
        <w:rPr>
          <w:rFonts w:eastAsia="仿宋_GB2312"/>
          <w:color w:val="1A1A1A" w:themeColor="background1" w:themeShade="1A"/>
          <w:sz w:val="32"/>
          <w:szCs w:val="32"/>
        </w:rPr>
        <w:t>、CO平均浓度改善幅度均列全</w:t>
      </w:r>
      <w:r>
        <w:rPr>
          <w:rFonts w:hint="eastAsia" w:eastAsia="仿宋_GB2312"/>
          <w:color w:val="1A1A1A" w:themeColor="background1" w:themeShade="1A"/>
          <w:sz w:val="32"/>
          <w:szCs w:val="32"/>
        </w:rPr>
        <w:t>市</w:t>
      </w:r>
      <w:r>
        <w:rPr>
          <w:rFonts w:eastAsia="仿宋_GB2312"/>
          <w:color w:val="1A1A1A" w:themeColor="background1" w:themeShade="1A"/>
          <w:sz w:val="32"/>
          <w:szCs w:val="32"/>
        </w:rPr>
        <w:t>第2位</w:t>
      </w:r>
      <w:r>
        <w:rPr>
          <w:rFonts w:hint="eastAsia" w:eastAsia="仿宋_GB2312"/>
          <w:color w:val="1A1A1A" w:themeColor="background1" w:themeShade="1A"/>
          <w:sz w:val="32"/>
          <w:szCs w:val="32"/>
        </w:rPr>
        <w:t>，</w:t>
      </w:r>
      <w:r>
        <w:rPr>
          <w:rFonts w:eastAsia="仿宋_GB2312"/>
          <w:color w:val="1A1A1A" w:themeColor="background1" w:themeShade="1A"/>
          <w:sz w:val="32"/>
          <w:szCs w:val="32"/>
        </w:rPr>
        <w:t>优良天数增加</w:t>
      </w:r>
      <w:r>
        <w:rPr>
          <w:rFonts w:hint="eastAsia" w:eastAsia="仿宋_GB2312"/>
          <w:color w:val="1A1A1A" w:themeColor="background1" w:themeShade="1A"/>
          <w:sz w:val="32"/>
          <w:szCs w:val="32"/>
        </w:rPr>
        <w:t>58</w:t>
      </w:r>
      <w:r>
        <w:rPr>
          <w:rFonts w:eastAsia="仿宋_GB2312"/>
          <w:color w:val="1A1A1A" w:themeColor="background1" w:themeShade="1A"/>
          <w:sz w:val="32"/>
          <w:szCs w:val="32"/>
        </w:rPr>
        <w:t>天</w:t>
      </w:r>
      <w:r>
        <w:rPr>
          <w:rFonts w:hint="eastAsia" w:eastAsia="仿宋_GB2312"/>
          <w:color w:val="1A1A1A" w:themeColor="background1" w:themeShade="1A"/>
          <w:sz w:val="32"/>
          <w:szCs w:val="32"/>
        </w:rPr>
        <w:t>，</w:t>
      </w:r>
      <w:r>
        <w:rPr>
          <w:rFonts w:eastAsia="仿宋_GB2312"/>
          <w:color w:val="1A1A1A" w:themeColor="background1" w:themeShade="1A"/>
          <w:sz w:val="32"/>
          <w:szCs w:val="32"/>
        </w:rPr>
        <w:t>重污染天数减少</w:t>
      </w:r>
      <w:r>
        <w:rPr>
          <w:rFonts w:hint="eastAsia" w:eastAsia="仿宋_GB2312"/>
          <w:color w:val="1A1A1A" w:themeColor="background1" w:themeShade="1A"/>
          <w:sz w:val="32"/>
          <w:szCs w:val="32"/>
        </w:rPr>
        <w:t>13</w:t>
      </w:r>
      <w:r>
        <w:rPr>
          <w:rFonts w:eastAsia="仿宋_GB2312"/>
          <w:color w:val="1A1A1A" w:themeColor="background1" w:themeShade="1A"/>
          <w:sz w:val="32"/>
          <w:szCs w:val="32"/>
        </w:rPr>
        <w:t>天；与201</w:t>
      </w:r>
      <w:r>
        <w:rPr>
          <w:rFonts w:hint="eastAsia" w:eastAsia="仿宋_GB2312"/>
          <w:color w:val="1A1A1A" w:themeColor="background1" w:themeShade="1A"/>
          <w:sz w:val="32"/>
          <w:szCs w:val="32"/>
        </w:rPr>
        <w:t>6</w:t>
      </w:r>
      <w:r>
        <w:rPr>
          <w:rFonts w:eastAsia="仿宋_GB2312"/>
          <w:color w:val="1A1A1A" w:themeColor="background1" w:themeShade="1A"/>
          <w:sz w:val="32"/>
          <w:szCs w:val="32"/>
        </w:rPr>
        <w:t>年相比，</w:t>
      </w:r>
      <w:r>
        <w:rPr>
          <w:rFonts w:hint="eastAsia" w:eastAsia="仿宋_GB2312"/>
          <w:color w:val="1A1A1A" w:themeColor="background1" w:themeShade="1A"/>
          <w:sz w:val="32"/>
          <w:szCs w:val="32"/>
        </w:rPr>
        <w:t>兖州区</w:t>
      </w:r>
      <w:r>
        <w:rPr>
          <w:rFonts w:eastAsia="仿宋_GB2312"/>
          <w:color w:val="1A1A1A" w:themeColor="background1" w:themeShade="1A"/>
          <w:sz w:val="32"/>
          <w:szCs w:val="32"/>
        </w:rPr>
        <w:t>PM</w:t>
      </w:r>
      <w:r>
        <w:rPr>
          <w:rFonts w:eastAsia="仿宋_GB2312"/>
          <w:color w:val="1A1A1A" w:themeColor="background1" w:themeShade="1A"/>
          <w:sz w:val="32"/>
          <w:szCs w:val="32"/>
          <w:vertAlign w:val="subscript"/>
        </w:rPr>
        <w:t>2.5</w:t>
      </w:r>
      <w:r>
        <w:rPr>
          <w:rFonts w:eastAsia="仿宋_GB2312"/>
          <w:color w:val="1A1A1A" w:themeColor="background1" w:themeShade="1A"/>
          <w:sz w:val="32"/>
          <w:szCs w:val="32"/>
        </w:rPr>
        <w:t>、PM</w:t>
      </w:r>
      <w:r>
        <w:rPr>
          <w:rFonts w:eastAsia="仿宋_GB2312"/>
          <w:color w:val="1A1A1A" w:themeColor="background1" w:themeShade="1A"/>
          <w:sz w:val="32"/>
          <w:szCs w:val="32"/>
          <w:vertAlign w:val="subscript"/>
        </w:rPr>
        <w:t>10</w:t>
      </w:r>
      <w:r>
        <w:rPr>
          <w:rFonts w:eastAsia="仿宋_GB2312"/>
          <w:color w:val="1A1A1A" w:themeColor="background1" w:themeShade="1A"/>
          <w:sz w:val="32"/>
          <w:szCs w:val="32"/>
        </w:rPr>
        <w:t>、SO</w:t>
      </w:r>
      <w:r>
        <w:rPr>
          <w:rFonts w:eastAsia="仿宋_GB2312"/>
          <w:color w:val="1A1A1A" w:themeColor="background1" w:themeShade="1A"/>
          <w:sz w:val="32"/>
          <w:szCs w:val="32"/>
          <w:vertAlign w:val="subscript"/>
        </w:rPr>
        <w:t>2</w:t>
      </w:r>
      <w:r>
        <w:rPr>
          <w:rFonts w:eastAsia="仿宋_GB2312"/>
          <w:color w:val="1A1A1A" w:themeColor="background1" w:themeShade="1A"/>
          <w:sz w:val="32"/>
          <w:szCs w:val="32"/>
        </w:rPr>
        <w:t>、NO</w:t>
      </w:r>
      <w:r>
        <w:rPr>
          <w:rFonts w:eastAsia="仿宋_GB2312"/>
          <w:color w:val="1A1A1A" w:themeColor="background1" w:themeShade="1A"/>
          <w:sz w:val="32"/>
          <w:szCs w:val="32"/>
          <w:vertAlign w:val="subscript"/>
        </w:rPr>
        <w:t>2</w:t>
      </w:r>
      <w:r>
        <w:rPr>
          <w:rFonts w:eastAsia="仿宋_GB2312"/>
          <w:color w:val="1A1A1A" w:themeColor="background1" w:themeShade="1A"/>
          <w:sz w:val="32"/>
          <w:szCs w:val="32"/>
        </w:rPr>
        <w:t>浓度分别改善</w:t>
      </w:r>
      <w:r>
        <w:rPr>
          <w:rFonts w:hint="eastAsia" w:eastAsia="仿宋_GB2312"/>
          <w:color w:val="1A1A1A" w:themeColor="background1" w:themeShade="1A"/>
          <w:sz w:val="32"/>
          <w:szCs w:val="32"/>
        </w:rPr>
        <w:t>34.6</w:t>
      </w:r>
      <w:r>
        <w:rPr>
          <w:rFonts w:eastAsia="仿宋_GB2312"/>
          <w:color w:val="1A1A1A" w:themeColor="background1" w:themeShade="1A"/>
          <w:sz w:val="32"/>
          <w:szCs w:val="32"/>
        </w:rPr>
        <w:t>%、</w:t>
      </w:r>
      <w:r>
        <w:rPr>
          <w:rFonts w:hint="eastAsia" w:eastAsia="仿宋_GB2312"/>
          <w:color w:val="1A1A1A" w:themeColor="background1" w:themeShade="1A"/>
          <w:sz w:val="32"/>
          <w:szCs w:val="32"/>
        </w:rPr>
        <w:t>28.5</w:t>
      </w:r>
      <w:r>
        <w:rPr>
          <w:rFonts w:eastAsia="仿宋_GB2312"/>
          <w:color w:val="1A1A1A" w:themeColor="background1" w:themeShade="1A"/>
          <w:sz w:val="32"/>
          <w:szCs w:val="32"/>
        </w:rPr>
        <w:t>%、</w:t>
      </w:r>
      <w:r>
        <w:rPr>
          <w:rFonts w:hint="eastAsia" w:eastAsia="仿宋_GB2312"/>
          <w:color w:val="1A1A1A" w:themeColor="background1" w:themeShade="1A"/>
          <w:sz w:val="32"/>
          <w:szCs w:val="32"/>
        </w:rPr>
        <w:t>62.2</w:t>
      </w:r>
      <w:r>
        <w:rPr>
          <w:rFonts w:eastAsia="仿宋_GB2312"/>
          <w:color w:val="1A1A1A" w:themeColor="background1" w:themeShade="1A"/>
          <w:sz w:val="32"/>
          <w:szCs w:val="32"/>
        </w:rPr>
        <w:t>%、</w:t>
      </w:r>
      <w:r>
        <w:rPr>
          <w:rFonts w:hint="eastAsia" w:eastAsia="仿宋_GB2312"/>
          <w:color w:val="1A1A1A" w:themeColor="background1" w:themeShade="1A"/>
          <w:sz w:val="32"/>
          <w:szCs w:val="32"/>
        </w:rPr>
        <w:t>26.5</w:t>
      </w:r>
      <w:r>
        <w:rPr>
          <w:rFonts w:eastAsia="仿宋_GB2312"/>
          <w:color w:val="1A1A1A" w:themeColor="background1" w:themeShade="1A"/>
          <w:sz w:val="32"/>
          <w:szCs w:val="32"/>
        </w:rPr>
        <w:t>%；坚守饮用水水源地保护区生态红线，加大饮用水源地水质监测，全区饮用水水源水质达标率始终保持在100%</w:t>
      </w:r>
      <w:r>
        <w:rPr>
          <w:rFonts w:hint="eastAsia" w:eastAsia="仿宋_GB2312"/>
          <w:color w:val="1A1A1A" w:themeColor="background1" w:themeShade="1A"/>
          <w:sz w:val="32"/>
          <w:szCs w:val="32"/>
        </w:rPr>
        <w:t>；水环境质量持续改善，2020年，国、省、市控考核断面，均达到考核目标要求；</w:t>
      </w:r>
      <w:r>
        <w:rPr>
          <w:rFonts w:eastAsia="仿宋_GB2312"/>
          <w:color w:val="1A1A1A" w:themeColor="background1" w:themeShade="1A"/>
          <w:sz w:val="32"/>
          <w:szCs w:val="32"/>
        </w:rPr>
        <w:t>农业农村污染治理全面开展，危险废物利用处置能力大幅提升，污染地块安全利用率达到100%。</w:t>
      </w:r>
      <w:r>
        <w:rPr>
          <w:rFonts w:hint="eastAsia" w:eastAsia="仿宋_GB2312"/>
          <w:color w:val="1A1A1A" w:themeColor="background1" w:themeShade="1A"/>
          <w:sz w:val="32"/>
          <w:szCs w:val="32"/>
        </w:rPr>
        <w:t>水生态功能逐步恢复，山东太阳纸业股份有限公司废水治理节能减排及资源化工程获得生态环境部和中央文明办“环保设施向公众开放”十佳环保设施，</w:t>
      </w:r>
      <w:r>
        <w:rPr>
          <w:rFonts w:eastAsia="仿宋_GB2312"/>
          <w:color w:val="1A1A1A" w:themeColor="background1" w:themeShade="1A"/>
          <w:sz w:val="32"/>
          <w:szCs w:val="32"/>
        </w:rPr>
        <w:t>龙湖湿地公园建成开放，泗河堤顶道路竣工通车，花海彩田、青莲公园、马桥湿地、牛楼小镇、大禹公园等重点项目投入运行，在全市率先实现泗河主河流域全域开发，泗河水利风景区被评为省级水利风景区。泗河兖州段、府河新兖段成功入选省级美丽示范河湖。</w:t>
      </w:r>
      <w:r>
        <w:rPr>
          <w:rFonts w:hint="eastAsia" w:eastAsia="仿宋_GB2312"/>
          <w:color w:val="1A1A1A" w:themeColor="background1" w:themeShade="1A"/>
          <w:sz w:val="32"/>
          <w:szCs w:val="32"/>
        </w:rPr>
        <w:t>采煤塌陷地治理成效显著。截至</w:t>
      </w:r>
      <w:r>
        <w:rPr>
          <w:rFonts w:eastAsia="仿宋_GB2312"/>
          <w:color w:val="1A1A1A" w:themeColor="background1" w:themeShade="1A"/>
          <w:sz w:val="32"/>
          <w:szCs w:val="32"/>
        </w:rPr>
        <w:t>2020</w:t>
      </w:r>
      <w:r>
        <w:rPr>
          <w:rFonts w:hint="eastAsia" w:eastAsia="仿宋_GB2312"/>
          <w:color w:val="1A1A1A" w:themeColor="background1" w:themeShade="1A"/>
          <w:sz w:val="32"/>
          <w:szCs w:val="32"/>
        </w:rPr>
        <w:t>年底，兖州区稳沉采煤塌陷地</w:t>
      </w:r>
      <w:r>
        <w:rPr>
          <w:rFonts w:eastAsia="仿宋_GB2312"/>
          <w:color w:val="1A1A1A" w:themeColor="background1" w:themeShade="1A"/>
          <w:sz w:val="32"/>
          <w:szCs w:val="32"/>
        </w:rPr>
        <w:t>3363.19</w:t>
      </w:r>
      <w:r>
        <w:rPr>
          <w:rFonts w:hint="eastAsia" w:eastAsia="仿宋_GB2312"/>
          <w:color w:val="1A1A1A" w:themeColor="background1" w:themeShade="1A"/>
          <w:sz w:val="32"/>
          <w:szCs w:val="32"/>
        </w:rPr>
        <w:t>公顷，治理采煤塌陷地</w:t>
      </w:r>
      <w:r>
        <w:rPr>
          <w:rFonts w:eastAsia="仿宋_GB2312"/>
          <w:color w:val="1A1A1A" w:themeColor="background1" w:themeShade="1A"/>
          <w:sz w:val="32"/>
          <w:szCs w:val="32"/>
        </w:rPr>
        <w:t>2781.65</w:t>
      </w:r>
      <w:r>
        <w:rPr>
          <w:rFonts w:hint="eastAsia" w:eastAsia="仿宋_GB2312"/>
          <w:color w:val="1A1A1A" w:themeColor="background1" w:themeShade="1A"/>
          <w:sz w:val="32"/>
          <w:szCs w:val="32"/>
        </w:rPr>
        <w:t>公顷，累计实施采煤塌陷地治理项目</w:t>
      </w:r>
      <w:r>
        <w:rPr>
          <w:rFonts w:eastAsia="仿宋_GB2312"/>
          <w:color w:val="1A1A1A" w:themeColor="background1" w:themeShade="1A"/>
          <w:sz w:val="32"/>
          <w:szCs w:val="32"/>
        </w:rPr>
        <w:t>22</w:t>
      </w:r>
      <w:r>
        <w:rPr>
          <w:rFonts w:hint="eastAsia" w:eastAsia="仿宋_GB2312"/>
          <w:color w:val="1A1A1A" w:themeColor="background1" w:themeShade="1A"/>
          <w:sz w:val="32"/>
          <w:szCs w:val="32"/>
        </w:rPr>
        <w:t>个，占稳沉采煤塌陷地面积的</w:t>
      </w:r>
      <w:r>
        <w:rPr>
          <w:rFonts w:eastAsia="仿宋_GB2312"/>
          <w:color w:val="1A1A1A" w:themeColor="background1" w:themeShade="1A"/>
          <w:sz w:val="32"/>
          <w:szCs w:val="32"/>
        </w:rPr>
        <w:t>82.71%</w:t>
      </w:r>
      <w:r>
        <w:rPr>
          <w:rFonts w:hint="eastAsia" w:eastAsia="仿宋_GB2312"/>
          <w:color w:val="1A1A1A" w:themeColor="background1" w:themeShade="1A"/>
          <w:sz w:val="32"/>
          <w:szCs w:val="32"/>
        </w:rPr>
        <w:t>，其中，累计完成治理兖州区历史遗留采煤塌陷地面积</w:t>
      </w:r>
      <w:r>
        <w:rPr>
          <w:rFonts w:eastAsia="仿宋_GB2312"/>
          <w:color w:val="1A1A1A" w:themeColor="background1" w:themeShade="1A"/>
          <w:sz w:val="32"/>
          <w:szCs w:val="32"/>
        </w:rPr>
        <w:t>1101.31</w:t>
      </w:r>
      <w:r>
        <w:rPr>
          <w:rFonts w:hint="eastAsia" w:eastAsia="仿宋_GB2312"/>
          <w:color w:val="1A1A1A" w:themeColor="background1" w:themeShade="1A"/>
          <w:sz w:val="32"/>
          <w:szCs w:val="32"/>
        </w:rPr>
        <w:t>公顷，占历史遗留采煤塌陷地面积的</w:t>
      </w:r>
      <w:r>
        <w:rPr>
          <w:rFonts w:eastAsia="仿宋_GB2312"/>
          <w:color w:val="1A1A1A" w:themeColor="background1" w:themeShade="1A"/>
          <w:sz w:val="32"/>
          <w:szCs w:val="32"/>
        </w:rPr>
        <w:t>83.99%</w:t>
      </w:r>
      <w:r>
        <w:rPr>
          <w:rFonts w:hint="eastAsia" w:eastAsia="仿宋_GB2312"/>
          <w:color w:val="1A1A1A" w:themeColor="background1" w:themeShade="1A"/>
          <w:sz w:val="32"/>
          <w:szCs w:val="32"/>
        </w:rPr>
        <w:t>。全面完成了双“</w:t>
      </w:r>
      <w:r>
        <w:rPr>
          <w:rFonts w:eastAsia="仿宋_GB2312"/>
          <w:color w:val="1A1A1A" w:themeColor="background1" w:themeShade="1A"/>
          <w:sz w:val="32"/>
          <w:szCs w:val="32"/>
        </w:rPr>
        <w:t>80%</w:t>
      </w:r>
      <w:r>
        <w:rPr>
          <w:rFonts w:hint="eastAsia" w:eastAsia="仿宋_GB2312"/>
          <w:color w:val="1A1A1A" w:themeColor="background1" w:themeShade="1A"/>
          <w:sz w:val="32"/>
          <w:szCs w:val="32"/>
        </w:rPr>
        <w:t>”任务目标，取得了较好的经济、社会和生态效益。</w:t>
      </w:r>
    </w:p>
    <w:p>
      <w:pPr>
        <w:spacing w:line="360" w:lineRule="auto"/>
        <w:ind w:firstLine="642" w:firstLineChars="200"/>
        <w:rPr>
          <w:rFonts w:eastAsia="仿宋_GB2312"/>
          <w:color w:val="1A1A1A" w:themeColor="background1" w:themeShade="1A"/>
          <w:sz w:val="32"/>
          <w:szCs w:val="32"/>
        </w:rPr>
      </w:pPr>
      <w:r>
        <w:rPr>
          <w:rFonts w:eastAsia="楷体_GB2312"/>
          <w:b/>
          <w:bCs/>
          <w:color w:val="1A1A1A" w:themeColor="background1" w:themeShade="1A"/>
          <w:sz w:val="32"/>
          <w:szCs w:val="32"/>
        </w:rPr>
        <w:t>制度体系不断完善。</w:t>
      </w:r>
      <w:r>
        <w:rPr>
          <w:rFonts w:eastAsia="仿宋_GB2312"/>
          <w:color w:val="1A1A1A" w:themeColor="background1" w:themeShade="1A"/>
          <w:sz w:val="32"/>
          <w:szCs w:val="32"/>
        </w:rPr>
        <w:t>深入推进生态文明体制改革，成立生态环境委员会。制定出台《济宁市</w:t>
      </w:r>
      <w:r>
        <w:rPr>
          <w:rFonts w:hint="eastAsia" w:eastAsia="仿宋_GB2312"/>
          <w:color w:val="1A1A1A" w:themeColor="background1" w:themeShade="1A"/>
          <w:sz w:val="32"/>
          <w:szCs w:val="32"/>
        </w:rPr>
        <w:t>兖州区</w:t>
      </w:r>
      <w:r>
        <w:rPr>
          <w:rFonts w:eastAsia="仿宋_GB2312"/>
          <w:color w:val="1A1A1A" w:themeColor="background1" w:themeShade="1A"/>
          <w:sz w:val="32"/>
          <w:szCs w:val="32"/>
        </w:rPr>
        <w:t>各级党委、政府及有关部门环境保护工作职责》，明确</w:t>
      </w:r>
      <w:r>
        <w:rPr>
          <w:rFonts w:hint="eastAsia" w:eastAsia="仿宋_GB2312"/>
          <w:color w:val="1A1A1A" w:themeColor="background1" w:themeShade="1A"/>
          <w:sz w:val="32"/>
          <w:szCs w:val="32"/>
        </w:rPr>
        <w:t>各镇街、各部门</w:t>
      </w:r>
      <w:r>
        <w:rPr>
          <w:rFonts w:eastAsia="仿宋_GB2312"/>
          <w:color w:val="1A1A1A" w:themeColor="background1" w:themeShade="1A"/>
          <w:sz w:val="32"/>
          <w:szCs w:val="32"/>
        </w:rPr>
        <w:t>、社会各方面生态环境保护职责。建立健全考核奖惩体系，制定生态环境保护考核、问责、激励系列办法，实现工作压力层层传导。严格执行排污许可制度，</w:t>
      </w:r>
      <w:r>
        <w:rPr>
          <w:rFonts w:hint="eastAsia" w:eastAsia="仿宋_GB2312"/>
          <w:color w:val="1A1A1A" w:themeColor="background1" w:themeShade="1A"/>
          <w:sz w:val="32"/>
          <w:szCs w:val="32"/>
        </w:rPr>
        <w:t>对固定污染源实施“一证式”管理，实现了排污许可全覆盖，</w:t>
      </w:r>
      <w:r>
        <w:rPr>
          <w:rFonts w:eastAsia="仿宋_GB2312"/>
          <w:color w:val="1A1A1A" w:themeColor="background1" w:themeShade="1A"/>
          <w:sz w:val="32"/>
          <w:szCs w:val="32"/>
        </w:rPr>
        <w:t>全</w:t>
      </w:r>
      <w:r>
        <w:rPr>
          <w:rFonts w:hint="eastAsia" w:eastAsia="仿宋_GB2312"/>
          <w:color w:val="1A1A1A" w:themeColor="background1" w:themeShade="1A"/>
          <w:sz w:val="32"/>
          <w:szCs w:val="32"/>
        </w:rPr>
        <w:t>区167</w:t>
      </w:r>
      <w:r>
        <w:rPr>
          <w:rFonts w:eastAsia="仿宋_GB2312"/>
          <w:color w:val="1A1A1A" w:themeColor="background1" w:themeShade="1A"/>
          <w:sz w:val="32"/>
          <w:szCs w:val="32"/>
        </w:rPr>
        <w:t>家企业领取排污许可证。</w:t>
      </w:r>
    </w:p>
    <w:p>
      <w:pPr>
        <w:spacing w:line="360" w:lineRule="auto"/>
        <w:ind w:firstLine="642" w:firstLineChars="200"/>
        <w:rPr>
          <w:rFonts w:eastAsia="仿宋_GB2312"/>
          <w:color w:val="1A1A1A" w:themeColor="background1" w:themeShade="1A"/>
          <w:sz w:val="32"/>
          <w:szCs w:val="32"/>
        </w:rPr>
      </w:pPr>
      <w:r>
        <w:rPr>
          <w:rFonts w:eastAsia="楷体_GB2312"/>
          <w:b/>
          <w:bCs/>
          <w:color w:val="1A1A1A" w:themeColor="background1" w:themeShade="1A"/>
          <w:sz w:val="32"/>
          <w:szCs w:val="32"/>
        </w:rPr>
        <w:t>精准治污水平大幅提升。</w:t>
      </w:r>
      <w:r>
        <w:rPr>
          <w:rFonts w:eastAsia="仿宋_GB2312"/>
          <w:color w:val="1A1A1A" w:themeColor="background1" w:themeShade="1A"/>
          <w:sz w:val="32"/>
          <w:szCs w:val="32"/>
        </w:rPr>
        <w:t>先后制定出台大气、水污染防治实施方案、考核办法，精准管控各领域污染。实施靶向治气。实行大气治理“十条线”工作法，分行业领域推动治气工作。实施重点示范区联防联控，高效管控各类污染源。实施秋冬季绿色管控，</w:t>
      </w:r>
      <w:r>
        <w:rPr>
          <w:rFonts w:hint="eastAsia" w:eastAsia="仿宋_GB2312"/>
          <w:color w:val="1A1A1A" w:themeColor="background1" w:themeShade="1A"/>
          <w:sz w:val="32"/>
          <w:szCs w:val="32"/>
        </w:rPr>
        <w:t>按照绿色错峰、绿色施工、绿色应急豁免标准，指导企业深化治理，通过绿色管控推动全区重点行业污染治理深化升级。2020年年底前</w:t>
      </w:r>
      <w:r>
        <w:rPr>
          <w:rFonts w:eastAsia="仿宋_GB2312"/>
          <w:color w:val="1A1A1A" w:themeColor="background1" w:themeShade="1A"/>
          <w:sz w:val="32"/>
          <w:szCs w:val="32"/>
        </w:rPr>
        <w:t>完成</w:t>
      </w:r>
      <w:r>
        <w:rPr>
          <w:rFonts w:hint="eastAsia" w:eastAsia="仿宋_GB2312"/>
          <w:color w:val="1A1A1A" w:themeColor="background1" w:themeShade="1A"/>
          <w:sz w:val="32"/>
          <w:szCs w:val="32"/>
        </w:rPr>
        <w:t>了</w:t>
      </w:r>
      <w:r>
        <w:rPr>
          <w:rFonts w:eastAsia="仿宋_GB2312"/>
          <w:color w:val="1A1A1A" w:themeColor="background1" w:themeShade="1A"/>
          <w:sz w:val="32"/>
          <w:szCs w:val="32"/>
        </w:rPr>
        <w:t>超低排放改造燃煤锅炉30台，低氮燃烧改造燃气锅炉46台，深度治理挥发性有机物企业155家、工业窑炉80座。统筹系统治水。严格落实“河长制”，实施“一河</w:t>
      </w:r>
      <w:r>
        <w:rPr>
          <w:rFonts w:hint="eastAsia" w:eastAsia="仿宋_GB2312"/>
          <w:color w:val="1A1A1A" w:themeColor="background1" w:themeShade="1A"/>
          <w:sz w:val="32"/>
          <w:szCs w:val="32"/>
        </w:rPr>
        <w:t>一策</w:t>
      </w:r>
      <w:r>
        <w:rPr>
          <w:rFonts w:eastAsia="仿宋_GB2312"/>
          <w:color w:val="1A1A1A" w:themeColor="background1" w:themeShade="1A"/>
          <w:sz w:val="32"/>
          <w:szCs w:val="32"/>
        </w:rPr>
        <w:t>一专班”包保治污，每条河流明确专人专班，落实保障资金，</w:t>
      </w:r>
      <w:r>
        <w:rPr>
          <w:rFonts w:hint="eastAsia" w:eastAsia="仿宋_GB2312"/>
          <w:color w:val="1A1A1A" w:themeColor="background1" w:themeShade="1A"/>
          <w:sz w:val="32"/>
          <w:szCs w:val="32"/>
        </w:rPr>
        <w:t>重点河流断面建设水质自动在线监测站</w:t>
      </w:r>
      <w:r>
        <w:rPr>
          <w:rFonts w:eastAsia="仿宋_GB2312"/>
          <w:color w:val="1A1A1A" w:themeColor="background1" w:themeShade="1A"/>
          <w:sz w:val="32"/>
          <w:szCs w:val="32"/>
        </w:rPr>
        <w:t>，开展日巡查、日监测、日调度</w:t>
      </w:r>
      <w:r>
        <w:rPr>
          <w:rFonts w:hint="eastAsia" w:eastAsia="仿宋_GB2312"/>
          <w:color w:val="1A1A1A" w:themeColor="background1" w:themeShade="1A"/>
          <w:sz w:val="32"/>
          <w:szCs w:val="32"/>
        </w:rPr>
        <w:t>，</w:t>
      </w:r>
      <w:r>
        <w:rPr>
          <w:rFonts w:eastAsia="仿宋_GB2312"/>
          <w:color w:val="1A1A1A" w:themeColor="background1" w:themeShade="1A"/>
          <w:sz w:val="32"/>
          <w:szCs w:val="32"/>
        </w:rPr>
        <w:t>做到问题早发现、早处置。</w:t>
      </w:r>
      <w:r>
        <w:rPr>
          <w:rFonts w:hint="eastAsia" w:eastAsia="仿宋_GB2312"/>
          <w:color w:val="1A1A1A" w:themeColor="background1" w:themeShade="1A"/>
          <w:sz w:val="32"/>
          <w:szCs w:val="32"/>
        </w:rPr>
        <w:t>扎实</w:t>
      </w:r>
      <w:r>
        <w:rPr>
          <w:rFonts w:eastAsia="仿宋_GB2312"/>
          <w:color w:val="1A1A1A" w:themeColor="background1" w:themeShade="1A"/>
          <w:sz w:val="32"/>
          <w:szCs w:val="32"/>
        </w:rPr>
        <w:t>推进“四减四增”行动，强力淘汰“散乱污”及落后产能，</w:t>
      </w:r>
      <w:r>
        <w:rPr>
          <w:rFonts w:hint="eastAsia" w:eastAsia="仿宋_GB2312"/>
          <w:color w:val="1A1A1A" w:themeColor="background1" w:themeShade="1A"/>
          <w:sz w:val="32"/>
          <w:szCs w:val="32"/>
        </w:rPr>
        <w:t>2017年年底前</w:t>
      </w:r>
      <w:r>
        <w:rPr>
          <w:rFonts w:eastAsia="仿宋_GB2312"/>
          <w:color w:val="1A1A1A" w:themeColor="background1" w:themeShade="1A"/>
          <w:sz w:val="32"/>
          <w:szCs w:val="32"/>
        </w:rPr>
        <w:t>共取缔改造燃煤小锅炉327台，清理取缔“散乱污”155家；</w:t>
      </w:r>
      <w:r>
        <w:rPr>
          <w:rFonts w:hint="eastAsia" w:eastAsia="仿宋_GB2312"/>
          <w:color w:val="1A1A1A" w:themeColor="background1" w:themeShade="1A"/>
          <w:sz w:val="32"/>
          <w:szCs w:val="32"/>
        </w:rPr>
        <w:t>2020年年底前</w:t>
      </w:r>
      <w:r>
        <w:rPr>
          <w:rFonts w:eastAsia="仿宋_GB2312"/>
          <w:color w:val="1A1A1A" w:themeColor="background1" w:themeShade="1A"/>
          <w:sz w:val="32"/>
          <w:szCs w:val="32"/>
        </w:rPr>
        <w:t>关停煤电机组7台、砖瓦企业3家、石材加工企业1家，淘汰国三及以下柴油货车1317辆。</w:t>
      </w:r>
    </w:p>
    <w:p>
      <w:pPr>
        <w:spacing w:line="360" w:lineRule="auto"/>
        <w:ind w:firstLine="642" w:firstLineChars="200"/>
        <w:rPr>
          <w:rFonts w:eastAsia="仿宋_GB2312"/>
          <w:color w:val="1A1A1A" w:themeColor="background1" w:themeShade="1A"/>
          <w:sz w:val="32"/>
          <w:szCs w:val="32"/>
        </w:rPr>
      </w:pPr>
      <w:bookmarkStart w:id="3" w:name="_Toc116030699"/>
      <w:r>
        <w:rPr>
          <w:rFonts w:eastAsia="仿宋_GB2312"/>
          <w:b/>
          <w:bCs/>
          <w:color w:val="1A1A1A" w:themeColor="background1" w:themeShade="1A"/>
          <w:sz w:val="32"/>
          <w:szCs w:val="32"/>
        </w:rPr>
        <w:t>科学监管能力显著增强。</w:t>
      </w:r>
      <w:r>
        <w:rPr>
          <w:rFonts w:hint="eastAsia" w:eastAsia="仿宋_GB2312"/>
          <w:color w:val="1A1A1A" w:themeColor="background1" w:themeShade="1A"/>
          <w:sz w:val="32"/>
          <w:szCs w:val="32"/>
        </w:rPr>
        <w:t>创新</w:t>
      </w:r>
      <w:r>
        <w:rPr>
          <w:rFonts w:eastAsia="仿宋_GB2312"/>
          <w:color w:val="1A1A1A" w:themeColor="background1" w:themeShade="1A"/>
          <w:sz w:val="32"/>
          <w:szCs w:val="32"/>
        </w:rPr>
        <w:t>建立智慧环保</w:t>
      </w:r>
      <w:r>
        <w:rPr>
          <w:rFonts w:hint="eastAsia" w:eastAsia="仿宋_GB2312"/>
          <w:color w:val="1A1A1A" w:themeColor="background1" w:themeShade="1A"/>
          <w:sz w:val="32"/>
          <w:szCs w:val="32"/>
        </w:rPr>
        <w:t>督导调度</w:t>
      </w:r>
      <w:r>
        <w:rPr>
          <w:rFonts w:eastAsia="仿宋_GB2312"/>
          <w:color w:val="1A1A1A" w:themeColor="background1" w:themeShade="1A"/>
          <w:sz w:val="32"/>
          <w:szCs w:val="32"/>
        </w:rPr>
        <w:t>指挥中心，累计投资</w:t>
      </w:r>
      <w:r>
        <w:rPr>
          <w:rFonts w:hint="eastAsia" w:eastAsia="仿宋_GB2312"/>
          <w:color w:val="1A1A1A" w:themeColor="background1" w:themeShade="1A"/>
          <w:sz w:val="32"/>
          <w:szCs w:val="32"/>
        </w:rPr>
        <w:t>400余万</w:t>
      </w:r>
      <w:r>
        <w:rPr>
          <w:rFonts w:eastAsia="仿宋_GB2312"/>
          <w:color w:val="1A1A1A" w:themeColor="background1" w:themeShade="1A"/>
          <w:sz w:val="32"/>
          <w:szCs w:val="32"/>
        </w:rPr>
        <w:t>元，</w:t>
      </w:r>
      <w:r>
        <w:rPr>
          <w:rFonts w:hint="eastAsia" w:eastAsia="仿宋_GB2312"/>
          <w:color w:val="1A1A1A" w:themeColor="background1" w:themeShade="1A"/>
          <w:sz w:val="32"/>
          <w:szCs w:val="32"/>
        </w:rPr>
        <w:t>接入废气、废水、污水厂、地表水和环境空气等在线监测数据、接入企业用电监控、企业门禁卡口监控、企业视频监控等。指挥中心实行24小时值班值守制度，线上发现环境问题和超标告警后，立即进行转办，精准控制企业排污情况，将各类环境污染消灭在萌芽状态，较好地促进环境监管工作的开展。</w:t>
      </w:r>
      <w:r>
        <w:rPr>
          <w:rFonts w:eastAsia="仿宋_GB2312"/>
          <w:color w:val="1A1A1A" w:themeColor="background1" w:themeShade="1A"/>
          <w:sz w:val="32"/>
          <w:szCs w:val="32"/>
        </w:rPr>
        <w:t>创新实施用电监管，</w:t>
      </w:r>
      <w:r>
        <w:rPr>
          <w:rFonts w:hint="eastAsia" w:eastAsia="仿宋_GB2312"/>
          <w:color w:val="1A1A1A" w:themeColor="background1" w:themeShade="1A"/>
          <w:sz w:val="32"/>
          <w:szCs w:val="32"/>
        </w:rPr>
        <w:t>89</w:t>
      </w:r>
      <w:r>
        <w:rPr>
          <w:rFonts w:eastAsia="仿宋_GB2312"/>
          <w:color w:val="1A1A1A" w:themeColor="background1" w:themeShade="1A"/>
          <w:sz w:val="32"/>
          <w:szCs w:val="32"/>
        </w:rPr>
        <w:t>家企业接入用电监控平台，对企业生产设备与环保治污设施的用电情况进行实时比对监控，发生异常生产及时报警提醒</w:t>
      </w:r>
      <w:r>
        <w:rPr>
          <w:rFonts w:hint="eastAsia" w:eastAsia="仿宋_GB2312"/>
          <w:color w:val="1A1A1A" w:themeColor="background1" w:themeShade="1A"/>
          <w:sz w:val="32"/>
          <w:szCs w:val="32"/>
        </w:rPr>
        <w:t>。创新建立网格化环境监管队伍，设立区级环境监管网格1个、镇街网格10个，2017年5月招聘环保辅助管理人员20名，2018年8月招聘环保专职网格员41名。将日常监管基本工作任务和职责落实到具体单位和具体人员，使网格内各重点排污单位、主要环境问题得到有效监管，动态掌握污染源底数、及时消除环境问题。</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r>
        <w:rPr>
          <w:rFonts w:eastAsia="楷体_GB2312"/>
          <w:b/>
          <w:color w:val="1A1A1A" w:themeColor="background1" w:themeShade="1A"/>
          <w:sz w:val="32"/>
          <w:szCs w:val="32"/>
        </w:rPr>
        <w:t>第二节  “十四五”生态环境保护面临压力与挑战</w:t>
      </w:r>
      <w:bookmarkEnd w:id="3"/>
    </w:p>
    <w:p>
      <w:pPr>
        <w:spacing w:line="360" w:lineRule="auto"/>
        <w:ind w:firstLine="640" w:firstLineChars="200"/>
        <w:rPr>
          <w:rFonts w:eastAsia="仿宋_GB2312"/>
          <w:color w:val="1A1A1A" w:themeColor="background1" w:themeShade="1A"/>
          <w:sz w:val="32"/>
          <w:szCs w:val="32"/>
        </w:rPr>
      </w:pPr>
      <w:bookmarkStart w:id="4" w:name="_Hlk41069448"/>
      <w:r>
        <w:rPr>
          <w:rFonts w:eastAsia="仿宋_GB2312"/>
          <w:color w:val="1A1A1A" w:themeColor="background1" w:themeShade="1A"/>
          <w:sz w:val="32"/>
          <w:szCs w:val="32"/>
        </w:rPr>
        <w:t>“十四五”时期，</w:t>
      </w:r>
      <w:r>
        <w:rPr>
          <w:rFonts w:hint="eastAsia" w:eastAsia="仿宋_GB2312"/>
          <w:color w:val="1A1A1A" w:themeColor="background1" w:themeShade="1A"/>
          <w:sz w:val="32"/>
          <w:szCs w:val="32"/>
        </w:rPr>
        <w:t>兖州区</w:t>
      </w:r>
      <w:r>
        <w:rPr>
          <w:rFonts w:eastAsia="仿宋_GB2312"/>
          <w:color w:val="1A1A1A" w:themeColor="background1" w:themeShade="1A"/>
          <w:sz w:val="32"/>
          <w:szCs w:val="32"/>
        </w:rPr>
        <w:t>生态环境保护仍然处于关键期、攻坚期、窗口期，与</w:t>
      </w:r>
      <w:r>
        <w:rPr>
          <w:rFonts w:hint="eastAsia" w:eastAsia="仿宋_GB2312"/>
          <w:color w:val="1A1A1A" w:themeColor="background1" w:themeShade="1A"/>
          <w:sz w:val="32"/>
          <w:szCs w:val="32"/>
        </w:rPr>
        <w:t>生态强区</w:t>
      </w:r>
      <w:r>
        <w:rPr>
          <w:rFonts w:eastAsia="仿宋_GB2312"/>
          <w:color w:val="1A1A1A" w:themeColor="background1" w:themeShade="1A"/>
          <w:sz w:val="32"/>
          <w:szCs w:val="32"/>
        </w:rPr>
        <w:t>建设要求相比，生态环境保护还有较大差距，实现生态环境持续改善面临诸多挑战。</w:t>
      </w:r>
    </w:p>
    <w:p>
      <w:pPr>
        <w:spacing w:line="360" w:lineRule="auto"/>
        <w:ind w:firstLine="642" w:firstLineChars="200"/>
        <w:rPr>
          <w:rFonts w:eastAsia="仿宋_GB2312"/>
          <w:color w:val="1A1A1A" w:themeColor="background1" w:themeShade="1A"/>
          <w:sz w:val="32"/>
          <w:szCs w:val="32"/>
        </w:rPr>
      </w:pPr>
      <w:r>
        <w:rPr>
          <w:rFonts w:hint="eastAsia" w:eastAsia="楷体_GB2312"/>
          <w:b/>
          <w:bCs/>
          <w:color w:val="1A1A1A" w:themeColor="background1" w:themeShade="1A"/>
          <w:sz w:val="32"/>
          <w:szCs w:val="32"/>
        </w:rPr>
        <w:t>空气质量达标压力较大</w:t>
      </w:r>
      <w:r>
        <w:rPr>
          <w:rFonts w:eastAsia="楷体_GB2312"/>
          <w:b/>
          <w:bCs/>
          <w:color w:val="1A1A1A" w:themeColor="background1" w:themeShade="1A"/>
          <w:sz w:val="32"/>
          <w:szCs w:val="32"/>
        </w:rPr>
        <w:t>。</w:t>
      </w:r>
      <w:r>
        <w:rPr>
          <w:rFonts w:eastAsia="仿宋_GB2312"/>
          <w:color w:val="1A1A1A" w:themeColor="background1" w:themeShade="1A"/>
          <w:sz w:val="32"/>
          <w:szCs w:val="32"/>
        </w:rPr>
        <w:t>2020年，</w:t>
      </w:r>
      <w:r>
        <w:rPr>
          <w:rFonts w:hint="eastAsia" w:eastAsia="仿宋_GB2312"/>
          <w:color w:val="1A1A1A" w:themeColor="background1" w:themeShade="1A"/>
          <w:sz w:val="32"/>
          <w:szCs w:val="32"/>
        </w:rPr>
        <w:t>兖州区</w:t>
      </w:r>
      <w:r>
        <w:rPr>
          <w:rFonts w:eastAsia="仿宋_GB2312"/>
          <w:color w:val="1A1A1A" w:themeColor="background1" w:themeShade="1A"/>
          <w:sz w:val="32"/>
          <w:szCs w:val="32"/>
        </w:rPr>
        <w:t>PM</w:t>
      </w:r>
      <w:r>
        <w:rPr>
          <w:rFonts w:eastAsia="仿宋_GB2312"/>
          <w:color w:val="1A1A1A" w:themeColor="background1" w:themeShade="1A"/>
          <w:sz w:val="32"/>
          <w:szCs w:val="32"/>
          <w:vertAlign w:val="subscript"/>
        </w:rPr>
        <w:t>2.5</w:t>
      </w:r>
      <w:r>
        <w:rPr>
          <w:rFonts w:eastAsia="仿宋_GB2312"/>
          <w:color w:val="1A1A1A" w:themeColor="background1" w:themeShade="1A"/>
          <w:sz w:val="32"/>
          <w:szCs w:val="32"/>
        </w:rPr>
        <w:t>浓度</w:t>
      </w:r>
      <w:r>
        <w:rPr>
          <w:rFonts w:hint="eastAsia" w:eastAsia="仿宋_GB2312"/>
          <w:color w:val="1A1A1A" w:themeColor="background1" w:themeShade="1A"/>
          <w:sz w:val="32"/>
          <w:szCs w:val="32"/>
        </w:rPr>
        <w:t>51</w:t>
      </w:r>
      <w:r>
        <w:rPr>
          <w:rFonts w:eastAsia="仿宋_GB2312"/>
          <w:color w:val="1A1A1A" w:themeColor="background1" w:themeShade="1A"/>
          <w:sz w:val="32"/>
          <w:szCs w:val="32"/>
        </w:rPr>
        <w:t>微克/立方米，超过国家环境空气质量二级标准</w:t>
      </w:r>
      <w:r>
        <w:rPr>
          <w:rFonts w:hint="eastAsia" w:eastAsia="仿宋_GB2312"/>
          <w:color w:val="1A1A1A" w:themeColor="background1" w:themeShade="1A"/>
          <w:sz w:val="32"/>
          <w:szCs w:val="32"/>
        </w:rPr>
        <w:t>45.7</w:t>
      </w:r>
      <w:r>
        <w:rPr>
          <w:rFonts w:eastAsia="仿宋_GB2312"/>
          <w:color w:val="1A1A1A" w:themeColor="background1" w:themeShade="1A"/>
          <w:sz w:val="32"/>
          <w:szCs w:val="32"/>
        </w:rPr>
        <w:t>%，空气质量优良天数比例</w:t>
      </w:r>
      <w:r>
        <w:rPr>
          <w:rFonts w:hint="eastAsia" w:eastAsia="仿宋_GB2312"/>
          <w:color w:val="1A1A1A" w:themeColor="background1" w:themeShade="1A"/>
          <w:sz w:val="32"/>
          <w:szCs w:val="32"/>
        </w:rPr>
        <w:t>65.3</w:t>
      </w:r>
      <w:r>
        <w:rPr>
          <w:rFonts w:eastAsia="仿宋_GB2312"/>
          <w:color w:val="1A1A1A" w:themeColor="background1" w:themeShade="1A"/>
          <w:sz w:val="32"/>
          <w:szCs w:val="32"/>
        </w:rPr>
        <w:t>%，比全省平均水平低</w:t>
      </w:r>
      <w:r>
        <w:rPr>
          <w:rFonts w:hint="eastAsia" w:eastAsia="仿宋_GB2312"/>
          <w:color w:val="1A1A1A" w:themeColor="background1" w:themeShade="1A"/>
          <w:sz w:val="32"/>
          <w:szCs w:val="32"/>
        </w:rPr>
        <w:t>3.8</w:t>
      </w:r>
      <w:r>
        <w:rPr>
          <w:rFonts w:eastAsia="仿宋_GB2312"/>
          <w:color w:val="1A1A1A" w:themeColor="background1" w:themeShade="1A"/>
          <w:sz w:val="32"/>
          <w:szCs w:val="32"/>
        </w:rPr>
        <w:t>个百分点，O</w:t>
      </w:r>
      <w:r>
        <w:rPr>
          <w:rFonts w:eastAsia="仿宋_GB2312"/>
          <w:color w:val="1A1A1A" w:themeColor="background1" w:themeShade="1A"/>
          <w:sz w:val="32"/>
          <w:szCs w:val="32"/>
          <w:vertAlign w:val="subscript"/>
        </w:rPr>
        <w:t>3</w:t>
      </w:r>
      <w:r>
        <w:rPr>
          <w:rFonts w:eastAsia="仿宋_GB2312"/>
          <w:color w:val="1A1A1A" w:themeColor="background1" w:themeShade="1A"/>
          <w:sz w:val="32"/>
          <w:szCs w:val="32"/>
        </w:rPr>
        <w:t>浓度上升趋势未得到根本遏制，复合污染问题日益凸显。工业污染治理仍存在薄弱环节，</w:t>
      </w:r>
      <w:r>
        <w:rPr>
          <w:rFonts w:hint="eastAsia" w:eastAsia="仿宋_GB2312"/>
          <w:color w:val="1A1A1A" w:themeColor="background1" w:themeShade="1A"/>
          <w:sz w:val="32"/>
          <w:szCs w:val="32"/>
        </w:rPr>
        <w:t>VOCs全过程管控水平不高，源头替代进展较慢，水泥、焦化等高排放行业尚未进行超低排放改造</w:t>
      </w:r>
      <w:r>
        <w:rPr>
          <w:rFonts w:eastAsia="仿宋_GB2312"/>
          <w:color w:val="1A1A1A" w:themeColor="background1" w:themeShade="1A"/>
          <w:sz w:val="32"/>
          <w:szCs w:val="32"/>
        </w:rPr>
        <w:t>；</w:t>
      </w:r>
      <w:r>
        <w:rPr>
          <w:rFonts w:hint="eastAsia" w:eastAsia="仿宋_GB2312"/>
          <w:color w:val="1A1A1A" w:themeColor="background1" w:themeShade="1A"/>
          <w:sz w:val="32"/>
          <w:szCs w:val="32"/>
        </w:rPr>
        <w:t>扬尘等面源污染问题时有发生。</w:t>
      </w:r>
    </w:p>
    <w:p>
      <w:pPr>
        <w:snapToGrid w:val="0"/>
        <w:spacing w:line="360" w:lineRule="auto"/>
        <w:ind w:firstLine="642" w:firstLineChars="200"/>
        <w:rPr>
          <w:rFonts w:eastAsia="仿宋_GB2312"/>
          <w:color w:val="1A1A1A" w:themeColor="background1" w:themeShade="1A"/>
          <w:sz w:val="32"/>
          <w:szCs w:val="32"/>
        </w:rPr>
      </w:pPr>
      <w:r>
        <w:rPr>
          <w:rFonts w:eastAsia="楷体_GB2312"/>
          <w:b/>
          <w:bCs/>
          <w:color w:val="1A1A1A" w:themeColor="background1" w:themeShade="1A"/>
          <w:sz w:val="32"/>
          <w:szCs w:val="32"/>
        </w:rPr>
        <w:t>流域水质</w:t>
      </w:r>
      <w:r>
        <w:rPr>
          <w:rFonts w:hint="eastAsia" w:eastAsia="楷体_GB2312"/>
          <w:b/>
          <w:bCs/>
          <w:color w:val="1A1A1A" w:themeColor="background1" w:themeShade="1A"/>
          <w:sz w:val="32"/>
          <w:szCs w:val="32"/>
        </w:rPr>
        <w:t>不稳定</w:t>
      </w:r>
      <w:r>
        <w:rPr>
          <w:rFonts w:eastAsia="楷体_GB2312"/>
          <w:b/>
          <w:bCs/>
          <w:color w:val="1A1A1A" w:themeColor="background1" w:themeShade="1A"/>
          <w:sz w:val="32"/>
          <w:szCs w:val="32"/>
        </w:rPr>
        <w:t>。</w:t>
      </w:r>
      <w:r>
        <w:rPr>
          <w:rFonts w:eastAsia="仿宋_GB2312"/>
          <w:color w:val="1A1A1A" w:themeColor="background1" w:themeShade="1A"/>
          <w:sz w:val="32"/>
          <w:szCs w:val="32"/>
        </w:rPr>
        <w:t>河流水质</w:t>
      </w:r>
      <w:r>
        <w:rPr>
          <w:rFonts w:hint="eastAsia" w:eastAsia="仿宋_GB2312"/>
          <w:color w:val="1A1A1A" w:themeColor="background1" w:themeShade="1A"/>
          <w:sz w:val="32"/>
          <w:szCs w:val="32"/>
        </w:rPr>
        <w:t>年均值</w:t>
      </w:r>
      <w:r>
        <w:rPr>
          <w:rFonts w:eastAsia="仿宋_GB2312"/>
          <w:color w:val="1A1A1A" w:themeColor="background1" w:themeShade="1A"/>
          <w:sz w:val="32"/>
          <w:szCs w:val="32"/>
        </w:rPr>
        <w:t>虽达到</w:t>
      </w:r>
      <w:r>
        <w:rPr>
          <w:rFonts w:hint="eastAsia" w:eastAsia="仿宋_GB2312"/>
          <w:color w:val="1A1A1A" w:themeColor="background1" w:themeShade="1A"/>
          <w:sz w:val="32"/>
          <w:szCs w:val="32"/>
        </w:rPr>
        <w:t>上级</w:t>
      </w:r>
      <w:r>
        <w:rPr>
          <w:rFonts w:eastAsia="仿宋_GB2312"/>
          <w:color w:val="1A1A1A" w:themeColor="background1" w:themeShade="1A"/>
          <w:sz w:val="32"/>
          <w:szCs w:val="32"/>
        </w:rPr>
        <w:t>管控目标，但</w:t>
      </w:r>
      <w:r>
        <w:rPr>
          <w:rFonts w:hint="eastAsia" w:eastAsia="仿宋_GB2312"/>
          <w:color w:val="1A1A1A" w:themeColor="background1" w:themeShade="1A"/>
          <w:sz w:val="32"/>
          <w:szCs w:val="32"/>
        </w:rPr>
        <w:t>由于受客水水质较差、生态基流不足、汛期河道沿线面源污染、人工湿地季节性功能退化等因素的影响，</w:t>
      </w:r>
      <w:r>
        <w:rPr>
          <w:rFonts w:eastAsia="仿宋_GB2312"/>
          <w:color w:val="1A1A1A" w:themeColor="background1" w:themeShade="1A"/>
          <w:sz w:val="32"/>
          <w:szCs w:val="32"/>
        </w:rPr>
        <w:t>月度水质超标现象仍有发生。</w:t>
      </w:r>
    </w:p>
    <w:p>
      <w:pPr>
        <w:spacing w:line="360" w:lineRule="auto"/>
        <w:ind w:firstLine="645"/>
        <w:rPr>
          <w:rFonts w:eastAsia="仿宋_GB2312"/>
          <w:color w:val="1A1A1A" w:themeColor="background1" w:themeShade="1A"/>
          <w:sz w:val="32"/>
          <w:szCs w:val="32"/>
        </w:rPr>
      </w:pPr>
      <w:r>
        <w:rPr>
          <w:rFonts w:eastAsia="楷体_GB2312"/>
          <w:b/>
          <w:bCs/>
          <w:color w:val="1A1A1A" w:themeColor="background1" w:themeShade="1A"/>
          <w:sz w:val="32"/>
          <w:szCs w:val="32"/>
        </w:rPr>
        <w:t>农村生态环境保护任重道远。</w:t>
      </w:r>
      <w:r>
        <w:rPr>
          <w:rFonts w:eastAsia="仿宋_GB2312"/>
          <w:color w:val="1A1A1A" w:themeColor="background1" w:themeShade="1A"/>
          <w:sz w:val="32"/>
          <w:szCs w:val="32"/>
        </w:rPr>
        <w:t>农村生活污水治理任务</w:t>
      </w:r>
      <w:r>
        <w:rPr>
          <w:rFonts w:hint="eastAsia" w:eastAsia="仿宋_GB2312"/>
          <w:color w:val="1A1A1A" w:themeColor="background1" w:themeShade="1A"/>
          <w:sz w:val="32"/>
          <w:szCs w:val="32"/>
        </w:rPr>
        <w:t>重</w:t>
      </w:r>
      <w:r>
        <w:rPr>
          <w:rFonts w:eastAsia="仿宋_GB2312"/>
          <w:color w:val="1A1A1A" w:themeColor="background1" w:themeShade="1A"/>
          <w:sz w:val="32"/>
          <w:szCs w:val="32"/>
        </w:rPr>
        <w:t>。畜禽养殖粪污处理处置设施建设运行不规范，规模以下畜禽养殖、水产养殖污染防治要求和责任不明确。</w:t>
      </w:r>
      <w:r>
        <w:rPr>
          <w:rFonts w:hint="eastAsia" w:eastAsia="仿宋_GB2312"/>
          <w:color w:val="1A1A1A" w:themeColor="background1" w:themeShade="1A"/>
          <w:sz w:val="32"/>
          <w:szCs w:val="32"/>
        </w:rPr>
        <w:t>秸秆综合利用技术推广成本高、市场主体活力不足，秸秆禁烧压力大。农业农村生态环境监测网络不完善，镇街</w:t>
      </w:r>
      <w:r>
        <w:rPr>
          <w:rFonts w:eastAsia="仿宋_GB2312"/>
          <w:color w:val="1A1A1A" w:themeColor="background1" w:themeShade="1A"/>
          <w:sz w:val="32"/>
          <w:szCs w:val="32"/>
        </w:rPr>
        <w:t>基层环境监管能力严重不足。</w:t>
      </w:r>
    </w:p>
    <w:p>
      <w:pPr>
        <w:spacing w:line="360" w:lineRule="auto"/>
        <w:ind w:firstLine="645"/>
        <w:rPr>
          <w:rFonts w:eastAsia="楷体_GB2312"/>
          <w:b/>
          <w:bCs/>
          <w:color w:val="1A1A1A" w:themeColor="background1" w:themeShade="1A"/>
          <w:sz w:val="32"/>
          <w:szCs w:val="32"/>
        </w:rPr>
      </w:pPr>
      <w:r>
        <w:rPr>
          <w:rFonts w:eastAsia="楷体_GB2312"/>
          <w:b/>
          <w:bCs/>
          <w:color w:val="1A1A1A" w:themeColor="background1" w:themeShade="1A"/>
          <w:sz w:val="32"/>
          <w:szCs w:val="32"/>
        </w:rPr>
        <w:t>土壤和地下水污染治理存在短板。</w:t>
      </w:r>
      <w:r>
        <w:rPr>
          <w:rFonts w:eastAsia="仿宋_GB2312"/>
          <w:color w:val="1A1A1A" w:themeColor="background1" w:themeShade="1A"/>
          <w:sz w:val="32"/>
          <w:szCs w:val="32"/>
        </w:rPr>
        <w:t>土壤和地下水污染</w:t>
      </w:r>
      <w:r>
        <w:rPr>
          <w:rFonts w:hint="eastAsia" w:eastAsia="仿宋_GB2312"/>
          <w:color w:val="1A1A1A" w:themeColor="background1" w:themeShade="1A"/>
          <w:sz w:val="32"/>
          <w:szCs w:val="32"/>
        </w:rPr>
        <w:t>防治技术支撑能力不足</w:t>
      </w:r>
      <w:r>
        <w:rPr>
          <w:rFonts w:eastAsia="仿宋_GB2312"/>
          <w:color w:val="1A1A1A" w:themeColor="background1" w:themeShade="1A"/>
          <w:sz w:val="32"/>
          <w:szCs w:val="32"/>
        </w:rPr>
        <w:t>。源头管控难度大，部分企业无组织排放、原辅料和工业固废堆存、有毒有害物质跑冒滴漏等污染土壤与地下水的隐患没有根本性消除。农用地分类管理和安全利用长效管理机制仍需完善。土壤和地下水环境管理和监测能力不足，现代化技术手段应用不足，不能满足土壤环境监管需求。</w:t>
      </w:r>
    </w:p>
    <w:p>
      <w:pPr>
        <w:spacing w:line="360" w:lineRule="auto"/>
        <w:ind w:firstLine="645"/>
        <w:rPr>
          <w:rFonts w:eastAsia="楷体_GB2312"/>
          <w:b/>
          <w:bCs/>
          <w:color w:val="1A1A1A" w:themeColor="background1" w:themeShade="1A"/>
          <w:sz w:val="32"/>
          <w:szCs w:val="32"/>
        </w:rPr>
      </w:pPr>
      <w:r>
        <w:rPr>
          <w:rFonts w:hint="eastAsia" w:eastAsia="楷体_GB2312"/>
          <w:b/>
          <w:bCs/>
          <w:color w:val="1A1A1A" w:themeColor="background1" w:themeShade="1A"/>
          <w:sz w:val="32"/>
          <w:szCs w:val="32"/>
        </w:rPr>
        <w:t>减污降碳源头治理压力大。</w:t>
      </w:r>
      <w:r>
        <w:rPr>
          <w:rFonts w:hint="eastAsia" w:eastAsia="仿宋_GB2312"/>
          <w:color w:val="1A1A1A" w:themeColor="background1" w:themeShade="1A"/>
          <w:sz w:val="32"/>
          <w:szCs w:val="32"/>
        </w:rPr>
        <w:t>兖州区以煤为主的能源结构、以传统产业为主的产业结构和以公路货运为主的运输结构尚未根本改变。造纸、橡胶、煤炭等主导产业普遍倚重能源消耗，主要污染物和碳排放居高不下，土地、能耗、环境容量等指标已接近或冲破“天花板”。同时，兖州区经济社会发展距离实现绿色转型仍有一定差距，结构性污染与环境质量进一步改善之间的矛盾依然存在，实现高质量发展任重道远。</w:t>
      </w:r>
    </w:p>
    <w:p>
      <w:pPr>
        <w:spacing w:line="360" w:lineRule="auto"/>
        <w:ind w:firstLine="645"/>
        <w:rPr>
          <w:rFonts w:eastAsia="仿宋_GB2312"/>
          <w:color w:val="1A1A1A" w:themeColor="background1" w:themeShade="1A"/>
          <w:sz w:val="32"/>
          <w:szCs w:val="32"/>
        </w:rPr>
      </w:pPr>
      <w:r>
        <w:rPr>
          <w:rFonts w:hint="eastAsia" w:eastAsia="楷体_GB2312"/>
          <w:b/>
          <w:bCs/>
          <w:color w:val="1A1A1A" w:themeColor="background1" w:themeShade="1A"/>
          <w:sz w:val="32"/>
          <w:szCs w:val="32"/>
        </w:rPr>
        <w:t>环境治理大格局有待进一步深化</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以绿色发展为导向的高质量发展机制需进一步健全。企业治污主体责任意识不强，依赖政府监管被动开展污染治理的情况仍然存在。全社会生态环保意识有待提高，齐抓共管的大环保格局有待进一步深化。生态环境监管力量与繁重的监管任务还不匹配，监管监测手段与信息化建设滞后，科技创新对生态环境保护的支撑作用仍需加强</w:t>
      </w:r>
      <w:r>
        <w:rPr>
          <w:rFonts w:eastAsia="仿宋_GB2312"/>
          <w:color w:val="1A1A1A" w:themeColor="background1" w:themeShade="1A"/>
          <w:sz w:val="32"/>
          <w:szCs w:val="32"/>
        </w:rPr>
        <w:t>。</w:t>
      </w:r>
    </w:p>
    <w:bookmarkEnd w:id="4"/>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5" w:name="_Toc116030700"/>
      <w:r>
        <w:rPr>
          <w:rFonts w:eastAsia="楷体_GB2312"/>
          <w:b/>
          <w:color w:val="1A1A1A" w:themeColor="background1" w:themeShade="1A"/>
          <w:sz w:val="32"/>
          <w:szCs w:val="32"/>
        </w:rPr>
        <w:t xml:space="preserve">第三节  </w:t>
      </w:r>
      <w:r>
        <w:rPr>
          <w:rFonts w:hint="eastAsia" w:eastAsia="楷体_GB2312"/>
          <w:b/>
          <w:color w:val="1A1A1A" w:themeColor="background1" w:themeShade="1A"/>
          <w:sz w:val="32"/>
          <w:szCs w:val="32"/>
        </w:rPr>
        <w:t>开创生态强区建设新局面</w:t>
      </w:r>
      <w:bookmarkEnd w:id="5"/>
    </w:p>
    <w:p>
      <w:pPr>
        <w:spacing w:line="360" w:lineRule="auto"/>
        <w:ind w:firstLine="645"/>
        <w:rPr>
          <w:rFonts w:eastAsia="黑体"/>
          <w:b/>
          <w:color w:val="1A1A1A" w:themeColor="background1" w:themeShade="1A"/>
          <w:sz w:val="32"/>
          <w:szCs w:val="32"/>
        </w:rPr>
      </w:pPr>
      <w:bookmarkStart w:id="6" w:name="_Hlk41069632"/>
      <w:r>
        <w:rPr>
          <w:rFonts w:hint="eastAsia" w:eastAsia="仿宋_GB2312"/>
          <w:color w:val="1A1A1A" w:themeColor="background1" w:themeShade="1A"/>
          <w:sz w:val="32"/>
          <w:szCs w:val="32"/>
        </w:rPr>
        <w:t>当前</w:t>
      </w:r>
      <w:r>
        <w:rPr>
          <w:rFonts w:eastAsia="仿宋_GB2312"/>
          <w:color w:val="1A1A1A" w:themeColor="background1" w:themeShade="1A"/>
          <w:sz w:val="32"/>
          <w:szCs w:val="32"/>
        </w:rPr>
        <w:t>，第一个百年奋斗目标已经实现，小康社会已经全面建成</w:t>
      </w:r>
      <w:r>
        <w:rPr>
          <w:rFonts w:hint="eastAsia" w:eastAsia="仿宋_GB2312"/>
          <w:color w:val="1A1A1A" w:themeColor="background1" w:themeShade="1A"/>
          <w:sz w:val="32"/>
          <w:szCs w:val="32"/>
        </w:rPr>
        <w:t>，生态环境质量明显改善，绿色发展理念进一步凸显，</w:t>
      </w:r>
      <w:r>
        <w:rPr>
          <w:rFonts w:eastAsia="仿宋_GB2312"/>
          <w:color w:val="1A1A1A" w:themeColor="background1" w:themeShade="1A"/>
          <w:sz w:val="32"/>
          <w:szCs w:val="32"/>
        </w:rPr>
        <w:t>第二个百年奋斗目标对生态环境保护提出了更高的要求。</w:t>
      </w:r>
      <w:bookmarkEnd w:id="6"/>
      <w:r>
        <w:rPr>
          <w:rFonts w:hint="eastAsia" w:eastAsia="仿宋_GB2312"/>
          <w:color w:val="1A1A1A" w:themeColor="background1" w:themeShade="1A"/>
          <w:sz w:val="32"/>
          <w:szCs w:val="32"/>
        </w:rPr>
        <w:t>面对新机遇新挑战，必须科学把握新发展阶段，坚定贯彻新发展理念，主动融入新发展格局。以习近平生态文明思想为引领，坚持人与自然和谐共生，坚持“绿水青山就是金山银山”理念，加快经济社会绿色转型，统筹推进生态环境高水平保护和经济社会高质量发展，加快建立市场导向的绿色技术创新体系和绿色低碳循环发展经济体系。深化落实黄河流域生态保护和高质量发展、淮河生态经济带等国家战略，深度参与共建绿色“一带一路”，全面贯彻鲁南经济圈一体化发展省级战略，打造乡村振兴齐鲁样板引领区。始终保持治污攻坚方向不变、力度不减，聚力突破生态强区，建成更高品质美丽兖州。</w:t>
      </w:r>
    </w:p>
    <w:p>
      <w:pPr>
        <w:adjustRightInd w:val="0"/>
        <w:spacing w:before="312" w:beforeLines="100" w:after="312" w:afterLines="100"/>
        <w:jc w:val="center"/>
        <w:textAlignment w:val="baseline"/>
        <w:outlineLvl w:val="0"/>
        <w:rPr>
          <w:rFonts w:eastAsia="黑体"/>
          <w:b/>
          <w:color w:val="1A1A1A" w:themeColor="background1" w:themeShade="1A"/>
          <w:sz w:val="32"/>
          <w:szCs w:val="32"/>
        </w:rPr>
      </w:pPr>
      <w:bookmarkStart w:id="7" w:name="_Toc116030701"/>
      <w:r>
        <w:rPr>
          <w:rFonts w:eastAsia="黑体"/>
          <w:b/>
          <w:color w:val="1A1A1A" w:themeColor="background1" w:themeShade="1A"/>
          <w:sz w:val="32"/>
          <w:szCs w:val="32"/>
        </w:rPr>
        <w:t>第二章  “十四五”时期总体要求和主要目标</w:t>
      </w:r>
      <w:bookmarkEnd w:id="7"/>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8" w:name="_Toc116030702"/>
      <w:r>
        <w:rPr>
          <w:rFonts w:eastAsia="楷体_GB2312"/>
          <w:b/>
          <w:color w:val="1A1A1A" w:themeColor="background1" w:themeShade="1A"/>
          <w:sz w:val="32"/>
          <w:szCs w:val="32"/>
        </w:rPr>
        <w:t>第一节  指导思想</w:t>
      </w:r>
      <w:bookmarkEnd w:id="8"/>
    </w:p>
    <w:p>
      <w:pPr>
        <w:spacing w:line="360" w:lineRule="auto"/>
        <w:ind w:firstLine="640" w:firstLineChars="200"/>
        <w:rPr>
          <w:rFonts w:eastAsia="仿宋_GB2312"/>
          <w:color w:val="1A1A1A" w:themeColor="background1" w:themeShade="1A"/>
          <w:sz w:val="32"/>
          <w:szCs w:val="32"/>
        </w:rPr>
      </w:pPr>
      <w:r>
        <w:rPr>
          <w:rFonts w:hint="eastAsia" w:eastAsia="仿宋_GB2312"/>
          <w:color w:val="1A1A1A" w:themeColor="background1" w:themeShade="1A"/>
          <w:sz w:val="32"/>
          <w:szCs w:val="32"/>
        </w:rPr>
        <w:t>高举中国特色社会主义伟大旗帜，深入贯彻党的二十大精神，坚持以习近平生态文明思想为指导，全面践行“绿水青山就是金山银山”的发展理念，以满足人民日益增长的美好生活需要为根本目的，以改善生态环境质量为核心，以减污降碳为总抓手，锚定生态兖州建设目标，坚持山水林田湖草沙一体化保护和系统治理，统筹产业结构调整、污染治理、生态保护、应对气候变化，协同推进降碳、减污、扩绿、增长，推进生态优先、节约集约、绿色低碳发展，促进人与自然和谐共生，全面开创新时代生态强区建设新局面。</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9" w:name="_Toc116030703"/>
      <w:r>
        <w:rPr>
          <w:rFonts w:eastAsia="楷体_GB2312"/>
          <w:b/>
          <w:color w:val="1A1A1A" w:themeColor="background1" w:themeShade="1A"/>
          <w:sz w:val="32"/>
          <w:szCs w:val="32"/>
        </w:rPr>
        <w:t>第二节  基本原则</w:t>
      </w:r>
      <w:bookmarkEnd w:id="9"/>
    </w:p>
    <w:p>
      <w:pPr>
        <w:spacing w:line="360" w:lineRule="auto"/>
        <w:ind w:firstLine="645"/>
        <w:rPr>
          <w:rFonts w:eastAsia="仿宋_GB2312"/>
          <w:color w:val="1A1A1A" w:themeColor="background1" w:themeShade="1A"/>
          <w:sz w:val="32"/>
          <w:szCs w:val="32"/>
        </w:rPr>
      </w:pPr>
      <w:bookmarkStart w:id="10" w:name="_Hlk41069498"/>
      <w:r>
        <w:rPr>
          <w:rFonts w:eastAsia="楷体_GB2312"/>
          <w:b/>
          <w:bCs/>
          <w:color w:val="1A1A1A" w:themeColor="background1" w:themeShade="1A"/>
          <w:sz w:val="32"/>
          <w:szCs w:val="32"/>
        </w:rPr>
        <w:t>——坚持以人民为中心。</w:t>
      </w:r>
      <w:r>
        <w:rPr>
          <w:rFonts w:eastAsia="仿宋_GB2312"/>
          <w:color w:val="1A1A1A" w:themeColor="background1" w:themeShade="1A"/>
          <w:sz w:val="32"/>
          <w:szCs w:val="32"/>
        </w:rPr>
        <w:t>坚持生态惠民、生态利民、生态为民，着力解决人民群众身边的生态环境问题，提供更多优质生态产品，不断增强人民群众对生态环境改善的幸福感、获得感和安全感。</w:t>
      </w:r>
    </w:p>
    <w:p>
      <w:pPr>
        <w:spacing w:line="360" w:lineRule="auto"/>
        <w:ind w:firstLine="645"/>
        <w:rPr>
          <w:rFonts w:eastAsia="仿宋_GB2312"/>
          <w:b/>
          <w:bCs/>
          <w:color w:val="1A1A1A" w:themeColor="background1" w:themeShade="1A"/>
          <w:sz w:val="32"/>
          <w:szCs w:val="32"/>
        </w:rPr>
      </w:pPr>
      <w:r>
        <w:rPr>
          <w:rFonts w:eastAsia="楷体_GB2312"/>
          <w:b/>
          <w:bCs/>
          <w:color w:val="1A1A1A" w:themeColor="background1" w:themeShade="1A"/>
          <w:sz w:val="32"/>
          <w:szCs w:val="32"/>
        </w:rPr>
        <w:t>——</w:t>
      </w:r>
      <w:r>
        <w:rPr>
          <w:rFonts w:hint="eastAsia" w:eastAsia="楷体_GB2312"/>
          <w:b/>
          <w:bCs/>
          <w:color w:val="1A1A1A" w:themeColor="background1" w:themeShade="1A"/>
          <w:sz w:val="32"/>
          <w:szCs w:val="32"/>
        </w:rPr>
        <w:t>坚持减污降碳协同增效。</w:t>
      </w:r>
      <w:r>
        <w:rPr>
          <w:rFonts w:hint="eastAsia" w:eastAsia="仿宋_GB2312"/>
          <w:color w:val="1A1A1A" w:themeColor="background1" w:themeShade="1A"/>
          <w:sz w:val="32"/>
          <w:szCs w:val="32"/>
        </w:rPr>
        <w:t>以碳达峰目标和碳中和愿景为引领，以减污降碳为总抓手，加快构建绿色低碳的产业体系、能源体系和交通运输体系，有效控制温室气体和污染物排放，推动生态环境保护主动融入经济社会发展全过程。</w:t>
      </w:r>
    </w:p>
    <w:p>
      <w:pPr>
        <w:spacing w:line="360" w:lineRule="auto"/>
        <w:ind w:firstLine="645"/>
        <w:rPr>
          <w:rFonts w:eastAsia="仿宋_GB2312"/>
          <w:color w:val="1A1A1A" w:themeColor="background1" w:themeShade="1A"/>
          <w:sz w:val="32"/>
          <w:szCs w:val="32"/>
        </w:rPr>
      </w:pPr>
      <w:r>
        <w:rPr>
          <w:rFonts w:eastAsia="楷体_GB2312"/>
          <w:b/>
          <w:bCs/>
          <w:color w:val="1A1A1A" w:themeColor="background1" w:themeShade="1A"/>
          <w:sz w:val="32"/>
          <w:szCs w:val="32"/>
        </w:rPr>
        <w:t>——坚持人与自然和谐共生。</w:t>
      </w:r>
      <w:r>
        <w:rPr>
          <w:rFonts w:hint="eastAsia" w:eastAsia="仿宋_GB2312"/>
          <w:color w:val="1A1A1A" w:themeColor="background1" w:themeShade="1A"/>
          <w:sz w:val="32"/>
          <w:szCs w:val="32"/>
        </w:rPr>
        <w:t>牢固树立“绿水青山就是金山银山”理念，坚持节约优先、保护优先、自然恢复为主的方针，坚决守住自然生态安全边界，推进山水林田湖草沙一体化保护和修复，提升生态系统自我修复能力</w:t>
      </w:r>
      <w:r>
        <w:rPr>
          <w:rFonts w:eastAsia="仿宋_GB2312"/>
          <w:color w:val="1A1A1A" w:themeColor="background1" w:themeShade="1A"/>
          <w:sz w:val="32"/>
          <w:szCs w:val="32"/>
        </w:rPr>
        <w:t>。</w:t>
      </w:r>
    </w:p>
    <w:p>
      <w:pPr>
        <w:spacing w:line="360" w:lineRule="auto"/>
        <w:ind w:firstLine="645"/>
        <w:rPr>
          <w:rFonts w:eastAsia="仿宋_GB2312"/>
          <w:color w:val="1A1A1A" w:themeColor="background1" w:themeShade="1A"/>
          <w:sz w:val="32"/>
          <w:szCs w:val="32"/>
        </w:rPr>
      </w:pPr>
      <w:r>
        <w:rPr>
          <w:rFonts w:eastAsia="楷体_GB2312"/>
          <w:b/>
          <w:bCs/>
          <w:color w:val="1A1A1A" w:themeColor="background1" w:themeShade="1A"/>
          <w:sz w:val="32"/>
          <w:szCs w:val="32"/>
        </w:rPr>
        <w:t>——</w:t>
      </w:r>
      <w:r>
        <w:rPr>
          <w:rFonts w:hint="eastAsia" w:eastAsia="楷体_GB2312"/>
          <w:b/>
          <w:bCs/>
          <w:color w:val="1A1A1A" w:themeColor="background1" w:themeShade="1A"/>
          <w:sz w:val="32"/>
          <w:szCs w:val="32"/>
        </w:rPr>
        <w:t>坚持统筹协调和制度创新</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完善生态文明领域统筹协调机制，建立健全法治体系和市场化机制，推动形成政府、企业、公众良性互动的环境共治体系，健全生态环境监管体系，形成与治理任务、治理需求相适应的治理能力和治理水平</w:t>
      </w:r>
      <w:r>
        <w:rPr>
          <w:rFonts w:eastAsia="仿宋_GB2312"/>
          <w:color w:val="1A1A1A" w:themeColor="background1" w:themeShade="1A"/>
          <w:sz w:val="32"/>
          <w:szCs w:val="32"/>
        </w:rPr>
        <w:t>。</w:t>
      </w:r>
    </w:p>
    <w:bookmarkEnd w:id="10"/>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1" w:name="_Toc116030704"/>
      <w:r>
        <w:rPr>
          <w:rFonts w:eastAsia="楷体_GB2312"/>
          <w:b/>
          <w:color w:val="1A1A1A" w:themeColor="background1" w:themeShade="1A"/>
          <w:sz w:val="32"/>
          <w:szCs w:val="32"/>
        </w:rPr>
        <w:t>第三节  主要目标</w:t>
      </w:r>
      <w:bookmarkEnd w:id="11"/>
    </w:p>
    <w:p>
      <w:pPr>
        <w:widowControl/>
        <w:spacing w:line="360" w:lineRule="auto"/>
        <w:ind w:firstLine="640" w:firstLineChars="200"/>
        <w:rPr>
          <w:rFonts w:eastAsia="仿宋_GB2312"/>
          <w:color w:val="1A1A1A" w:themeColor="background1" w:themeShade="1A"/>
          <w:kern w:val="0"/>
          <w:sz w:val="32"/>
          <w:szCs w:val="32"/>
          <w:lang w:bidi="ar"/>
        </w:rPr>
      </w:pPr>
      <w:bookmarkStart w:id="12" w:name="_Hlk41069558"/>
      <w:r>
        <w:rPr>
          <w:rFonts w:hint="eastAsia" w:eastAsia="仿宋_GB2312"/>
          <w:color w:val="1A1A1A" w:themeColor="background1" w:themeShade="1A"/>
          <w:kern w:val="0"/>
          <w:sz w:val="32"/>
          <w:szCs w:val="32"/>
          <w:lang w:bidi="ar"/>
        </w:rPr>
        <w:t>展望2035年，绿色生产生活方式广泛形成，碳排放达峰后稳中有降，绿色低碳发展水平和应对气候变化能力显著提高；生态环境根本好转，空气质量全面达标，水环境质量持续巩固，土壤环境安全得到有效保障，环境风险得到全面管控，生态系统服务功能全面恢复；生态环境治理体系和治理能力现代化基本实现；全面建成生态强区，人民对优美生态环境的需要基本得到满足。</w:t>
      </w:r>
    </w:p>
    <w:p>
      <w:pPr>
        <w:widowControl/>
        <w:spacing w:line="360" w:lineRule="auto"/>
        <w:ind w:firstLine="640" w:firstLineChars="200"/>
        <w:rPr>
          <w:rFonts w:eastAsia="仿宋_GB2312"/>
          <w:color w:val="1A1A1A" w:themeColor="background1" w:themeShade="1A"/>
          <w:kern w:val="0"/>
          <w:sz w:val="32"/>
          <w:szCs w:val="32"/>
          <w:lang w:bidi="ar"/>
        </w:rPr>
      </w:pPr>
      <w:r>
        <w:rPr>
          <w:rFonts w:hint="eastAsia" w:eastAsia="仿宋_GB2312"/>
          <w:color w:val="1A1A1A" w:themeColor="background1" w:themeShade="1A"/>
          <w:kern w:val="0"/>
          <w:sz w:val="32"/>
          <w:szCs w:val="32"/>
          <w:lang w:bidi="ar"/>
        </w:rPr>
        <w:t>锚定2035年远景目标，经过五年不懈奋斗，到2025年，主体功能区战略和制度深入实施，国土空间规划体系初步建立，“三线一单”和规划环评有效发挥生态环境准入作用，产业结构、能源结构、交通运输结构、用地结构更加合理，绿色低碳发展加快推进，简约适度、绿色低碳的生活方式加快形成。科学实施碳达峰碳中和行动，能源资源配置更加合理、利用效率大幅提高，碳排放强度持续降低。生态环境质量持续向好，主要污染物排放总量大幅减少，空气质量进一步改善，基本消除重污染天气，水环境质量稳步提升，水生态功能初步得到恢复，农村黑臭水体基本消除，城乡环境优美宜居。环境风险得到有效管控，土壤安全利用水平巩固提升，固体废物与化学物质环境风险防控能力明显增强，固体废弃物有效回收利用率大幅提高，辐射安全监管持续加强。生态系统质量和稳定性稳步提升，南四湖生态保护和高质量发展取得显著成效，生物多样性得到有效保护。</w:t>
      </w:r>
    </w:p>
    <w:p>
      <w:pPr>
        <w:widowControl/>
        <w:jc w:val="left"/>
        <w:rPr>
          <w:rFonts w:eastAsia="仿宋_GB2312"/>
          <w:color w:val="1A1A1A" w:themeColor="background1" w:themeShade="1A"/>
          <w:kern w:val="0"/>
          <w:sz w:val="32"/>
          <w:szCs w:val="32"/>
          <w:lang w:bidi="ar"/>
        </w:rPr>
      </w:pPr>
      <w:r>
        <w:rPr>
          <w:rFonts w:eastAsia="仿宋_GB2312"/>
          <w:color w:val="1A1A1A" w:themeColor="background1" w:themeShade="1A"/>
          <w:kern w:val="0"/>
          <w:sz w:val="32"/>
          <w:szCs w:val="32"/>
          <w:lang w:bidi="ar"/>
        </w:rPr>
        <w:br w:type="page"/>
      </w:r>
    </w:p>
    <w:p>
      <w:pPr>
        <w:widowControl/>
        <w:spacing w:line="360" w:lineRule="auto"/>
        <w:ind w:firstLine="640" w:firstLineChars="200"/>
        <w:rPr>
          <w:rFonts w:eastAsia="仿宋_GB2312"/>
          <w:color w:val="1A1A1A" w:themeColor="background1" w:themeShade="1A"/>
          <w:kern w:val="0"/>
          <w:sz w:val="32"/>
          <w:szCs w:val="32"/>
          <w:lang w:bidi="ar"/>
        </w:rPr>
      </w:pPr>
    </w:p>
    <w:bookmarkEnd w:id="12"/>
    <w:p>
      <w:pPr>
        <w:spacing w:line="600" w:lineRule="exact"/>
        <w:jc w:val="center"/>
        <w:rPr>
          <w:rFonts w:eastAsia="方正小标宋简体"/>
          <w:b/>
          <w:color w:val="1A1A1A" w:themeColor="background1" w:themeShade="1A"/>
          <w:sz w:val="28"/>
          <w:szCs w:val="28"/>
        </w:rPr>
      </w:pPr>
      <w:r>
        <w:rPr>
          <w:rFonts w:eastAsia="方正小标宋简体"/>
          <w:b/>
          <w:color w:val="1A1A1A" w:themeColor="background1" w:themeShade="1A"/>
          <w:sz w:val="28"/>
          <w:szCs w:val="28"/>
        </w:rPr>
        <w:t>济宁市</w:t>
      </w:r>
      <w:r>
        <w:rPr>
          <w:rFonts w:hint="eastAsia" w:eastAsia="方正小标宋简体"/>
          <w:b/>
          <w:color w:val="1A1A1A" w:themeColor="background1" w:themeShade="1A"/>
          <w:sz w:val="28"/>
          <w:szCs w:val="28"/>
        </w:rPr>
        <w:t>兖州区</w:t>
      </w:r>
      <w:r>
        <w:rPr>
          <w:rFonts w:eastAsia="方正小标宋简体"/>
          <w:b/>
          <w:color w:val="1A1A1A" w:themeColor="background1" w:themeShade="1A"/>
          <w:sz w:val="28"/>
          <w:szCs w:val="28"/>
        </w:rPr>
        <w:t>“十四五”生态环境保护主要指标</w:t>
      </w:r>
    </w:p>
    <w:tbl>
      <w:tblPr>
        <w:tblStyle w:val="21"/>
        <w:tblW w:w="50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692"/>
        <w:gridCol w:w="927"/>
        <w:gridCol w:w="1955"/>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trPr>
        <w:tc>
          <w:tcPr>
            <w:tcW w:w="2598" w:type="pct"/>
            <w:vAlign w:val="center"/>
          </w:tcPr>
          <w:p>
            <w:pPr>
              <w:adjustRightInd w:val="0"/>
              <w:snapToGrid w:val="0"/>
              <w:jc w:val="center"/>
              <w:rPr>
                <w:rFonts w:eastAsia="仿宋_GB2312"/>
                <w:b/>
                <w:color w:val="1A1A1A" w:themeColor="background1" w:themeShade="1A"/>
                <w:sz w:val="24"/>
                <w:szCs w:val="24"/>
              </w:rPr>
            </w:pPr>
            <w:r>
              <w:rPr>
                <w:rFonts w:eastAsia="仿宋_GB2312"/>
                <w:b/>
                <w:color w:val="1A1A1A" w:themeColor="background1" w:themeShade="1A"/>
                <w:sz w:val="24"/>
                <w:szCs w:val="24"/>
              </w:rPr>
              <w:t>指标</w:t>
            </w:r>
          </w:p>
        </w:tc>
        <w:tc>
          <w:tcPr>
            <w:tcW w:w="513" w:type="pct"/>
          </w:tcPr>
          <w:p>
            <w:pPr>
              <w:adjustRightInd w:val="0"/>
              <w:snapToGrid w:val="0"/>
              <w:jc w:val="center"/>
              <w:rPr>
                <w:rFonts w:eastAsia="仿宋_GB2312"/>
                <w:b/>
                <w:color w:val="1A1A1A" w:themeColor="background1" w:themeShade="1A"/>
                <w:sz w:val="24"/>
                <w:szCs w:val="24"/>
              </w:rPr>
            </w:pPr>
            <w:r>
              <w:rPr>
                <w:rFonts w:eastAsia="仿宋_GB2312"/>
                <w:b/>
                <w:color w:val="1A1A1A" w:themeColor="background1" w:themeShade="1A"/>
                <w:sz w:val="24"/>
                <w:szCs w:val="24"/>
              </w:rPr>
              <w:t>2020年</w:t>
            </w:r>
          </w:p>
        </w:tc>
        <w:tc>
          <w:tcPr>
            <w:tcW w:w="1082" w:type="pct"/>
          </w:tcPr>
          <w:p>
            <w:pPr>
              <w:adjustRightInd w:val="0"/>
              <w:snapToGrid w:val="0"/>
              <w:jc w:val="center"/>
              <w:rPr>
                <w:rFonts w:eastAsia="仿宋_GB2312"/>
                <w:b/>
                <w:color w:val="1A1A1A" w:themeColor="background1" w:themeShade="1A"/>
                <w:sz w:val="24"/>
                <w:szCs w:val="24"/>
              </w:rPr>
            </w:pPr>
            <w:r>
              <w:rPr>
                <w:rFonts w:eastAsia="仿宋_GB2312"/>
                <w:b/>
                <w:color w:val="1A1A1A" w:themeColor="background1" w:themeShade="1A"/>
                <w:sz w:val="24"/>
                <w:szCs w:val="24"/>
              </w:rPr>
              <w:t>2025年</w:t>
            </w:r>
          </w:p>
        </w:tc>
        <w:tc>
          <w:tcPr>
            <w:tcW w:w="806" w:type="pct"/>
            <w:vAlign w:val="center"/>
          </w:tcPr>
          <w:p>
            <w:pPr>
              <w:adjustRightInd w:val="0"/>
              <w:snapToGrid w:val="0"/>
              <w:jc w:val="center"/>
              <w:rPr>
                <w:rFonts w:eastAsia="仿宋_GB2312"/>
                <w:b/>
                <w:color w:val="1A1A1A" w:themeColor="background1" w:themeShade="1A"/>
                <w:sz w:val="24"/>
                <w:szCs w:val="24"/>
              </w:rPr>
            </w:pPr>
            <w:r>
              <w:rPr>
                <w:rFonts w:eastAsia="仿宋_GB2312"/>
                <w:b/>
                <w:color w:val="1A1A1A" w:themeColor="background1" w:themeShade="1A"/>
                <w:sz w:val="24"/>
                <w:szCs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5000" w:type="pct"/>
            <w:gridSpan w:val="4"/>
            <w:vAlign w:val="center"/>
          </w:tcPr>
          <w:p>
            <w:pPr>
              <w:adjustRightInd w:val="0"/>
              <w:snapToGrid w:val="0"/>
              <w:jc w:val="left"/>
              <w:rPr>
                <w:rFonts w:eastAsia="仿宋_GB2312"/>
                <w:b/>
                <w:color w:val="1A1A1A" w:themeColor="background1" w:themeShade="1A"/>
                <w:sz w:val="24"/>
                <w:szCs w:val="24"/>
              </w:rPr>
            </w:pPr>
            <w:r>
              <w:rPr>
                <w:rFonts w:eastAsia="仿宋_GB2312"/>
                <w:b/>
                <w:color w:val="1A1A1A" w:themeColor="background1" w:themeShade="1A"/>
                <w:sz w:val="24"/>
                <w:szCs w:val="24"/>
              </w:rPr>
              <w:t>（一）环境治理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1.</w:t>
            </w:r>
            <w:r>
              <w:rPr>
                <w:rFonts w:eastAsia="仿宋_GB2312"/>
                <w:color w:val="1A1A1A" w:themeColor="background1" w:themeShade="1A"/>
                <w:kern w:val="24"/>
                <w:szCs w:val="21"/>
              </w:rPr>
              <w:t>细颗粒物（PM</w:t>
            </w:r>
            <w:r>
              <w:rPr>
                <w:rFonts w:eastAsia="仿宋_GB2312"/>
                <w:color w:val="1A1A1A" w:themeColor="background1" w:themeShade="1A"/>
                <w:kern w:val="24"/>
                <w:szCs w:val="21"/>
                <w:vertAlign w:val="subscript"/>
              </w:rPr>
              <w:t>2.5</w:t>
            </w:r>
            <w:r>
              <w:rPr>
                <w:rFonts w:eastAsia="仿宋_GB2312"/>
                <w:color w:val="1A1A1A" w:themeColor="background1" w:themeShade="1A"/>
                <w:kern w:val="24"/>
                <w:szCs w:val="21"/>
              </w:rPr>
              <w:t>）浓度（μg/m</w:t>
            </w:r>
            <w:r>
              <w:rPr>
                <w:rFonts w:eastAsia="仿宋_GB2312"/>
                <w:color w:val="1A1A1A" w:themeColor="background1" w:themeShade="1A"/>
                <w:kern w:val="24"/>
                <w:szCs w:val="21"/>
                <w:vertAlign w:val="superscript"/>
              </w:rPr>
              <w:t>3</w:t>
            </w:r>
            <w:r>
              <w:rPr>
                <w:rFonts w:eastAsia="仿宋_GB2312"/>
                <w:color w:val="1A1A1A" w:themeColor="background1" w:themeShade="1A"/>
                <w:kern w:val="24"/>
                <w:szCs w:val="21"/>
              </w:rPr>
              <w:t>）*</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5</w:t>
            </w:r>
            <w:r>
              <w:rPr>
                <w:rFonts w:eastAsia="仿宋_GB2312"/>
                <w:color w:val="1A1A1A" w:themeColor="background1" w:themeShade="1A"/>
                <w:sz w:val="24"/>
                <w:szCs w:val="24"/>
              </w:rPr>
              <w:t>1</w:t>
            </w:r>
          </w:p>
        </w:tc>
        <w:tc>
          <w:tcPr>
            <w:tcW w:w="1082"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41</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2.</w:t>
            </w:r>
            <w:r>
              <w:rPr>
                <w:rFonts w:eastAsia="仿宋_GB2312"/>
                <w:color w:val="1A1A1A" w:themeColor="background1" w:themeShade="1A"/>
                <w:kern w:val="24"/>
                <w:szCs w:val="21"/>
              </w:rPr>
              <w:t>空气质量优良天数比率（%）*</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6</w:t>
            </w:r>
            <w:r>
              <w:rPr>
                <w:rFonts w:eastAsia="仿宋_GB2312"/>
                <w:color w:val="1A1A1A" w:themeColor="background1" w:themeShade="1A"/>
                <w:sz w:val="24"/>
                <w:szCs w:val="24"/>
              </w:rPr>
              <w:t>5.3</w:t>
            </w:r>
          </w:p>
        </w:tc>
        <w:tc>
          <w:tcPr>
            <w:tcW w:w="1082"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66.7</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3.</w:t>
            </w:r>
            <w:r>
              <w:rPr>
                <w:rFonts w:eastAsia="仿宋_GB2312"/>
                <w:color w:val="1A1A1A" w:themeColor="background1" w:themeShade="1A"/>
                <w:kern w:val="24"/>
                <w:szCs w:val="21"/>
              </w:rPr>
              <w:t>地表水达到或好于Ⅲ类水体比例（%）*</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50</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100</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4.</w:t>
            </w:r>
            <w:r>
              <w:rPr>
                <w:rFonts w:eastAsia="仿宋_GB2312"/>
                <w:color w:val="1A1A1A" w:themeColor="background1" w:themeShade="1A"/>
                <w:kern w:val="24"/>
                <w:szCs w:val="21"/>
              </w:rPr>
              <w:t>地表水劣Ⅴ类水体比例（%）*</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0</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0</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5.</w:t>
            </w:r>
            <w:r>
              <w:rPr>
                <w:rFonts w:hint="eastAsia" w:eastAsia="仿宋_GB2312"/>
                <w:color w:val="1A1A1A" w:themeColor="background1" w:themeShade="1A"/>
                <w:sz w:val="24"/>
                <w:szCs w:val="24"/>
              </w:rPr>
              <w:t>城市建成区黑臭水体比例（%）</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0</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0</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6.地下水质量V类水比例（%）</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完成市分解任务</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7.农村生活污水治理率（%）</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45</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100</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8.氮氧化物排放总量减少（%）</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完成市分解任务</w:t>
            </w:r>
          </w:p>
        </w:tc>
        <w:tc>
          <w:tcPr>
            <w:tcW w:w="806" w:type="pct"/>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9.挥发性有机物排放总量减少（%）</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完成市分解任务</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10.化学需氧量排放总量减少（%）</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14.6</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完成市分解任务</w:t>
            </w:r>
          </w:p>
        </w:tc>
        <w:tc>
          <w:tcPr>
            <w:tcW w:w="806" w:type="pct"/>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11.氨氮排放总量减少（%）</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17.9</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完成市分解任务</w:t>
            </w:r>
          </w:p>
        </w:tc>
        <w:tc>
          <w:tcPr>
            <w:tcW w:w="806" w:type="pct"/>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trPr>
        <w:tc>
          <w:tcPr>
            <w:tcW w:w="5000" w:type="pct"/>
            <w:gridSpan w:val="4"/>
            <w:vAlign w:val="center"/>
          </w:tcPr>
          <w:p>
            <w:pPr>
              <w:adjustRightInd w:val="0"/>
              <w:snapToGrid w:val="0"/>
              <w:jc w:val="left"/>
              <w:rPr>
                <w:rFonts w:eastAsia="仿宋_GB2312"/>
                <w:b/>
                <w:color w:val="1A1A1A" w:themeColor="background1" w:themeShade="1A"/>
                <w:sz w:val="24"/>
                <w:szCs w:val="24"/>
              </w:rPr>
            </w:pPr>
            <w:r>
              <w:rPr>
                <w:rFonts w:eastAsia="仿宋_GB2312"/>
                <w:b/>
                <w:color w:val="1A1A1A" w:themeColor="background1" w:themeShade="1A"/>
                <w:sz w:val="24"/>
                <w:szCs w:val="24"/>
              </w:rPr>
              <w:t>（二）应对气候变化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12.单位地区生产总值二氧化碳排放降低（%）</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＞21</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完成市分解任务</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13.单位地区生产总值能源消耗降低（%）</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17.42</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完成市分解任务</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14.非化石能源消费比</w:t>
            </w:r>
            <w:r>
              <w:rPr>
                <w:rFonts w:hint="eastAsia" w:eastAsia="仿宋_GB2312"/>
                <w:color w:val="1A1A1A" w:themeColor="background1" w:themeShade="1A"/>
                <w:sz w:val="24"/>
                <w:szCs w:val="24"/>
              </w:rPr>
              <w:t>重</w:t>
            </w:r>
            <w:r>
              <w:rPr>
                <w:rFonts w:eastAsia="仿宋_GB2312"/>
                <w:color w:val="1A1A1A" w:themeColor="background1" w:themeShade="1A"/>
                <w:sz w:val="24"/>
                <w:szCs w:val="24"/>
              </w:rPr>
              <w:t>（%）</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1.7</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5</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trPr>
        <w:tc>
          <w:tcPr>
            <w:tcW w:w="5000" w:type="pct"/>
            <w:gridSpan w:val="4"/>
            <w:vAlign w:val="center"/>
          </w:tcPr>
          <w:p>
            <w:pPr>
              <w:adjustRightInd w:val="0"/>
              <w:snapToGrid w:val="0"/>
              <w:jc w:val="left"/>
              <w:rPr>
                <w:rFonts w:eastAsia="仿宋_GB2312"/>
                <w:b/>
                <w:color w:val="1A1A1A" w:themeColor="background1" w:themeShade="1A"/>
                <w:sz w:val="24"/>
                <w:szCs w:val="24"/>
              </w:rPr>
            </w:pPr>
            <w:r>
              <w:rPr>
                <w:rFonts w:eastAsia="仿宋_GB2312"/>
                <w:b/>
                <w:color w:val="1A1A1A" w:themeColor="background1" w:themeShade="1A"/>
                <w:sz w:val="24"/>
                <w:szCs w:val="24"/>
              </w:rPr>
              <w:t>（三）环境风险防控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1</w:t>
            </w:r>
            <w:r>
              <w:rPr>
                <w:rFonts w:hint="eastAsia" w:eastAsia="仿宋_GB2312"/>
                <w:color w:val="1A1A1A" w:themeColor="background1" w:themeShade="1A"/>
                <w:sz w:val="24"/>
                <w:szCs w:val="24"/>
              </w:rPr>
              <w:t>5</w:t>
            </w:r>
            <w:r>
              <w:rPr>
                <w:rFonts w:eastAsia="仿宋_GB2312"/>
                <w:color w:val="1A1A1A" w:themeColor="background1" w:themeShade="1A"/>
                <w:sz w:val="24"/>
                <w:szCs w:val="24"/>
              </w:rPr>
              <w:t>.受污染耕地安全利用率（%）</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91</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9</w:t>
            </w:r>
            <w:r>
              <w:rPr>
                <w:rFonts w:eastAsia="仿宋_GB2312"/>
                <w:color w:val="1A1A1A" w:themeColor="background1" w:themeShade="1A"/>
                <w:sz w:val="24"/>
                <w:szCs w:val="24"/>
              </w:rPr>
              <w:t>3</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1</w:t>
            </w:r>
            <w:r>
              <w:rPr>
                <w:rFonts w:hint="eastAsia" w:eastAsia="仿宋_GB2312"/>
                <w:color w:val="1A1A1A" w:themeColor="background1" w:themeShade="1A"/>
                <w:sz w:val="24"/>
                <w:szCs w:val="24"/>
              </w:rPr>
              <w:t>6</w:t>
            </w:r>
            <w:r>
              <w:rPr>
                <w:rFonts w:eastAsia="仿宋_GB2312"/>
                <w:color w:val="1A1A1A" w:themeColor="background1" w:themeShade="1A"/>
                <w:sz w:val="24"/>
                <w:szCs w:val="24"/>
              </w:rPr>
              <w:t>.</w:t>
            </w:r>
            <w:r>
              <w:rPr>
                <w:rFonts w:hint="eastAsia" w:eastAsia="仿宋_GB2312"/>
                <w:color w:val="1A1A1A" w:themeColor="background1" w:themeShade="1A"/>
                <w:sz w:val="24"/>
                <w:szCs w:val="24"/>
              </w:rPr>
              <w:t>重点建设用地安全利用*</w:t>
            </w:r>
          </w:p>
        </w:tc>
        <w:tc>
          <w:tcPr>
            <w:tcW w:w="513"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w:t>
            </w:r>
          </w:p>
        </w:tc>
        <w:tc>
          <w:tcPr>
            <w:tcW w:w="1082" w:type="pct"/>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有效保障</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5000" w:type="pct"/>
            <w:gridSpan w:val="4"/>
            <w:vAlign w:val="center"/>
          </w:tcPr>
          <w:p>
            <w:pPr>
              <w:adjustRightInd w:val="0"/>
              <w:snapToGrid w:val="0"/>
              <w:jc w:val="left"/>
              <w:rPr>
                <w:rFonts w:eastAsia="仿宋_GB2312"/>
                <w:b/>
                <w:color w:val="1A1A1A" w:themeColor="background1" w:themeShade="1A"/>
                <w:sz w:val="24"/>
                <w:szCs w:val="24"/>
              </w:rPr>
            </w:pPr>
            <w:r>
              <w:rPr>
                <w:rFonts w:eastAsia="仿宋_GB2312"/>
                <w:b/>
                <w:color w:val="1A1A1A" w:themeColor="background1" w:themeShade="1A"/>
                <w:sz w:val="24"/>
                <w:szCs w:val="24"/>
              </w:rPr>
              <w:t>（</w:t>
            </w:r>
            <w:r>
              <w:rPr>
                <w:rFonts w:hint="eastAsia" w:eastAsia="仿宋_GB2312"/>
                <w:b/>
                <w:color w:val="1A1A1A" w:themeColor="background1" w:themeShade="1A"/>
                <w:sz w:val="24"/>
                <w:szCs w:val="24"/>
              </w:rPr>
              <w:t>四</w:t>
            </w:r>
            <w:r>
              <w:rPr>
                <w:rFonts w:eastAsia="仿宋_GB2312"/>
                <w:b/>
                <w:color w:val="1A1A1A" w:themeColor="background1" w:themeShade="1A"/>
                <w:sz w:val="24"/>
                <w:szCs w:val="24"/>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1</w:t>
            </w:r>
            <w:r>
              <w:rPr>
                <w:rFonts w:hint="eastAsia" w:eastAsia="仿宋_GB2312"/>
                <w:color w:val="1A1A1A" w:themeColor="background1" w:themeShade="1A"/>
                <w:sz w:val="24"/>
                <w:szCs w:val="24"/>
              </w:rPr>
              <w:t>7</w:t>
            </w:r>
            <w:r>
              <w:rPr>
                <w:rFonts w:eastAsia="仿宋_GB2312"/>
                <w:color w:val="1A1A1A" w:themeColor="background1" w:themeShade="1A"/>
                <w:sz w:val="24"/>
                <w:szCs w:val="24"/>
              </w:rPr>
              <w:t>.生态质量指数（E</w:t>
            </w:r>
            <w:r>
              <w:rPr>
                <w:rFonts w:hint="eastAsia" w:eastAsia="仿宋_GB2312"/>
                <w:color w:val="1A1A1A" w:themeColor="background1" w:themeShade="1A"/>
                <w:sz w:val="24"/>
                <w:szCs w:val="24"/>
              </w:rPr>
              <w:t>Q</w:t>
            </w:r>
            <w:r>
              <w:rPr>
                <w:rFonts w:eastAsia="仿宋_GB2312"/>
                <w:color w:val="1A1A1A" w:themeColor="background1" w:themeShade="1A"/>
                <w:sz w:val="24"/>
                <w:szCs w:val="24"/>
              </w:rPr>
              <w:t>I）</w:t>
            </w:r>
            <w:r>
              <w:rPr>
                <w:rFonts w:hint="eastAsia" w:eastAsia="仿宋_GB2312"/>
                <w:color w:val="1A1A1A" w:themeColor="background1" w:themeShade="1A"/>
                <w:sz w:val="24"/>
                <w:szCs w:val="24"/>
              </w:rPr>
              <w:t>*</w:t>
            </w:r>
          </w:p>
        </w:tc>
        <w:tc>
          <w:tcPr>
            <w:tcW w:w="927" w:type="dxa"/>
            <w:vAlign w:val="center"/>
          </w:tcPr>
          <w:p>
            <w:pPr>
              <w:adjustRightInd w:val="0"/>
              <w:snapToGrid w:val="0"/>
              <w:spacing w:line="340" w:lineRule="exact"/>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w:t>
            </w:r>
          </w:p>
        </w:tc>
        <w:tc>
          <w:tcPr>
            <w:tcW w:w="1955" w:type="dxa"/>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稳中向好</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1</w:t>
            </w:r>
            <w:r>
              <w:rPr>
                <w:rFonts w:hint="eastAsia" w:eastAsia="仿宋_GB2312"/>
                <w:color w:val="1A1A1A" w:themeColor="background1" w:themeShade="1A"/>
                <w:sz w:val="24"/>
                <w:szCs w:val="24"/>
              </w:rPr>
              <w:t>8</w:t>
            </w:r>
            <w:r>
              <w:rPr>
                <w:rFonts w:eastAsia="仿宋_GB2312"/>
                <w:color w:val="1A1A1A" w:themeColor="background1" w:themeShade="1A"/>
                <w:sz w:val="24"/>
                <w:szCs w:val="24"/>
              </w:rPr>
              <w:t>.森林覆盖率（%）</w:t>
            </w:r>
          </w:p>
        </w:tc>
        <w:tc>
          <w:tcPr>
            <w:tcW w:w="927" w:type="dxa"/>
            <w:vAlign w:val="center"/>
          </w:tcPr>
          <w:p>
            <w:pPr>
              <w:adjustRightInd w:val="0"/>
              <w:snapToGrid w:val="0"/>
              <w:spacing w:line="340" w:lineRule="exact"/>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w:t>
            </w:r>
          </w:p>
        </w:tc>
        <w:tc>
          <w:tcPr>
            <w:tcW w:w="1955" w:type="dxa"/>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完成市分解任务</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hint="eastAsia" w:eastAsia="仿宋_GB2312"/>
                <w:color w:val="1A1A1A" w:themeColor="background1" w:themeShade="1A"/>
                <w:sz w:val="24"/>
                <w:szCs w:val="24"/>
              </w:rPr>
              <w:t>19.化肥施用量（折纯量）（万吨）</w:t>
            </w:r>
          </w:p>
        </w:tc>
        <w:tc>
          <w:tcPr>
            <w:tcW w:w="927" w:type="dxa"/>
            <w:vAlign w:val="center"/>
          </w:tcPr>
          <w:p>
            <w:pPr>
              <w:adjustRightInd w:val="0"/>
              <w:snapToGrid w:val="0"/>
              <w:spacing w:line="340" w:lineRule="exact"/>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2.1548</w:t>
            </w:r>
          </w:p>
        </w:tc>
        <w:tc>
          <w:tcPr>
            <w:tcW w:w="1955" w:type="dxa"/>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完成市分解任务</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hint="eastAsia" w:eastAsia="仿宋_GB2312"/>
                <w:color w:val="1A1A1A" w:themeColor="background1" w:themeShade="1A"/>
                <w:sz w:val="24"/>
                <w:szCs w:val="24"/>
              </w:rPr>
              <w:t>20.农药使用量（商品量）（万吨）</w:t>
            </w:r>
          </w:p>
        </w:tc>
        <w:tc>
          <w:tcPr>
            <w:tcW w:w="927" w:type="dxa"/>
            <w:vAlign w:val="center"/>
          </w:tcPr>
          <w:p>
            <w:pPr>
              <w:adjustRightInd w:val="0"/>
              <w:snapToGrid w:val="0"/>
              <w:spacing w:line="340" w:lineRule="exact"/>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0.052</w:t>
            </w:r>
          </w:p>
        </w:tc>
        <w:tc>
          <w:tcPr>
            <w:tcW w:w="1955" w:type="dxa"/>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完成市分解任务</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trPr>
        <w:tc>
          <w:tcPr>
            <w:tcW w:w="2598" w:type="pct"/>
            <w:vAlign w:val="center"/>
          </w:tcPr>
          <w:p>
            <w:pPr>
              <w:adjustRightInd w:val="0"/>
              <w:snapToGrid w:val="0"/>
              <w:jc w:val="left"/>
              <w:rPr>
                <w:rFonts w:eastAsia="仿宋_GB2312"/>
                <w:color w:val="1A1A1A" w:themeColor="background1" w:themeShade="1A"/>
                <w:sz w:val="24"/>
                <w:szCs w:val="24"/>
              </w:rPr>
            </w:pPr>
            <w:r>
              <w:rPr>
                <w:rFonts w:eastAsia="仿宋_GB2312"/>
                <w:color w:val="1A1A1A" w:themeColor="background1" w:themeShade="1A"/>
                <w:sz w:val="24"/>
                <w:szCs w:val="24"/>
              </w:rPr>
              <w:t>2</w:t>
            </w:r>
            <w:r>
              <w:rPr>
                <w:rFonts w:hint="eastAsia" w:eastAsia="仿宋_GB2312"/>
                <w:color w:val="1A1A1A" w:themeColor="background1" w:themeShade="1A"/>
                <w:sz w:val="24"/>
                <w:szCs w:val="24"/>
              </w:rPr>
              <w:t>1</w:t>
            </w:r>
            <w:r>
              <w:rPr>
                <w:rFonts w:eastAsia="仿宋_GB2312"/>
                <w:color w:val="1A1A1A" w:themeColor="background1" w:themeShade="1A"/>
                <w:sz w:val="24"/>
                <w:szCs w:val="24"/>
              </w:rPr>
              <w:t>.</w:t>
            </w:r>
            <w:r>
              <w:rPr>
                <w:rFonts w:hint="eastAsia" w:eastAsia="仿宋_GB2312"/>
                <w:color w:val="1A1A1A" w:themeColor="background1" w:themeShade="1A"/>
                <w:sz w:val="24"/>
                <w:szCs w:val="24"/>
              </w:rPr>
              <w:t>生态保护红线面积（万平方公里）</w:t>
            </w:r>
          </w:p>
        </w:tc>
        <w:tc>
          <w:tcPr>
            <w:tcW w:w="927" w:type="dxa"/>
            <w:vAlign w:val="center"/>
          </w:tcPr>
          <w:p>
            <w:pPr>
              <w:adjustRightInd w:val="0"/>
              <w:snapToGrid w:val="0"/>
              <w:spacing w:line="340" w:lineRule="exact"/>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w:t>
            </w:r>
          </w:p>
        </w:tc>
        <w:tc>
          <w:tcPr>
            <w:tcW w:w="1955" w:type="dxa"/>
            <w:vAlign w:val="center"/>
          </w:tcPr>
          <w:p>
            <w:pPr>
              <w:adjustRightInd w:val="0"/>
              <w:snapToGrid w:val="0"/>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完成市分解任务</w:t>
            </w:r>
          </w:p>
        </w:tc>
        <w:tc>
          <w:tcPr>
            <w:tcW w:w="806" w:type="pct"/>
            <w:vAlign w:val="center"/>
          </w:tcPr>
          <w:p>
            <w:pPr>
              <w:adjustRightInd w:val="0"/>
              <w:snapToGrid w:val="0"/>
              <w:jc w:val="center"/>
              <w:rPr>
                <w:rFonts w:eastAsia="仿宋_GB2312"/>
                <w:color w:val="1A1A1A" w:themeColor="background1" w:themeShade="1A"/>
                <w:sz w:val="24"/>
                <w:szCs w:val="24"/>
              </w:rPr>
            </w:pPr>
            <w:r>
              <w:rPr>
                <w:rFonts w:eastAsia="仿宋_GB2312"/>
                <w:color w:val="1A1A1A" w:themeColor="background1" w:themeShade="1A"/>
                <w:sz w:val="24"/>
                <w:szCs w:val="24"/>
              </w:rPr>
              <w:t>预期性</w:t>
            </w:r>
          </w:p>
        </w:tc>
      </w:tr>
    </w:tbl>
    <w:p>
      <w:pPr>
        <w:spacing w:line="360" w:lineRule="auto"/>
        <w:rPr>
          <w:rFonts w:eastAsia="仿宋_GB2312"/>
          <w:color w:val="1A1A1A" w:themeColor="background1" w:themeShade="1A"/>
          <w:sz w:val="28"/>
          <w:szCs w:val="28"/>
        </w:rPr>
      </w:pPr>
      <w:r>
        <w:rPr>
          <w:rFonts w:eastAsia="仿宋_GB2312"/>
          <w:color w:val="1A1A1A" w:themeColor="background1" w:themeShade="1A"/>
          <w:sz w:val="28"/>
          <w:szCs w:val="28"/>
        </w:rPr>
        <w:t>注：</w:t>
      </w:r>
      <w:r>
        <w:rPr>
          <w:rFonts w:hint="eastAsia" w:eastAsia="仿宋_GB2312"/>
          <w:color w:val="1A1A1A" w:themeColor="background1" w:themeShade="1A"/>
          <w:sz w:val="28"/>
          <w:szCs w:val="28"/>
        </w:rPr>
        <w:t xml:space="preserve"> [ ]内为五年累计值。②带*的指标“十四五”统计口径较“十三五”有调整。③具体目标最终以上级分解任务为准。</w:t>
      </w:r>
    </w:p>
    <w:p>
      <w:pPr>
        <w:widowControl/>
        <w:jc w:val="left"/>
        <w:rPr>
          <w:rFonts w:eastAsia="仿宋_GB2312"/>
          <w:color w:val="1A1A1A" w:themeColor="background1" w:themeShade="1A"/>
          <w:sz w:val="28"/>
          <w:szCs w:val="28"/>
        </w:rPr>
      </w:pPr>
      <w:r>
        <w:rPr>
          <w:rFonts w:eastAsia="仿宋_GB2312"/>
          <w:color w:val="1A1A1A" w:themeColor="background1" w:themeShade="1A"/>
          <w:sz w:val="28"/>
          <w:szCs w:val="28"/>
        </w:rPr>
        <w:br w:type="page"/>
      </w:r>
    </w:p>
    <w:p>
      <w:pPr>
        <w:adjustRightInd w:val="0"/>
        <w:spacing w:before="312" w:beforeLines="100" w:after="312" w:afterLines="100"/>
        <w:jc w:val="center"/>
        <w:textAlignment w:val="baseline"/>
        <w:outlineLvl w:val="0"/>
        <w:rPr>
          <w:rFonts w:eastAsia="黑体"/>
          <w:b/>
          <w:color w:val="1A1A1A" w:themeColor="background1" w:themeShade="1A"/>
          <w:sz w:val="32"/>
          <w:szCs w:val="32"/>
        </w:rPr>
      </w:pPr>
      <w:bookmarkStart w:id="13" w:name="_Toc116030705"/>
      <w:r>
        <w:rPr>
          <w:rFonts w:eastAsia="黑体"/>
          <w:b/>
          <w:color w:val="1A1A1A" w:themeColor="background1" w:themeShade="1A"/>
          <w:sz w:val="32"/>
          <w:szCs w:val="32"/>
        </w:rPr>
        <w:t>第三章  推动结构调整  加快经济发展绿色转型</w:t>
      </w:r>
      <w:bookmarkEnd w:id="13"/>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4" w:name="_Toc116030706"/>
      <w:r>
        <w:rPr>
          <w:rFonts w:eastAsia="楷体_GB2312"/>
          <w:b/>
          <w:color w:val="1A1A1A" w:themeColor="background1" w:themeShade="1A"/>
          <w:sz w:val="32"/>
          <w:szCs w:val="32"/>
        </w:rPr>
        <w:t>第一节  夯实绿色发展根基</w:t>
      </w:r>
      <w:bookmarkEnd w:id="14"/>
    </w:p>
    <w:p>
      <w:pPr>
        <w:spacing w:line="360" w:lineRule="auto"/>
        <w:ind w:firstLine="646"/>
        <w:rPr>
          <w:rFonts w:eastAsia="楷体_GB2312"/>
          <w:color w:val="1A1A1A" w:themeColor="background1" w:themeShade="1A"/>
          <w:sz w:val="32"/>
          <w:szCs w:val="32"/>
        </w:rPr>
      </w:pPr>
      <w:bookmarkStart w:id="15" w:name="_Hlk41069788"/>
      <w:bookmarkStart w:id="16" w:name="_Hlk62134463"/>
      <w:r>
        <w:rPr>
          <w:rFonts w:eastAsia="楷体_GB2312"/>
          <w:b/>
          <w:bCs/>
          <w:color w:val="1A1A1A" w:themeColor="background1" w:themeShade="1A"/>
          <w:sz w:val="32"/>
          <w:szCs w:val="32"/>
        </w:rPr>
        <w:t>优化国土空间开发与保护格局。</w:t>
      </w:r>
      <w:r>
        <w:rPr>
          <w:rFonts w:hint="eastAsia" w:eastAsia="仿宋_GB2312"/>
          <w:color w:val="1A1A1A" w:themeColor="background1" w:themeShade="1A"/>
          <w:sz w:val="32"/>
          <w:szCs w:val="32"/>
        </w:rPr>
        <w:t>落实</w:t>
      </w:r>
      <w:r>
        <w:rPr>
          <w:rFonts w:eastAsia="仿宋_GB2312"/>
          <w:color w:val="1A1A1A" w:themeColor="background1" w:themeShade="1A"/>
          <w:sz w:val="32"/>
          <w:szCs w:val="32"/>
        </w:rPr>
        <w:t>主体功能区战略，推动“三线一单”数据的信息化和共建共享，加强“三线一单”在政策制定、环境准入、园区管理、执法监管等方面的应用。依据资源环境承载能力，将“三线一单”作为区域资源开发、布局优化、结构调整、城镇建设、重大项目选址和审批的重要依据</w:t>
      </w:r>
      <w:r>
        <w:rPr>
          <w:rFonts w:hint="eastAsia" w:eastAsia="仿宋_GB2312"/>
          <w:color w:val="1A1A1A" w:themeColor="background1" w:themeShade="1A"/>
          <w:sz w:val="32"/>
          <w:szCs w:val="32"/>
        </w:rPr>
        <w:t>，统筹安排城市建设、产业发展、生态涵养、基础设施和公共服务，优化国土空间开发布局和强度，规范国土空间开发行为，减少人类活动对自然生态空间的占用，推动形成合理有序的城市化地区、农产品主产区、生态功能区格局。</w:t>
      </w:r>
      <w:r>
        <w:rPr>
          <w:rFonts w:hint="eastAsia" w:eastAsia="仿宋_GB2312" w:cs="仿宋_GB2312"/>
          <w:color w:val="1A1A1A" w:themeColor="background1" w:themeShade="1A"/>
          <w:sz w:val="32"/>
          <w:szCs w:val="32"/>
        </w:rPr>
        <w:t>着力构建区、镇国土空间规划体系。</w:t>
      </w:r>
      <w:r>
        <w:rPr>
          <w:rFonts w:hint="eastAsia" w:eastAsia="楷体_GB2312"/>
          <w:color w:val="1A1A1A" w:themeColor="background1" w:themeShade="1A"/>
          <w:sz w:val="32"/>
          <w:szCs w:val="32"/>
        </w:rPr>
        <w:t>（</w:t>
      </w:r>
      <w:r>
        <w:rPr>
          <w:rFonts w:eastAsia="楷体_GB2312"/>
          <w:color w:val="1A1A1A" w:themeColor="background1" w:themeShade="1A"/>
          <w:sz w:val="32"/>
          <w:szCs w:val="32"/>
        </w:rPr>
        <w:t>牵头单位：</w:t>
      </w:r>
      <w:r>
        <w:rPr>
          <w:rFonts w:hint="eastAsia" w:eastAsia="楷体_GB2312"/>
          <w:color w:val="1A1A1A" w:themeColor="background1" w:themeShade="1A"/>
          <w:sz w:val="32"/>
          <w:szCs w:val="32"/>
        </w:rPr>
        <w:t>区</w:t>
      </w:r>
      <w:r>
        <w:rPr>
          <w:rFonts w:eastAsia="楷体_GB2312"/>
          <w:color w:val="1A1A1A" w:themeColor="background1" w:themeShade="1A"/>
          <w:sz w:val="32"/>
          <w:szCs w:val="32"/>
        </w:rPr>
        <w:t>自然资源局</w:t>
      </w:r>
      <w:r>
        <w:rPr>
          <w:rFonts w:hint="eastAsia" w:eastAsia="楷体_GB2312"/>
          <w:color w:val="1A1A1A" w:themeColor="background1" w:themeShade="1A"/>
          <w:sz w:val="32"/>
          <w:szCs w:val="32"/>
        </w:rPr>
        <w:t>、</w:t>
      </w:r>
      <w:r>
        <w:rPr>
          <w:rFonts w:eastAsia="楷体_GB2312"/>
          <w:color w:val="1A1A1A" w:themeColor="background1" w:themeShade="1A"/>
          <w:sz w:val="32"/>
          <w:szCs w:val="32"/>
        </w:rPr>
        <w:t>生态环境分局；配合单位：</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区工业和信息化局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区住房城乡建设局、区交通运输局、区水务局、区农业农村局、区行政审批服务局等</w:t>
      </w:r>
      <w:r>
        <w:rPr>
          <w:rFonts w:eastAsia="楷体_GB2312"/>
          <w:color w:val="1A1A1A" w:themeColor="background1" w:themeShade="1A"/>
          <w:sz w:val="32"/>
          <w:szCs w:val="32"/>
        </w:rPr>
        <w:t>，</w:t>
      </w:r>
      <w:r>
        <w:rPr>
          <w:rFonts w:hint="eastAsia" w:eastAsia="楷体_GB2312" w:cs="楷体_GB2312"/>
          <w:color w:val="1A1A1A" w:themeColor="background1" w:themeShade="1A"/>
          <w:sz w:val="32"/>
          <w:szCs w:val="32"/>
        </w:rPr>
        <w:t>各镇党委和人民政府、各街道党工委和街道办事处</w:t>
      </w:r>
      <w:r>
        <w:rPr>
          <w:rFonts w:eastAsia="楷体_GB2312"/>
          <w:color w:val="1A1A1A" w:themeColor="background1" w:themeShade="1A"/>
          <w:sz w:val="32"/>
          <w:szCs w:val="32"/>
        </w:rPr>
        <w:t>落实。以下各项任务均需</w:t>
      </w:r>
      <w:r>
        <w:rPr>
          <w:rFonts w:hint="eastAsia" w:eastAsia="楷体_GB2312" w:cs="楷体_GB2312"/>
          <w:color w:val="1A1A1A" w:themeColor="background1" w:themeShade="1A"/>
          <w:sz w:val="32"/>
          <w:szCs w:val="32"/>
        </w:rPr>
        <w:t>各镇党委和人民政府、各街道党工委和街道办事处</w:t>
      </w:r>
      <w:r>
        <w:rPr>
          <w:rFonts w:eastAsia="楷体_GB2312"/>
          <w:color w:val="1A1A1A" w:themeColor="background1" w:themeShade="1A"/>
          <w:sz w:val="32"/>
          <w:szCs w:val="32"/>
        </w:rPr>
        <w:t>落实，不再</w:t>
      </w:r>
      <w:r>
        <w:rPr>
          <w:rFonts w:hint="eastAsia" w:eastAsia="楷体_GB2312"/>
          <w:color w:val="1A1A1A" w:themeColor="background1" w:themeShade="1A"/>
          <w:sz w:val="32"/>
          <w:szCs w:val="32"/>
        </w:rPr>
        <w:t>一一</w:t>
      </w:r>
      <w:r>
        <w:rPr>
          <w:rFonts w:eastAsia="楷体_GB2312"/>
          <w:color w:val="1A1A1A" w:themeColor="background1" w:themeShade="1A"/>
          <w:sz w:val="32"/>
          <w:szCs w:val="32"/>
        </w:rPr>
        <w:t>列出</w:t>
      </w:r>
      <w:r>
        <w:rPr>
          <w:rFonts w:hint="eastAsia" w:eastAsia="楷体_GB2312"/>
          <w:color w:val="1A1A1A" w:themeColor="background1" w:themeShade="1A"/>
          <w:sz w:val="32"/>
          <w:szCs w:val="32"/>
        </w:rPr>
        <w:t>）</w:t>
      </w:r>
    </w:p>
    <w:bookmarkEnd w:id="15"/>
    <w:p>
      <w:pPr>
        <w:spacing w:line="360" w:lineRule="auto"/>
        <w:ind w:firstLine="645"/>
        <w:rPr>
          <w:rFonts w:eastAsia="楷体_GB2312"/>
          <w:color w:val="1A1A1A" w:themeColor="background1" w:themeShade="1A"/>
          <w:sz w:val="32"/>
          <w:szCs w:val="32"/>
        </w:rPr>
      </w:pPr>
      <w:r>
        <w:rPr>
          <w:rFonts w:hint="eastAsia" w:eastAsia="楷体_GB2312"/>
          <w:b/>
          <w:bCs/>
          <w:color w:val="1A1A1A" w:themeColor="background1" w:themeShade="1A"/>
          <w:sz w:val="32"/>
          <w:szCs w:val="32"/>
        </w:rPr>
        <w:t>强化区域绿色发展统筹协调力度</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积极落实黄河流域生态保护和高质量发展国家战略、鲁南经济圈区域协调发展战略，推进区域生态共建、环境共治。加强生态环境协同治理，推进环境污染联防联治，促进区域生态环境保护修复。落实京津冀及周边地区大气污染联防联控机制，完善流域水污染防治协调机制，共同推进固体废物治理。建立健全区域内污染应急联动机制，促进环境监测预警合作，协同应对跨区域突发污染事件。探索建立跨行政区生态环境基础设施建设和运营管理的协调机制。</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、生态环境分局按职责分工负责）</w:t>
      </w:r>
    </w:p>
    <w:p>
      <w:pPr>
        <w:pStyle w:val="46"/>
        <w:overflowPunct w:val="0"/>
        <w:spacing w:line="360" w:lineRule="auto"/>
        <w:ind w:firstLine="643"/>
        <w:rPr>
          <w:rFonts w:eastAsia="仿宋_GB2312"/>
          <w:color w:val="1A1A1A" w:themeColor="background1" w:themeShade="1A"/>
          <w:sz w:val="32"/>
          <w:szCs w:val="32"/>
        </w:rPr>
      </w:pPr>
      <w:r>
        <w:rPr>
          <w:rFonts w:hint="eastAsia" w:eastAsia="楷体_GB2312"/>
          <w:b/>
          <w:bCs/>
          <w:color w:val="1A1A1A" w:themeColor="background1" w:themeShade="1A"/>
          <w:sz w:val="32"/>
          <w:szCs w:val="32"/>
        </w:rPr>
        <w:t>健全</w:t>
      </w:r>
      <w:r>
        <w:rPr>
          <w:rFonts w:eastAsia="楷体_GB2312"/>
          <w:b/>
          <w:bCs/>
          <w:color w:val="1A1A1A" w:themeColor="background1" w:themeShade="1A"/>
          <w:sz w:val="32"/>
          <w:szCs w:val="32"/>
        </w:rPr>
        <w:t>完善绿色发展环境政策。</w:t>
      </w:r>
      <w:r>
        <w:rPr>
          <w:rFonts w:eastAsia="仿宋_GB2312"/>
          <w:color w:val="1A1A1A" w:themeColor="background1" w:themeShade="1A"/>
          <w:sz w:val="32"/>
          <w:szCs w:val="32"/>
        </w:rPr>
        <w:t>强化绿色发展的政策保障，制定出台有利于推进产业结构、能源结构、交通运输结构和用地结构调整优化的相关政策。不断健全环境影响评价等生态环境源头预防体系，对重点区域、重点流域、重点行业依法开展规划环境影响评价，落实规划环评与项目环评联动机制，严格建设项目生态环境准入。深化生态环境领域“放管服”改革，完善重大项目落地机制，推进环评审批和监督执法两个“正面清单”制度化、规范化，为新型基础设施、新型城镇化以及交通、水利等重大工程建设开辟绿色通道，持续改善营商环境。加强能耗总量和强度双控、煤炭消费总量和污染物排放总量控制。对高耗能行业提高市场准入要求，严格实施节能审查制度，加强节能审查事中事后监管。</w:t>
      </w:r>
      <w:r>
        <w:rPr>
          <w:rFonts w:eastAsia="楷体_GB2312"/>
          <w:color w:val="1A1A1A" w:themeColor="background1" w:themeShade="1A"/>
          <w:sz w:val="32"/>
          <w:szCs w:val="32"/>
        </w:rPr>
        <w:t>（牵头单位：</w:t>
      </w:r>
      <w:r>
        <w:rPr>
          <w:rFonts w:hint="eastAsia" w:eastAsia="楷体_GB2312"/>
          <w:color w:val="1A1A1A" w:themeColor="background1" w:themeShade="1A"/>
          <w:sz w:val="32"/>
          <w:szCs w:val="32"/>
        </w:rPr>
        <w:t>区工业和信息化局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、生态环境分局；配合单位：</w:t>
      </w:r>
      <w:r>
        <w:rPr>
          <w:rFonts w:hint="eastAsia" w:eastAsia="楷体_GB2312"/>
          <w:color w:val="1A1A1A" w:themeColor="background1" w:themeShade="1A"/>
          <w:sz w:val="32"/>
          <w:szCs w:val="32"/>
        </w:rPr>
        <w:t>区</w:t>
      </w:r>
      <w:r>
        <w:rPr>
          <w:rFonts w:eastAsia="楷体_GB2312"/>
          <w:color w:val="1A1A1A" w:themeColor="background1" w:themeShade="1A"/>
          <w:sz w:val="32"/>
          <w:szCs w:val="32"/>
        </w:rPr>
        <w:t>财政局、</w:t>
      </w:r>
      <w:bookmarkStart w:id="17" w:name="_Hlk115773987"/>
      <w:r>
        <w:rPr>
          <w:rFonts w:hint="eastAsia" w:eastAsia="楷体_GB2312"/>
          <w:color w:val="1A1A1A" w:themeColor="background1" w:themeShade="1A"/>
          <w:sz w:val="32"/>
          <w:szCs w:val="32"/>
        </w:rPr>
        <w:t>区农业农村局、区交通运输局、区</w:t>
      </w:r>
      <w:bookmarkEnd w:id="17"/>
      <w:r>
        <w:rPr>
          <w:rFonts w:eastAsia="楷体_GB2312"/>
          <w:color w:val="1A1A1A" w:themeColor="background1" w:themeShade="1A"/>
          <w:sz w:val="32"/>
          <w:szCs w:val="32"/>
        </w:rPr>
        <w:t>行政审批服务局）</w:t>
      </w:r>
    </w:p>
    <w:bookmarkEnd w:id="16"/>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8" w:name="_Toc116030707"/>
      <w:r>
        <w:rPr>
          <w:rFonts w:eastAsia="楷体_GB2312"/>
          <w:b/>
          <w:color w:val="1A1A1A" w:themeColor="background1" w:themeShade="1A"/>
          <w:sz w:val="32"/>
          <w:szCs w:val="32"/>
        </w:rPr>
        <w:t xml:space="preserve">第二节  </w:t>
      </w:r>
      <w:r>
        <w:rPr>
          <w:rFonts w:hint="eastAsia" w:eastAsia="楷体_GB2312"/>
          <w:b/>
          <w:color w:val="1A1A1A" w:themeColor="background1" w:themeShade="1A"/>
          <w:sz w:val="32"/>
          <w:szCs w:val="32"/>
        </w:rPr>
        <w:t>加快</w:t>
      </w:r>
      <w:r>
        <w:rPr>
          <w:rFonts w:eastAsia="楷体_GB2312"/>
          <w:b/>
          <w:color w:val="1A1A1A" w:themeColor="background1" w:themeShade="1A"/>
          <w:sz w:val="32"/>
          <w:szCs w:val="32"/>
        </w:rPr>
        <w:t>推动产业结构调整</w:t>
      </w:r>
      <w:bookmarkEnd w:id="18"/>
    </w:p>
    <w:p>
      <w:pPr>
        <w:spacing w:line="360" w:lineRule="auto"/>
        <w:ind w:firstLine="645"/>
        <w:rPr>
          <w:rFonts w:eastAsia="楷体_GB2312"/>
          <w:b/>
          <w:bCs/>
          <w:color w:val="1A1A1A" w:themeColor="background1" w:themeShade="1A"/>
          <w:sz w:val="32"/>
          <w:szCs w:val="32"/>
        </w:rPr>
      </w:pPr>
      <w:r>
        <w:rPr>
          <w:rFonts w:hint="eastAsia" w:eastAsia="楷体_GB2312"/>
          <w:b/>
          <w:bCs/>
          <w:color w:val="1A1A1A" w:themeColor="background1" w:themeShade="1A"/>
          <w:sz w:val="32"/>
          <w:szCs w:val="32"/>
        </w:rPr>
        <w:t>坚决遏制“两高”项目盲目发展</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公布“两高”项目清单。配合市级完成“两高”项目联审。2022年年底前，根据省市反馈意见，公布“两高”项目清单。</w:t>
      </w:r>
      <w:r>
        <w:rPr>
          <w:rFonts w:hint="eastAsia" w:eastAsia="楷体_GB2312"/>
          <w:color w:val="1A1A1A" w:themeColor="background1" w:themeShade="1A"/>
          <w:sz w:val="32"/>
          <w:szCs w:val="32"/>
        </w:rPr>
        <w:t>（责任单位：区发展改革局）</w:t>
      </w:r>
      <w:r>
        <w:rPr>
          <w:rFonts w:hint="eastAsia" w:eastAsia="仿宋_GB2312"/>
          <w:color w:val="1A1A1A" w:themeColor="background1" w:themeShade="1A"/>
          <w:sz w:val="32"/>
          <w:szCs w:val="32"/>
        </w:rPr>
        <w:t>坚持环境质量“只能更好，不能变坏”的底线，严格落实主要污染物排放总量和产能总量控制刚性要求。</w:t>
      </w:r>
      <w:r>
        <w:rPr>
          <w:rFonts w:eastAsia="楷体_GB2312"/>
          <w:color w:val="1A1A1A" w:themeColor="background1" w:themeShade="1A"/>
          <w:sz w:val="32"/>
          <w:szCs w:val="32"/>
        </w:rPr>
        <w:t>（</w:t>
      </w:r>
      <w:r>
        <w:rPr>
          <w:rFonts w:hint="eastAsia" w:eastAsia="楷体_GB2312"/>
          <w:color w:val="1A1A1A" w:themeColor="background1" w:themeShade="1A"/>
          <w:sz w:val="32"/>
          <w:szCs w:val="32"/>
        </w:rPr>
        <w:t>责任单位：</w:t>
      </w:r>
      <w:r>
        <w:rPr>
          <w:rFonts w:eastAsia="楷体_GB2312"/>
          <w:color w:val="1A1A1A" w:themeColor="background1" w:themeShade="1A"/>
          <w:sz w:val="32"/>
          <w:szCs w:val="32"/>
        </w:rPr>
        <w:t>生态环境分局</w:t>
      </w:r>
      <w:r>
        <w:rPr>
          <w:rFonts w:hint="eastAsia" w:eastAsia="楷体_GB2312"/>
          <w:color w:val="1A1A1A" w:themeColor="background1" w:themeShade="1A"/>
          <w:sz w:val="32"/>
          <w:szCs w:val="32"/>
        </w:rPr>
        <w:t>、区工业和信息化局；配合单位：</w:t>
      </w:r>
      <w:bookmarkStart w:id="19" w:name="_Hlk115774167"/>
      <w:r>
        <w:rPr>
          <w:rFonts w:hint="eastAsia" w:eastAsia="楷体_GB2312"/>
          <w:color w:val="1A1A1A" w:themeColor="background1" w:themeShade="1A"/>
          <w:sz w:val="32"/>
          <w:szCs w:val="32"/>
        </w:rPr>
        <w:t>区行政审批服务局</w:t>
      </w:r>
      <w:bookmarkEnd w:id="19"/>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w:t>
      </w:r>
      <w:r>
        <w:rPr>
          <w:rFonts w:hint="eastAsia" w:eastAsia="仿宋_GB2312"/>
          <w:color w:val="1A1A1A" w:themeColor="background1" w:themeShade="1A"/>
          <w:sz w:val="32"/>
          <w:szCs w:val="32"/>
        </w:rPr>
        <w:t>实施“四上四压”，坚持“上新压旧”“上大压小”“上高压低”“上整压散”。“两高”项目确有必要建设的，须严格落实产能、煤耗、能耗、碳排放和污染物排放“五个减量替代”要求，新（改、扩）建项目要落实减量替代相关要求，已建项目要减量运行。</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区工业和信息化局</w:t>
      </w:r>
      <w:r>
        <w:rPr>
          <w:rFonts w:eastAsia="楷体_GB2312"/>
          <w:color w:val="1A1A1A" w:themeColor="background1" w:themeShade="1A"/>
          <w:sz w:val="32"/>
          <w:szCs w:val="32"/>
        </w:rPr>
        <w:t>、</w:t>
      </w:r>
      <w:r>
        <w:rPr>
          <w:rFonts w:hint="eastAsia" w:eastAsia="楷体_GB2312"/>
          <w:color w:val="1A1A1A" w:themeColor="background1" w:themeShade="1A"/>
          <w:sz w:val="32"/>
          <w:szCs w:val="32"/>
        </w:rPr>
        <w:t>生态环境分局</w:t>
      </w:r>
      <w:r>
        <w:rPr>
          <w:rFonts w:eastAsia="楷体_GB2312"/>
          <w:color w:val="1A1A1A" w:themeColor="background1" w:themeShade="1A"/>
          <w:sz w:val="32"/>
          <w:szCs w:val="32"/>
        </w:rPr>
        <w:t>按职责分工负责）</w:t>
      </w:r>
      <w:r>
        <w:rPr>
          <w:rFonts w:hint="eastAsia" w:eastAsia="仿宋_GB2312"/>
          <w:color w:val="1A1A1A" w:themeColor="background1" w:themeShade="1A"/>
          <w:sz w:val="32"/>
          <w:szCs w:val="32"/>
        </w:rPr>
        <w:t>依据国家相关产业政策，对焦化、煤电、水泥、轮胎等重点行业严格执行产能置换要求，确保产能总量只减不增。原则上不再审批新建煤矿项目。严禁新增水泥产能。</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区工业和信息化局、区行政审批服务局</w:t>
      </w:r>
      <w:r>
        <w:rPr>
          <w:rFonts w:eastAsia="楷体_GB2312"/>
          <w:color w:val="1A1A1A" w:themeColor="background1" w:themeShade="1A"/>
          <w:sz w:val="32"/>
          <w:szCs w:val="32"/>
        </w:rPr>
        <w:t>按职责分工负责）</w:t>
      </w:r>
    </w:p>
    <w:p>
      <w:pPr>
        <w:spacing w:line="360" w:lineRule="auto"/>
        <w:ind w:firstLine="645"/>
        <w:rPr>
          <w:rFonts w:eastAsia="楷体_GB2312"/>
          <w:color w:val="1A1A1A" w:themeColor="background1" w:themeShade="1A"/>
          <w:sz w:val="32"/>
          <w:szCs w:val="32"/>
        </w:rPr>
      </w:pPr>
      <w:r>
        <w:rPr>
          <w:rFonts w:eastAsia="楷体_GB2312"/>
          <w:b/>
          <w:bCs/>
          <w:color w:val="1A1A1A" w:themeColor="background1" w:themeShade="1A"/>
          <w:sz w:val="32"/>
          <w:szCs w:val="32"/>
        </w:rPr>
        <w:t>淘汰落后低效</w:t>
      </w:r>
      <w:r>
        <w:rPr>
          <w:rFonts w:hint="eastAsia" w:eastAsia="楷体_GB2312"/>
          <w:b/>
          <w:bCs/>
          <w:color w:val="1A1A1A" w:themeColor="background1" w:themeShade="1A"/>
          <w:sz w:val="32"/>
          <w:szCs w:val="32"/>
        </w:rPr>
        <w:t>动能、低效</w:t>
      </w:r>
      <w:r>
        <w:rPr>
          <w:rFonts w:eastAsia="楷体_GB2312"/>
          <w:b/>
          <w:bCs/>
          <w:color w:val="1A1A1A" w:themeColor="background1" w:themeShade="1A"/>
          <w:sz w:val="32"/>
          <w:szCs w:val="32"/>
        </w:rPr>
        <w:t>产能。</w:t>
      </w:r>
      <w:r>
        <w:rPr>
          <w:rFonts w:eastAsia="仿宋_GB2312"/>
          <w:color w:val="1A1A1A" w:themeColor="background1" w:themeShade="1A"/>
          <w:sz w:val="32"/>
          <w:szCs w:val="32"/>
        </w:rPr>
        <w:t>严格落实产业结构调整指导目录，对“淘汰类”工艺和装备全部淘汰出清。精准聚焦煤电、水泥、轮胎、煤炭、化工</w:t>
      </w:r>
      <w:r>
        <w:rPr>
          <w:rFonts w:hint="eastAsia" w:eastAsia="仿宋_GB2312"/>
          <w:color w:val="1A1A1A" w:themeColor="background1" w:themeShade="1A"/>
          <w:sz w:val="32"/>
          <w:szCs w:val="32"/>
        </w:rPr>
        <w:t>、</w:t>
      </w:r>
      <w:r>
        <w:rPr>
          <w:rFonts w:eastAsia="仿宋_GB2312"/>
          <w:color w:val="1A1A1A" w:themeColor="background1" w:themeShade="1A"/>
          <w:sz w:val="32"/>
          <w:szCs w:val="32"/>
        </w:rPr>
        <w:t>焦化等</w:t>
      </w:r>
      <w:r>
        <w:rPr>
          <w:rFonts w:hint="eastAsia" w:eastAsia="仿宋_GB2312"/>
          <w:color w:val="1A1A1A" w:themeColor="background1" w:themeShade="1A"/>
          <w:sz w:val="32"/>
          <w:szCs w:val="32"/>
        </w:rPr>
        <w:t>6</w:t>
      </w:r>
      <w:r>
        <w:rPr>
          <w:rFonts w:eastAsia="仿宋_GB2312"/>
          <w:color w:val="1A1A1A" w:themeColor="background1" w:themeShade="1A"/>
          <w:sz w:val="32"/>
          <w:szCs w:val="32"/>
        </w:rPr>
        <w:t>个重点行业，加快淘汰低效落后动能。进一步健全并严格落实环保、安全、技术、能耗、效益标准，推动低效落后产能退出。</w:t>
      </w:r>
      <w:r>
        <w:rPr>
          <w:rFonts w:hint="eastAsia" w:eastAsia="仿宋_GB2312" w:cs="仿宋_GB2312"/>
          <w:color w:val="1A1A1A" w:themeColor="background1" w:themeShade="1A"/>
          <w:sz w:val="32"/>
          <w:szCs w:val="32"/>
        </w:rPr>
        <w:t>继续实施</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以煤定产</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w:t>
      </w:r>
      <w:r>
        <w:rPr>
          <w:rFonts w:eastAsia="仿宋_GB2312"/>
          <w:color w:val="1A1A1A" w:themeColor="background1" w:themeShade="1A"/>
          <w:sz w:val="32"/>
          <w:szCs w:val="32"/>
        </w:rPr>
        <w:t>2022</w:t>
      </w:r>
      <w:r>
        <w:rPr>
          <w:rFonts w:hint="eastAsia" w:eastAsia="仿宋_GB2312" w:cs="仿宋_GB2312"/>
          <w:color w:val="1A1A1A" w:themeColor="background1" w:themeShade="1A"/>
          <w:sz w:val="32"/>
          <w:szCs w:val="32"/>
        </w:rPr>
        <w:t>年全区焦炭年产量控制在</w:t>
      </w:r>
      <w:r>
        <w:rPr>
          <w:rFonts w:eastAsia="仿宋_GB2312"/>
          <w:color w:val="1A1A1A" w:themeColor="background1" w:themeShade="1A"/>
          <w:sz w:val="32"/>
          <w:szCs w:val="32"/>
        </w:rPr>
        <w:t>180</w:t>
      </w:r>
      <w:r>
        <w:rPr>
          <w:rFonts w:hint="eastAsia" w:eastAsia="仿宋_GB2312" w:cs="仿宋_GB2312"/>
          <w:color w:val="1A1A1A" w:themeColor="background1" w:themeShade="1A"/>
          <w:sz w:val="32"/>
          <w:szCs w:val="32"/>
        </w:rPr>
        <w:t>万吨，督促山东兖矿国际焦化有限公司按照省定焦炭产量控制目标组织生产。</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区工业和信息化局、生态环境分局</w:t>
      </w:r>
      <w:r>
        <w:rPr>
          <w:rFonts w:eastAsia="楷体_GB2312"/>
          <w:color w:val="1A1A1A" w:themeColor="background1" w:themeShade="1A"/>
          <w:sz w:val="32"/>
          <w:szCs w:val="32"/>
        </w:rPr>
        <w:t>按职责分工负责）</w:t>
      </w:r>
    </w:p>
    <w:p>
      <w:pPr>
        <w:autoSpaceDE w:val="0"/>
        <w:autoSpaceDN w:val="0"/>
        <w:adjustRightInd w:val="0"/>
        <w:ind w:firstLine="642" w:firstLineChars="200"/>
        <w:jc w:val="left"/>
        <w:rPr>
          <w:rFonts w:eastAsia="仿宋_GB2312"/>
          <w:color w:val="1A1A1A" w:themeColor="background1" w:themeShade="1A"/>
          <w:sz w:val="32"/>
          <w:szCs w:val="32"/>
        </w:rPr>
      </w:pPr>
      <w:r>
        <w:rPr>
          <w:rFonts w:eastAsia="楷体_GB2312"/>
          <w:b/>
          <w:bCs/>
          <w:color w:val="1A1A1A" w:themeColor="background1" w:themeShade="1A"/>
          <w:sz w:val="32"/>
          <w:szCs w:val="32"/>
        </w:rPr>
        <w:t>推进重点行业</w:t>
      </w:r>
      <w:r>
        <w:rPr>
          <w:rFonts w:hint="eastAsia" w:eastAsia="楷体_GB2312"/>
          <w:b/>
          <w:bCs/>
          <w:color w:val="1A1A1A" w:themeColor="background1" w:themeShade="1A"/>
          <w:sz w:val="32"/>
          <w:szCs w:val="32"/>
        </w:rPr>
        <w:t>、园区</w:t>
      </w:r>
      <w:r>
        <w:rPr>
          <w:rFonts w:eastAsia="楷体_GB2312"/>
          <w:b/>
          <w:bCs/>
          <w:color w:val="1A1A1A" w:themeColor="background1" w:themeShade="1A"/>
          <w:sz w:val="32"/>
          <w:szCs w:val="32"/>
        </w:rPr>
        <w:t>绿色</w:t>
      </w:r>
      <w:r>
        <w:rPr>
          <w:rFonts w:hint="eastAsia" w:eastAsia="楷体_GB2312"/>
          <w:b/>
          <w:bCs/>
          <w:color w:val="1A1A1A" w:themeColor="background1" w:themeShade="1A"/>
          <w:sz w:val="32"/>
          <w:szCs w:val="32"/>
        </w:rPr>
        <w:t>发展</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有序推进焦化、铸造、建材、化工、工业涂装、包装印刷、造纸、农副食品加工等行业的全流程清洁化、循环化、低碳化改造</w:t>
      </w:r>
      <w:r>
        <w:rPr>
          <w:rFonts w:eastAsia="仿宋_GB2312"/>
          <w:color w:val="1A1A1A" w:themeColor="background1" w:themeShade="1A"/>
          <w:sz w:val="32"/>
          <w:szCs w:val="32"/>
        </w:rPr>
        <w:t>。推动重点行业加快实施限制类产能装备的升级改造，有序开展超低排放改造。</w:t>
      </w:r>
      <w:r>
        <w:rPr>
          <w:rFonts w:hint="eastAsia" w:eastAsia="楷体_GB2312"/>
          <w:color w:val="1A1A1A" w:themeColor="background1" w:themeShade="1A"/>
          <w:sz w:val="32"/>
          <w:szCs w:val="32"/>
        </w:rPr>
        <w:t>（牵头单位：区工业和信息化局、区发展改革局；配合单位：生态环境分局）</w:t>
      </w:r>
      <w:r>
        <w:rPr>
          <w:rFonts w:hint="eastAsia" w:eastAsia="仿宋_GB2312" w:cs="仿宋_GB2312"/>
          <w:color w:val="1A1A1A" w:themeColor="background1" w:themeShade="1A"/>
          <w:sz w:val="32"/>
          <w:szCs w:val="32"/>
        </w:rPr>
        <w:t>深入推进生态工业园区建设。开展省级生态工业园区创建工作，推动生态工业园区创建迈上新台阶。</w:t>
      </w:r>
      <w:r>
        <w:rPr>
          <w:rFonts w:hint="eastAsia" w:eastAsia="楷体_GB2312"/>
          <w:color w:val="1A1A1A" w:themeColor="background1" w:themeShade="1A"/>
          <w:sz w:val="32"/>
          <w:szCs w:val="32"/>
        </w:rPr>
        <w:t>（生态环境分局、兖州区工业园区管委会、区商务局、区科技局等按职责分工负责）</w:t>
      </w:r>
    </w:p>
    <w:p>
      <w:pPr>
        <w:autoSpaceDE w:val="0"/>
        <w:autoSpaceDN w:val="0"/>
        <w:adjustRightInd w:val="0"/>
        <w:ind w:firstLine="642" w:firstLineChars="200"/>
        <w:jc w:val="left"/>
        <w:rPr>
          <w:rFonts w:eastAsia="楷体_GB2312"/>
          <w:color w:val="1A1A1A" w:themeColor="background1" w:themeShade="1A"/>
          <w:sz w:val="32"/>
          <w:szCs w:val="32"/>
        </w:rPr>
      </w:pPr>
      <w:r>
        <w:rPr>
          <w:rFonts w:hint="eastAsia" w:eastAsia="楷体_GB2312"/>
          <w:b/>
          <w:bCs/>
          <w:color w:val="1A1A1A" w:themeColor="background1" w:themeShade="1A"/>
          <w:sz w:val="32"/>
          <w:szCs w:val="32"/>
        </w:rPr>
        <w:t>发展壮大生态环保产业</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大力推动环保装备制造产业集聚发展，积极培育技术先进、管理科学的环保装备制造企业，实现特色优势环保装备制造领域高端化发展。做新做优环境服务业，推行环境污染第三方治理、环保管家、环境治理综合托管服务等模式，提升环境治理市场化、专业化水平。推动生态环保产业与5G、物联网、云计算、大数据、区块链、人工智能等新一代信息技术深度融合，提高产业信息化、智能化水平。加大对生态环保产业发展的支持力度，培育支持为环保产业提供技术信息、人力资源、绿色金融、管理咨询等服务的专业机构。</w:t>
      </w:r>
      <w:r>
        <w:rPr>
          <w:rFonts w:hint="eastAsia" w:eastAsia="仿宋_GB2312" w:cs="仿宋_GB2312"/>
          <w:color w:val="1A1A1A" w:themeColor="background1" w:themeShade="1A"/>
          <w:sz w:val="32"/>
          <w:szCs w:val="32"/>
        </w:rPr>
        <w:t>强化金融支持。组织开展全区生态环保产业统计调查，将生态环保产业企业纳入金融辅导；宣贯《山东省环保金融政策一本通》，指导企业用好用足环保金融政策。</w:t>
      </w:r>
      <w:r>
        <w:rPr>
          <w:rFonts w:hint="eastAsia" w:eastAsia="仿宋_GB2312"/>
          <w:color w:val="1A1A1A" w:themeColor="background1" w:themeShade="1A"/>
          <w:sz w:val="32"/>
          <w:szCs w:val="32"/>
        </w:rPr>
        <w:t>推进产业规范有序发展，发挥行业协会、商会等的自律作用，引导企业遵纪守法、诚信经营。</w:t>
      </w:r>
      <w:r>
        <w:rPr>
          <w:rFonts w:hint="eastAsia" w:eastAsia="楷体_GB2312"/>
          <w:color w:val="1A1A1A" w:themeColor="background1" w:themeShade="1A"/>
          <w:sz w:val="32"/>
          <w:szCs w:val="32"/>
        </w:rPr>
        <w:t>（牵头单位：生态环境分局、区工业和信息化局，区地方金融监管局；配合单位：区发展改革局、区科技局）</w:t>
      </w:r>
    </w:p>
    <w:p>
      <w:pPr>
        <w:spacing w:line="360" w:lineRule="auto"/>
        <w:ind w:firstLine="645"/>
        <w:rPr>
          <w:rFonts w:eastAsia="楷体_GB2312"/>
          <w:color w:val="1A1A1A" w:themeColor="background1" w:themeShade="1A"/>
          <w:sz w:val="32"/>
          <w:szCs w:val="32"/>
        </w:rPr>
      </w:pPr>
      <w:r>
        <w:rPr>
          <w:rFonts w:eastAsia="楷体_GB2312"/>
          <w:b/>
          <w:bCs/>
          <w:color w:val="1A1A1A" w:themeColor="background1" w:themeShade="1A"/>
          <w:sz w:val="32"/>
          <w:szCs w:val="32"/>
        </w:rPr>
        <w:t>构建绿色产业链供应链。</w:t>
      </w:r>
      <w:r>
        <w:rPr>
          <w:rFonts w:eastAsia="仿宋_GB2312"/>
          <w:color w:val="1A1A1A" w:themeColor="background1" w:themeShade="1A"/>
          <w:sz w:val="32"/>
          <w:szCs w:val="32"/>
        </w:rPr>
        <w:t>推动建立以资源节约、环境友好为导向的采购、生产、营销、回收及物流体系。</w:t>
      </w:r>
      <w:r>
        <w:rPr>
          <w:rFonts w:hint="eastAsia" w:eastAsia="仿宋_GB2312"/>
          <w:color w:val="1A1A1A" w:themeColor="background1" w:themeShade="1A"/>
          <w:sz w:val="32"/>
          <w:szCs w:val="32"/>
        </w:rPr>
        <w:t>积极应用物联网、大数据和云计算等信息技术，建立绿色供应链管理体系。推动造纸、建材、化工等重点行业打造循环经济产业链，打造完整的工程机械、农机机械、专用车、矿采机械零部件再制造产业链。鼓励企业开展绿色设计、选择绿色材料、使用再生资源，培育一批绿色设计示范企业、绿色工厂，实施绿色采购、推行绿色包装、开展绿色运输、做好废弃产品回收处理，实现产品全周期的绿色管理。</w:t>
      </w:r>
      <w:r>
        <w:rPr>
          <w:rFonts w:hint="eastAsia" w:eastAsia="楷体_GB2312"/>
          <w:color w:val="1A1A1A" w:themeColor="background1" w:themeShade="1A"/>
          <w:sz w:val="32"/>
          <w:szCs w:val="32"/>
        </w:rPr>
        <w:t>（牵头单位：区发展改革局、区工业和信息化局；配合单位：区科技局、生态环境分局）</w:t>
      </w:r>
    </w:p>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大力推进清洁生产</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加强建设项目和产品设计阶段清洁生产。新（改、扩）建项目进行环境影响评价时，应分析论证原辅料使用、资源能源消耗、资源综合利用、厂内外运输方式以及污染物产生与处置等，对使用的清洁生产技术、工艺和设备进行说明，相关情况作为环境影响评价的重要内容。鼓励企业在产品和包装物设计时充分考虑其在生命周期中对人类健康和环境的影响，优先选择无毒、无害、易于降解或者便于回收利用的方案。严格执行产品能效、水效、能耗限额、污染物排放等标准。强化重点用能单位节能管理，实施能量系统优化、节能技术改造等重点工程。开展重点行业和重点产品资源效率对标提升行动，实施能效、水效“领跑者”制度。</w:t>
      </w:r>
      <w:r>
        <w:rPr>
          <w:rFonts w:hint="eastAsia" w:eastAsia="仿宋_GB2312" w:cs="仿宋_GB2312"/>
          <w:color w:val="1A1A1A" w:themeColor="background1" w:themeShade="1A"/>
          <w:sz w:val="32"/>
          <w:szCs w:val="32"/>
        </w:rPr>
        <w:t>以焦化、铸造、建材、化工、工业涂装、包装印刷等行业为重点，开展全流程清洁化、循环化、低碳化改造，引导鼓励企业开展自愿性清洁生产审核。完成年度强制性清洁生产审核任务。</w:t>
      </w:r>
      <w:r>
        <w:rPr>
          <w:rFonts w:hint="eastAsia" w:eastAsia="仿宋_GB2312"/>
          <w:color w:val="1A1A1A" w:themeColor="background1" w:themeShade="1A"/>
          <w:sz w:val="32"/>
          <w:szCs w:val="32"/>
        </w:rPr>
        <w:t>按照省有关部署，将碳排放绩效纳入清洁生产审核，发挥清洁生产对碳达峰、碳中和的促进作用</w:t>
      </w:r>
      <w:r>
        <w:rPr>
          <w:rFonts w:eastAsia="仿宋_GB2312"/>
          <w:color w:val="1A1A1A" w:themeColor="background1" w:themeShade="1A"/>
          <w:sz w:val="32"/>
          <w:szCs w:val="32"/>
        </w:rPr>
        <w:t>。</w:t>
      </w:r>
      <w:r>
        <w:rPr>
          <w:rFonts w:hint="eastAsia" w:eastAsia="楷体_GB2312"/>
          <w:color w:val="1A1A1A" w:themeColor="background1" w:themeShade="1A"/>
          <w:sz w:val="32"/>
          <w:szCs w:val="32"/>
        </w:rPr>
        <w:t>（牵头单位：生态环境分局；配合单位：区发展改革局、区工业和信息化局、区水务局、区科技局）</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20" w:name="_Toc116030708"/>
      <w:r>
        <w:rPr>
          <w:rFonts w:eastAsia="楷体_GB2312"/>
          <w:b/>
          <w:color w:val="1A1A1A" w:themeColor="background1" w:themeShade="1A"/>
          <w:sz w:val="32"/>
          <w:szCs w:val="32"/>
        </w:rPr>
        <w:t xml:space="preserve">第三节  </w:t>
      </w:r>
      <w:r>
        <w:rPr>
          <w:rFonts w:hint="eastAsia" w:eastAsia="楷体_GB2312"/>
          <w:b/>
          <w:color w:val="1A1A1A" w:themeColor="background1" w:themeShade="1A"/>
          <w:sz w:val="32"/>
          <w:szCs w:val="32"/>
        </w:rPr>
        <w:t>深入实施</w:t>
      </w:r>
      <w:r>
        <w:rPr>
          <w:rFonts w:eastAsia="楷体_GB2312"/>
          <w:b/>
          <w:color w:val="1A1A1A" w:themeColor="background1" w:themeShade="1A"/>
          <w:sz w:val="32"/>
          <w:szCs w:val="32"/>
        </w:rPr>
        <w:t>能源结构调整</w:t>
      </w:r>
      <w:bookmarkEnd w:id="20"/>
    </w:p>
    <w:p>
      <w:pPr>
        <w:pStyle w:val="46"/>
        <w:spacing w:line="360" w:lineRule="auto"/>
        <w:ind w:firstLine="643"/>
        <w:rPr>
          <w:rFonts w:ascii="楷体_GB2312" w:eastAsia="楷体_GB2312"/>
          <w:color w:val="1A1A1A" w:themeColor="background1" w:themeShade="1A"/>
          <w:sz w:val="32"/>
          <w:szCs w:val="32"/>
        </w:rPr>
      </w:pPr>
      <w:r>
        <w:rPr>
          <w:rFonts w:hint="eastAsia" w:eastAsia="楷体_GB2312"/>
          <w:b/>
          <w:bCs/>
          <w:color w:val="1A1A1A" w:themeColor="background1" w:themeShade="1A"/>
          <w:sz w:val="32"/>
          <w:szCs w:val="32"/>
        </w:rPr>
        <w:t>持续推进煤炭消费压减</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采取“上大压小、上新压旧、上高压低、上整压散”方式，严格落实“五个减量替代”要求。严控化石能源消费，增加清洁能源供给，完成市定各年度煤炭消费压减目标任务。至2</w:t>
      </w:r>
      <w:r>
        <w:rPr>
          <w:rFonts w:eastAsia="仿宋_GB2312"/>
          <w:color w:val="1A1A1A" w:themeColor="background1" w:themeShade="1A"/>
          <w:sz w:val="32"/>
          <w:szCs w:val="32"/>
        </w:rPr>
        <w:t>022</w:t>
      </w:r>
      <w:r>
        <w:rPr>
          <w:rFonts w:hint="eastAsia" w:eastAsia="仿宋_GB2312"/>
          <w:color w:val="1A1A1A" w:themeColor="background1" w:themeShade="1A"/>
          <w:sz w:val="32"/>
          <w:szCs w:val="32"/>
        </w:rPr>
        <w:t>年年底，非化石能源消费总量进一步提升，新能源和可再生能源发电装机规模达到22.16万千瓦。至2</w:t>
      </w:r>
      <w:r>
        <w:rPr>
          <w:rFonts w:eastAsia="仿宋_GB2312"/>
          <w:color w:val="1A1A1A" w:themeColor="background1" w:themeShade="1A"/>
          <w:sz w:val="32"/>
          <w:szCs w:val="32"/>
        </w:rPr>
        <w:t>025</w:t>
      </w:r>
      <w:r>
        <w:rPr>
          <w:rFonts w:hint="eastAsia" w:eastAsia="仿宋_GB2312"/>
          <w:color w:val="1A1A1A" w:themeColor="background1" w:themeShade="1A"/>
          <w:sz w:val="32"/>
          <w:szCs w:val="32"/>
        </w:rPr>
        <w:t>年年底，</w:t>
      </w:r>
      <w:r>
        <w:rPr>
          <w:rFonts w:hint="eastAsia" w:eastAsia="仿宋_GB2312" w:cs="仿宋_GB2312"/>
          <w:color w:val="1A1A1A" w:themeColor="background1" w:themeShade="1A"/>
          <w:sz w:val="32"/>
          <w:szCs w:val="32"/>
        </w:rPr>
        <w:t>煤炭消费比重下降至</w:t>
      </w:r>
      <w:r>
        <w:rPr>
          <w:rFonts w:eastAsia="仿宋_GB2312"/>
          <w:color w:val="1A1A1A" w:themeColor="background1" w:themeShade="1A"/>
          <w:sz w:val="32"/>
          <w:szCs w:val="32"/>
        </w:rPr>
        <w:t>77%</w:t>
      </w:r>
      <w:r>
        <w:rPr>
          <w:rFonts w:hint="eastAsia" w:eastAsia="仿宋_GB2312" w:cs="仿宋_GB2312"/>
          <w:color w:val="1A1A1A" w:themeColor="background1" w:themeShade="1A"/>
          <w:sz w:val="32"/>
          <w:szCs w:val="32"/>
        </w:rPr>
        <w:t>以下，非化石能源消费比重提高到</w:t>
      </w:r>
      <w:r>
        <w:rPr>
          <w:rFonts w:eastAsia="仿宋_GB2312"/>
          <w:color w:val="1A1A1A" w:themeColor="background1" w:themeShade="1A"/>
          <w:sz w:val="32"/>
          <w:szCs w:val="32"/>
        </w:rPr>
        <w:t>10%</w:t>
      </w:r>
      <w:r>
        <w:rPr>
          <w:rFonts w:hint="eastAsia" w:eastAsia="仿宋_GB2312" w:cs="仿宋_GB2312"/>
          <w:color w:val="1A1A1A" w:themeColor="background1" w:themeShade="1A"/>
          <w:sz w:val="32"/>
          <w:szCs w:val="32"/>
        </w:rPr>
        <w:t>以上。</w:t>
      </w:r>
      <w:r>
        <w:rPr>
          <w:rFonts w:hint="eastAsia" w:eastAsia="楷体_GB2312"/>
          <w:color w:val="1A1A1A" w:themeColor="background1" w:themeShade="1A"/>
          <w:sz w:val="32"/>
          <w:szCs w:val="32"/>
        </w:rPr>
        <w:t>（责任单位：区发展改革局）</w:t>
      </w:r>
    </w:p>
    <w:p>
      <w:pPr>
        <w:spacing w:line="590" w:lineRule="exact"/>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推进清洁取暖建设工作。</w:t>
      </w:r>
      <w:r>
        <w:rPr>
          <w:rFonts w:hint="eastAsia" w:ascii="仿宋_GB2312" w:eastAsia="仿宋_GB2312" w:cs="仿宋_GB2312"/>
          <w:color w:val="1A1A1A" w:themeColor="background1" w:themeShade="1A"/>
          <w:sz w:val="32"/>
          <w:szCs w:val="32"/>
        </w:rPr>
        <w:t>进一步加大“气代煤”“电代煤”覆盖范围。</w:t>
      </w:r>
      <w:r>
        <w:rPr>
          <w:rFonts w:hint="eastAsia" w:eastAsia="仿宋_GB2312" w:cs="仿宋_GB2312"/>
          <w:color w:val="1A1A1A" w:themeColor="background1" w:themeShade="1A"/>
          <w:sz w:val="32"/>
          <w:szCs w:val="32"/>
        </w:rPr>
        <w:t>按照市下达的</w:t>
      </w:r>
      <w:r>
        <w:rPr>
          <w:rFonts w:hint="eastAsia" w:eastAsia="仿宋_GB2312"/>
          <w:color w:val="1A1A1A" w:themeColor="background1" w:themeShade="1A"/>
          <w:sz w:val="32"/>
          <w:szCs w:val="32"/>
        </w:rPr>
        <w:t>年度</w:t>
      </w:r>
      <w:r>
        <w:rPr>
          <w:rFonts w:hint="eastAsia" w:eastAsia="仿宋_GB2312" w:cs="仿宋_GB2312"/>
          <w:color w:val="1A1A1A" w:themeColor="background1" w:themeShade="1A"/>
          <w:sz w:val="32"/>
          <w:szCs w:val="32"/>
        </w:rPr>
        <w:t>清洁取暖建设计划，研究制定全区清洁取暖年度建设方案，强化清洁取暖能源保供，</w:t>
      </w:r>
      <w:r>
        <w:rPr>
          <w:rFonts w:hint="eastAsia" w:eastAsia="仿宋_GB2312"/>
          <w:color w:val="1A1A1A" w:themeColor="background1" w:themeShade="1A"/>
          <w:sz w:val="32"/>
          <w:szCs w:val="32"/>
        </w:rPr>
        <w:t>每年</w:t>
      </w:r>
      <w:r>
        <w:rPr>
          <w:rFonts w:hint="eastAsia" w:eastAsia="仿宋_GB2312" w:cs="仿宋_GB2312"/>
          <w:color w:val="1A1A1A" w:themeColor="background1" w:themeShade="1A"/>
          <w:sz w:val="32"/>
          <w:szCs w:val="32"/>
        </w:rPr>
        <w:t>采暖季前完成清洁取暖建设施工和调试验收。</w:t>
      </w:r>
      <w:r>
        <w:rPr>
          <w:rFonts w:eastAsia="仿宋_GB2312"/>
          <w:color w:val="1A1A1A" w:themeColor="background1" w:themeShade="1A"/>
          <w:sz w:val="32"/>
          <w:szCs w:val="32"/>
        </w:rPr>
        <w:t>2022</w:t>
      </w:r>
      <w:r>
        <w:rPr>
          <w:rFonts w:hint="eastAsia" w:eastAsia="仿宋_GB2312" w:cs="仿宋_GB2312"/>
          <w:color w:val="1A1A1A" w:themeColor="background1" w:themeShade="1A"/>
          <w:sz w:val="32"/>
          <w:szCs w:val="32"/>
        </w:rPr>
        <w:t>年年底前，新增集中供暖面积</w:t>
      </w:r>
      <w:r>
        <w:rPr>
          <w:rFonts w:eastAsia="仿宋_GB2312"/>
          <w:color w:val="1A1A1A" w:themeColor="background1" w:themeShade="1A"/>
          <w:sz w:val="32"/>
          <w:szCs w:val="32"/>
        </w:rPr>
        <w:t>30</w:t>
      </w:r>
      <w:r>
        <w:rPr>
          <w:rFonts w:hint="eastAsia" w:eastAsia="仿宋_GB2312" w:cs="仿宋_GB2312"/>
          <w:color w:val="1A1A1A" w:themeColor="background1" w:themeShade="1A"/>
          <w:sz w:val="32"/>
          <w:szCs w:val="32"/>
        </w:rPr>
        <w:t>万平方米，全区农村地区清洁取暖建设基本实现应改尽改，已完成清洁取暖改造的区域划定为高污染燃料禁燃区，防止散煤复烧。</w:t>
      </w:r>
      <w:r>
        <w:rPr>
          <w:rFonts w:hint="eastAsia" w:ascii="仿宋_GB2312" w:eastAsia="仿宋_GB2312" w:cs="仿宋_GB2312"/>
          <w:color w:val="1A1A1A" w:themeColor="background1" w:themeShade="1A"/>
          <w:sz w:val="32"/>
          <w:szCs w:val="32"/>
        </w:rPr>
        <w:t>已经“双替代”的区域要保障设备正常运行，用得上、用得好。持续加大清洁取暖宣传引导，在农村地区开展广泛深入的清洁取暖宣传，引导用户逐渐养成清洁取暖的习惯。做好已完成“双替代”区域的散煤监管，防止散煤复烧出现面源污染。加大资金补贴力度，对完成</w:t>
      </w:r>
      <w:r>
        <w:rPr>
          <w:rFonts w:ascii="仿宋_GB2312" w:eastAsia="仿宋_GB2312" w:cs="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双替代</w:t>
      </w:r>
      <w:r>
        <w:rPr>
          <w:rFonts w:ascii="仿宋_GB2312" w:eastAsia="仿宋_GB2312" w:cs="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区域制定最低补贴标准，对各镇街补贴资金发放情况进行督导、调度、排名、考核。</w:t>
      </w:r>
      <w:r>
        <w:rPr>
          <w:rFonts w:hint="eastAsia" w:eastAsia="仿宋_GB2312"/>
          <w:color w:val="1A1A1A" w:themeColor="background1" w:themeShade="1A"/>
          <w:sz w:val="32"/>
          <w:szCs w:val="32"/>
        </w:rPr>
        <w:t>2025年年底前，基本完成养殖业及农副产品加工业燃煤设施清洁能源替代。</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区住房城乡建设局、生态环境分局、区财政局等</w:t>
      </w:r>
      <w:r>
        <w:rPr>
          <w:rFonts w:eastAsia="楷体_GB2312"/>
          <w:color w:val="1A1A1A" w:themeColor="background1" w:themeShade="1A"/>
          <w:sz w:val="32"/>
          <w:szCs w:val="32"/>
        </w:rPr>
        <w:t>按职责分工负责）</w:t>
      </w:r>
    </w:p>
    <w:p>
      <w:pPr>
        <w:spacing w:line="590" w:lineRule="exact"/>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加强散煤销售整治工作。</w:t>
      </w:r>
      <w:r>
        <w:rPr>
          <w:rFonts w:hint="eastAsia" w:eastAsia="仿宋_GB2312"/>
          <w:color w:val="1A1A1A" w:themeColor="background1" w:themeShade="1A"/>
          <w:sz w:val="32"/>
          <w:szCs w:val="32"/>
        </w:rPr>
        <w:t>加强散煤销售网点整治。对涉煤企业开展煤质检测，确保质量达标。对无照经营的劣质散煤销售网点和违法经营行为，严格依法查处和取缔。对为非法销售劣质散煤提供场地和工具的，依法查处。紧盯原散煤经营者、原散煤经销点，严防重操旧业。对重点部位、重点区域，特别是非法小煤场和已取缔的散煤网点，进行严格检查，加强对走街串户、游击兜售等非法经营散煤行为的检查整治，杜绝劣质散煤进村进户。</w:t>
      </w:r>
      <w:r>
        <w:rPr>
          <w:rFonts w:hint="eastAsia" w:eastAsia="楷体_GB2312"/>
          <w:color w:val="1A1A1A" w:themeColor="background1" w:themeShade="1A"/>
          <w:sz w:val="32"/>
          <w:szCs w:val="32"/>
        </w:rPr>
        <w:t>（责任单位：区市场监管局）</w:t>
      </w:r>
      <w:r>
        <w:rPr>
          <w:rFonts w:hint="eastAsia" w:eastAsia="仿宋_GB2312" w:cs="仿宋_GB2312"/>
          <w:color w:val="1A1A1A" w:themeColor="background1" w:themeShade="1A"/>
          <w:sz w:val="32"/>
          <w:szCs w:val="32"/>
        </w:rPr>
        <w:t>强化散煤网格化监管。以</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属地监管、联防联控</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为主要原则，有效阻断非法销售劣质散煤渠道。加强禁用劣质散煤宣传，通过网格化监管，实现劣质散煤管控</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全覆盖、无盲区、零死角</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的目标。加强散煤复燃监督检查，综合运用网格员巡查、无人机飞检、红外遥感监测等方式，加强对沿街商铺、涉农等环节燃煤使用监管，加大对城乡结合部、农贸市场及流动摊贩的散煤使用的排查力度，坚决打击违法违规使用劣质散煤行为，严防散煤复燃。加大农户劣质散煤置换工作力度，对发现劣质散煤复燃行为的，在保障群众供暖的情况下，由各镇（街道）政府（办事处）实施散煤收缴置换，确保燃用清洁煤炭。</w:t>
      </w:r>
      <w:r>
        <w:rPr>
          <w:rFonts w:hint="eastAsia" w:eastAsia="楷体_GB2312"/>
          <w:color w:val="1A1A1A" w:themeColor="background1" w:themeShade="1A"/>
          <w:sz w:val="32"/>
          <w:szCs w:val="32"/>
        </w:rPr>
        <w:t>（责任单位：各镇（街道）政府（办事处））</w:t>
      </w:r>
    </w:p>
    <w:p>
      <w:pPr>
        <w:spacing w:line="360" w:lineRule="auto"/>
        <w:ind w:firstLine="645"/>
        <w:rPr>
          <w:rFonts w:eastAsia="仿宋_GB2312"/>
          <w:color w:val="1A1A1A" w:themeColor="background1" w:themeShade="1A"/>
          <w:sz w:val="32"/>
          <w:szCs w:val="32"/>
        </w:rPr>
      </w:pPr>
      <w:r>
        <w:rPr>
          <w:rFonts w:hint="eastAsia" w:eastAsia="楷体_GB2312"/>
          <w:b/>
          <w:bCs/>
          <w:color w:val="1A1A1A" w:themeColor="background1" w:themeShade="1A"/>
          <w:sz w:val="32"/>
          <w:szCs w:val="32"/>
        </w:rPr>
        <w:t>积极稳妥利用天然气</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工业领域在气源保障条件较好情况下，支持发展天然气冷、热、电三联供分布式能源，有序适度发展天然气热电联产项目。交通领域以公交出租、长途重卡和通勤作业等车辆为重点，加快推进交通领域天然气应用。加快城镇燃气配套设施建设及改造，释放居民用气需求。</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区工业和信息化局、区住房城乡建设局、区交通运输局等</w:t>
      </w:r>
      <w:r>
        <w:rPr>
          <w:rFonts w:eastAsia="楷体_GB2312"/>
          <w:color w:val="1A1A1A" w:themeColor="background1" w:themeShade="1A"/>
          <w:sz w:val="32"/>
          <w:szCs w:val="32"/>
        </w:rPr>
        <w:t>按职责分工负责）</w:t>
      </w:r>
    </w:p>
    <w:p>
      <w:pPr>
        <w:spacing w:line="360" w:lineRule="auto"/>
        <w:ind w:firstLine="645"/>
        <w:rPr>
          <w:rFonts w:eastAsia="仿宋_GB2312"/>
          <w:color w:val="1A1A1A" w:themeColor="background1" w:themeShade="1A"/>
          <w:sz w:val="32"/>
          <w:szCs w:val="32"/>
        </w:rPr>
      </w:pPr>
      <w:r>
        <w:rPr>
          <w:rFonts w:hint="eastAsia" w:eastAsia="楷体_GB2312"/>
          <w:b/>
          <w:bCs/>
          <w:color w:val="1A1A1A" w:themeColor="background1" w:themeShade="1A"/>
          <w:sz w:val="32"/>
          <w:szCs w:val="32"/>
        </w:rPr>
        <w:t>大力增加可再生能源供给</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以太阳能、生物质能等可再生能源开发利用为重点，打造可再生能源多元化利用示范基地。积极采取“光伏+综合利用”“光伏+工业用地”“光伏+屋顶”等模式推进光伏发电。积极推进生活垃圾焚烧发电。</w:t>
      </w:r>
      <w:r>
        <w:rPr>
          <w:rFonts w:hint="eastAsia" w:eastAsia="仿宋_GB2312" w:cs="仿宋_GB2312"/>
          <w:color w:val="1A1A1A" w:themeColor="background1" w:themeShade="1A"/>
          <w:sz w:val="32"/>
          <w:szCs w:val="32"/>
        </w:rPr>
        <w:t>到</w:t>
      </w:r>
      <w:r>
        <w:rPr>
          <w:rFonts w:eastAsia="仿宋_GB2312"/>
          <w:color w:val="1A1A1A" w:themeColor="background1" w:themeShade="1A"/>
          <w:sz w:val="32"/>
          <w:szCs w:val="32"/>
        </w:rPr>
        <w:t>2025</w:t>
      </w:r>
      <w:r>
        <w:rPr>
          <w:rFonts w:hint="eastAsia" w:eastAsia="仿宋_GB2312" w:cs="仿宋_GB2312"/>
          <w:color w:val="1A1A1A" w:themeColor="background1" w:themeShade="1A"/>
          <w:sz w:val="32"/>
          <w:szCs w:val="32"/>
        </w:rPr>
        <w:t>年，可再生能源装机规模达到</w:t>
      </w:r>
      <w:r>
        <w:rPr>
          <w:rFonts w:eastAsia="仿宋_GB2312"/>
          <w:color w:val="1A1A1A" w:themeColor="background1" w:themeShade="1A"/>
          <w:sz w:val="32"/>
          <w:szCs w:val="32"/>
        </w:rPr>
        <w:t>30</w:t>
      </w:r>
      <w:r>
        <w:rPr>
          <w:rFonts w:hint="eastAsia" w:eastAsia="仿宋_GB2312" w:cs="仿宋_GB2312"/>
          <w:color w:val="1A1A1A" w:themeColor="background1" w:themeShade="1A"/>
          <w:sz w:val="32"/>
          <w:szCs w:val="32"/>
        </w:rPr>
        <w:t>万千瓦左右，可再生能源利用量相当于</w:t>
      </w:r>
      <w:r>
        <w:rPr>
          <w:rFonts w:eastAsia="仿宋_GB2312"/>
          <w:color w:val="1A1A1A" w:themeColor="background1" w:themeShade="1A"/>
          <w:sz w:val="32"/>
          <w:szCs w:val="32"/>
        </w:rPr>
        <w:t>12</w:t>
      </w:r>
      <w:r>
        <w:rPr>
          <w:rFonts w:hint="eastAsia" w:eastAsia="仿宋_GB2312" w:cs="仿宋_GB2312"/>
          <w:color w:val="1A1A1A" w:themeColor="background1" w:themeShade="1A"/>
          <w:sz w:val="32"/>
          <w:szCs w:val="32"/>
        </w:rPr>
        <w:t>万吨标准煤。</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区工业和信息化局、区住房城乡建设局、生态环境分局等</w:t>
      </w:r>
      <w:r>
        <w:rPr>
          <w:rFonts w:eastAsia="楷体_GB2312"/>
          <w:color w:val="1A1A1A" w:themeColor="background1" w:themeShade="1A"/>
          <w:sz w:val="32"/>
          <w:szCs w:val="32"/>
        </w:rPr>
        <w:t>按职责分工负责）</w:t>
      </w:r>
    </w:p>
    <w:p>
      <w:pPr>
        <w:spacing w:line="360" w:lineRule="auto"/>
        <w:ind w:firstLine="645"/>
        <w:rPr>
          <w:rFonts w:eastAsia="仿宋_GB2312"/>
          <w:color w:val="1A1A1A" w:themeColor="background1" w:themeShade="1A"/>
          <w:sz w:val="32"/>
          <w:szCs w:val="32"/>
        </w:rPr>
      </w:pPr>
      <w:r>
        <w:rPr>
          <w:rFonts w:hint="eastAsia" w:eastAsia="楷体_GB2312"/>
          <w:b/>
          <w:bCs/>
          <w:color w:val="1A1A1A" w:themeColor="background1" w:themeShade="1A"/>
          <w:sz w:val="32"/>
          <w:szCs w:val="32"/>
        </w:rPr>
        <w:t>提高终端用能电气化水平</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以提高主要部门用电占用能比重、减少化石能源消耗、提升全社会电气化水平、降低大气污染物排放为目标，逐步扩大电能替代范围，持续挖掘成熟领域替代深度。工业领域持续推广工业电锅炉、工业电窑炉，推进“以电代煤”“以电代油”；农业领域重点推广电热大棚等农产品生产“煤改电”以及农业排灌“油改电”工程；交通领域全面推广电驱动装卸和机场桥载设备供电等技术，加快空陆电系统建设，实施车辆“油改电”工程，推动交通用能清洁化。居民生活领域推广成熟电气化技术，加快蓄热式电锅炉、热泵等技术装备应用，提升民生用能电气化水平。</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区工业和信息化局、区住房城乡建设局、区农业农村局、区交通运输局等</w:t>
      </w:r>
      <w:r>
        <w:rPr>
          <w:rFonts w:eastAsia="楷体_GB2312"/>
          <w:color w:val="1A1A1A" w:themeColor="background1" w:themeShade="1A"/>
          <w:sz w:val="32"/>
          <w:szCs w:val="32"/>
        </w:rPr>
        <w:t>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21" w:name="_Toc116030709"/>
      <w:r>
        <w:rPr>
          <w:rFonts w:eastAsia="楷体_GB2312"/>
          <w:b/>
          <w:color w:val="1A1A1A" w:themeColor="background1" w:themeShade="1A"/>
          <w:sz w:val="32"/>
          <w:szCs w:val="32"/>
        </w:rPr>
        <w:t xml:space="preserve">第四节  </w:t>
      </w:r>
      <w:r>
        <w:rPr>
          <w:rFonts w:hint="eastAsia" w:eastAsia="楷体_GB2312"/>
          <w:b/>
          <w:color w:val="1A1A1A" w:themeColor="background1" w:themeShade="1A"/>
          <w:sz w:val="32"/>
          <w:szCs w:val="32"/>
        </w:rPr>
        <w:t>持续推进</w:t>
      </w:r>
      <w:r>
        <w:rPr>
          <w:rFonts w:eastAsia="楷体_GB2312"/>
          <w:b/>
          <w:color w:val="1A1A1A" w:themeColor="background1" w:themeShade="1A"/>
          <w:sz w:val="32"/>
          <w:szCs w:val="32"/>
        </w:rPr>
        <w:t>交通运输结构调整</w:t>
      </w:r>
      <w:bookmarkEnd w:id="21"/>
    </w:p>
    <w:p>
      <w:pPr>
        <w:spacing w:line="360" w:lineRule="auto"/>
        <w:ind w:firstLine="645"/>
        <w:rPr>
          <w:rFonts w:eastAsia="楷体_GB2312"/>
          <w:color w:val="1A1A1A" w:themeColor="background1" w:themeShade="1A"/>
          <w:sz w:val="32"/>
          <w:szCs w:val="32"/>
        </w:rPr>
      </w:pPr>
      <w:r>
        <w:rPr>
          <w:rFonts w:hint="eastAsia" w:eastAsia="楷体_GB2312"/>
          <w:b/>
          <w:bCs/>
          <w:color w:val="1A1A1A" w:themeColor="background1" w:themeShade="1A"/>
          <w:sz w:val="32"/>
          <w:szCs w:val="32"/>
        </w:rPr>
        <w:t>提升铁路货运比例</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大力推进“公转铁”，减少公路货运周转量，基本形成大宗货物和集装箱中长距离运输以铁路运输为主的格局。支持焦化等大宗货物年运输量150万吨以上的大型工矿企业以及大型物流园区新（改、扩）建铁路专用线。</w:t>
      </w:r>
      <w:r>
        <w:rPr>
          <w:rFonts w:hint="eastAsia" w:eastAsia="仿宋_GB2312" w:cs="仿宋_GB2312"/>
          <w:color w:val="1A1A1A" w:themeColor="background1" w:themeShade="1A"/>
          <w:spacing w:val="-8"/>
          <w:sz w:val="32"/>
          <w:szCs w:val="32"/>
        </w:rPr>
        <w:t>至2</w:t>
      </w:r>
      <w:r>
        <w:rPr>
          <w:rFonts w:eastAsia="仿宋_GB2312" w:cs="仿宋_GB2312"/>
          <w:color w:val="1A1A1A" w:themeColor="background1" w:themeShade="1A"/>
          <w:spacing w:val="-8"/>
          <w:sz w:val="32"/>
          <w:szCs w:val="32"/>
        </w:rPr>
        <w:t>022</w:t>
      </w:r>
      <w:r>
        <w:rPr>
          <w:rFonts w:hint="eastAsia" w:eastAsia="仿宋_GB2312" w:cs="仿宋_GB2312"/>
          <w:color w:val="1A1A1A" w:themeColor="background1" w:themeShade="1A"/>
          <w:spacing w:val="-8"/>
          <w:sz w:val="32"/>
          <w:szCs w:val="32"/>
        </w:rPr>
        <w:t>年年底，铁路货物发送量（国铁部分）完成</w:t>
      </w:r>
      <w:r>
        <w:rPr>
          <w:rFonts w:eastAsia="仿宋_GB2312"/>
          <w:color w:val="1A1A1A" w:themeColor="background1" w:themeShade="1A"/>
          <w:spacing w:val="-8"/>
          <w:sz w:val="32"/>
          <w:szCs w:val="32"/>
        </w:rPr>
        <w:t>1</w:t>
      </w:r>
      <w:r>
        <w:rPr>
          <w:rFonts w:eastAsia="仿宋_GB2312"/>
          <w:color w:val="1A1A1A" w:themeColor="background1" w:themeShade="1A"/>
          <w:sz w:val="32"/>
          <w:szCs w:val="32"/>
        </w:rPr>
        <w:t>90</w:t>
      </w:r>
      <w:r>
        <w:rPr>
          <w:rFonts w:hint="eastAsia" w:eastAsia="仿宋_GB2312" w:cs="仿宋_GB2312"/>
          <w:color w:val="1A1A1A" w:themeColor="background1" w:themeShade="1A"/>
          <w:sz w:val="32"/>
          <w:szCs w:val="32"/>
        </w:rPr>
        <w:t>万吨，继续推动保持公路运输比例由增转降趋势。</w:t>
      </w:r>
      <w:r>
        <w:rPr>
          <w:rFonts w:hint="eastAsia" w:eastAsia="仿宋_GB2312" w:cs="仿宋_GB2312"/>
          <w:color w:val="1A1A1A" w:themeColor="background1" w:themeShade="1A"/>
          <w:spacing w:val="-8"/>
          <w:sz w:val="32"/>
          <w:szCs w:val="32"/>
        </w:rPr>
        <w:t>至2</w:t>
      </w:r>
      <w:r>
        <w:rPr>
          <w:rFonts w:eastAsia="仿宋_GB2312" w:cs="仿宋_GB2312"/>
          <w:color w:val="1A1A1A" w:themeColor="background1" w:themeShade="1A"/>
          <w:spacing w:val="-8"/>
          <w:sz w:val="32"/>
          <w:szCs w:val="32"/>
        </w:rPr>
        <w:t>025</w:t>
      </w:r>
      <w:r>
        <w:rPr>
          <w:rFonts w:hint="eastAsia" w:eastAsia="仿宋_GB2312" w:cs="仿宋_GB2312"/>
          <w:color w:val="1A1A1A" w:themeColor="background1" w:themeShade="1A"/>
          <w:spacing w:val="-8"/>
          <w:sz w:val="32"/>
          <w:szCs w:val="32"/>
        </w:rPr>
        <w:t>年年底，</w:t>
      </w:r>
      <w:r>
        <w:rPr>
          <w:rFonts w:hint="eastAsia" w:eastAsia="仿宋_GB2312"/>
          <w:color w:val="1A1A1A" w:themeColor="background1" w:themeShade="1A"/>
          <w:sz w:val="32"/>
          <w:szCs w:val="32"/>
        </w:rPr>
        <w:t>铁路货运量占比力争提高0.5%。</w:t>
      </w:r>
      <w:r>
        <w:rPr>
          <w:rFonts w:hint="eastAsia" w:eastAsia="楷体_GB2312"/>
          <w:color w:val="1A1A1A" w:themeColor="background1" w:themeShade="1A"/>
          <w:sz w:val="32"/>
          <w:szCs w:val="32"/>
        </w:rPr>
        <w:t>（区发展改革局、区交通运输局、区自然资源局、区商务局等按职责分工负责）</w:t>
      </w:r>
    </w:p>
    <w:p>
      <w:pPr>
        <w:spacing w:line="590" w:lineRule="exact"/>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实施车机结构优化升级</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加快推进老旧货车淘汰工作。</w:t>
      </w:r>
      <w:bookmarkStart w:id="22" w:name="_Hlk115945722"/>
      <w:r>
        <w:rPr>
          <w:rFonts w:hint="eastAsia" w:eastAsia="仿宋_GB2312" w:cs="仿宋_GB2312"/>
          <w:color w:val="1A1A1A" w:themeColor="background1" w:themeShade="1A"/>
          <w:sz w:val="32"/>
          <w:szCs w:val="32"/>
        </w:rPr>
        <w:t>到</w:t>
      </w:r>
      <w:r>
        <w:rPr>
          <w:rFonts w:eastAsia="仿宋_GB2312"/>
          <w:color w:val="1A1A1A" w:themeColor="background1" w:themeShade="1A"/>
          <w:sz w:val="32"/>
          <w:szCs w:val="32"/>
        </w:rPr>
        <w:t>2023</w:t>
      </w:r>
      <w:r>
        <w:rPr>
          <w:rFonts w:hint="eastAsia" w:eastAsia="仿宋_GB2312" w:cs="仿宋_GB2312"/>
          <w:color w:val="1A1A1A" w:themeColor="background1" w:themeShade="1A"/>
          <w:sz w:val="32"/>
          <w:szCs w:val="32"/>
        </w:rPr>
        <w:t>年，全部淘汰国三及以下排放标准营运柴油货车，加快淘汰国三及以下排放标准非营运柴油货车。到</w:t>
      </w:r>
      <w:r>
        <w:rPr>
          <w:rFonts w:eastAsia="仿宋_GB2312"/>
          <w:color w:val="1A1A1A" w:themeColor="background1" w:themeShade="1A"/>
          <w:sz w:val="32"/>
          <w:szCs w:val="32"/>
        </w:rPr>
        <w:t>2025</w:t>
      </w:r>
      <w:r>
        <w:rPr>
          <w:rFonts w:hint="eastAsia" w:eastAsia="仿宋_GB2312" w:cs="仿宋_GB2312"/>
          <w:color w:val="1A1A1A" w:themeColor="background1" w:themeShade="1A"/>
          <w:sz w:val="32"/>
          <w:szCs w:val="32"/>
        </w:rPr>
        <w:t>年，完成济宁市下达的国四排放标准营运柴油货车淘汰任务。扩大全区移动源高排放控制区范围。</w:t>
      </w:r>
      <w:bookmarkEnd w:id="22"/>
      <w:r>
        <w:rPr>
          <w:rFonts w:hint="eastAsia" w:eastAsia="楷体_GB2312"/>
          <w:color w:val="1A1A1A" w:themeColor="background1" w:themeShade="1A"/>
          <w:sz w:val="32"/>
          <w:szCs w:val="32"/>
        </w:rPr>
        <w:t>（区交通运输局、公安分局、生态环境分局、区商务局等按职责分工负责）</w:t>
      </w:r>
      <w:r>
        <w:rPr>
          <w:rFonts w:hint="eastAsia" w:eastAsia="仿宋_GB2312" w:cs="仿宋_GB2312"/>
          <w:color w:val="1A1A1A" w:themeColor="background1" w:themeShade="1A"/>
          <w:sz w:val="32"/>
          <w:szCs w:val="32"/>
        </w:rPr>
        <w:t>加快国六、新能源车和非道路移动机械更新迭代。加大新能源机动车更新迭代力度，加快推动机动车新能源化发展，</w:t>
      </w:r>
      <w:r>
        <w:rPr>
          <w:rFonts w:eastAsia="仿宋_GB2312"/>
          <w:color w:val="1A1A1A" w:themeColor="background1" w:themeShade="1A"/>
          <w:sz w:val="32"/>
          <w:szCs w:val="32"/>
        </w:rPr>
        <w:t>持续推进清洁柴油车（机）行动。</w:t>
      </w:r>
      <w:r>
        <w:rPr>
          <w:rFonts w:hint="eastAsia" w:eastAsia="仿宋_GB2312" w:cs="仿宋_GB2312"/>
          <w:color w:val="1A1A1A" w:themeColor="background1" w:themeShade="1A"/>
          <w:sz w:val="32"/>
          <w:szCs w:val="32"/>
        </w:rPr>
        <w:t>2</w:t>
      </w:r>
      <w:r>
        <w:rPr>
          <w:rFonts w:eastAsia="仿宋_GB2312" w:cs="仿宋_GB2312"/>
          <w:color w:val="1A1A1A" w:themeColor="background1" w:themeShade="1A"/>
          <w:sz w:val="32"/>
          <w:szCs w:val="32"/>
        </w:rPr>
        <w:t>022</w:t>
      </w:r>
      <w:r>
        <w:rPr>
          <w:rFonts w:hint="eastAsia" w:eastAsia="仿宋_GB2312" w:cs="仿宋_GB2312"/>
          <w:color w:val="1A1A1A" w:themeColor="background1" w:themeShade="1A"/>
          <w:sz w:val="32"/>
          <w:szCs w:val="32"/>
        </w:rPr>
        <w:t>年底前，新能源和国六排放标准货车保有量占比超过</w:t>
      </w:r>
      <w:r>
        <w:rPr>
          <w:rFonts w:eastAsia="仿宋_GB2312"/>
          <w:color w:val="1A1A1A" w:themeColor="background1" w:themeShade="1A"/>
          <w:sz w:val="32"/>
          <w:szCs w:val="32"/>
        </w:rPr>
        <w:t>10%</w:t>
      </w:r>
      <w:r>
        <w:rPr>
          <w:rFonts w:hint="eastAsia" w:eastAsia="仿宋_GB2312" w:cs="仿宋_GB2312"/>
          <w:color w:val="1A1A1A" w:themeColor="background1" w:themeShade="1A"/>
          <w:sz w:val="32"/>
          <w:szCs w:val="32"/>
        </w:rPr>
        <w:t>，新能源和国三（含国三）以上非道路移动机械比例原则上不低于</w:t>
      </w:r>
      <w:r>
        <w:rPr>
          <w:rFonts w:eastAsia="仿宋_GB2312"/>
          <w:color w:val="1A1A1A" w:themeColor="background1" w:themeShade="1A"/>
          <w:sz w:val="32"/>
          <w:szCs w:val="32"/>
        </w:rPr>
        <w:t>60%</w:t>
      </w:r>
      <w:r>
        <w:rPr>
          <w:rFonts w:hint="eastAsia" w:eastAsia="仿宋_GB2312" w:cs="仿宋_GB2312"/>
          <w:color w:val="1A1A1A" w:themeColor="background1" w:themeShade="1A"/>
          <w:sz w:val="32"/>
          <w:szCs w:val="32"/>
        </w:rPr>
        <w:t>。新建小区配套高比例的充电桩车位。有序推广清洁能源汽车，加大推进城市公共交通、公务用车电动化进程，在用财政资金购买交通车辆（除涉及国家安全、侦查办案、防汛抢险救灾等特殊工作要求外）用能清洁化比例达到</w:t>
      </w:r>
      <w:r>
        <w:rPr>
          <w:rFonts w:eastAsia="仿宋_GB2312"/>
          <w:color w:val="1A1A1A" w:themeColor="background1" w:themeShade="1A"/>
          <w:sz w:val="32"/>
          <w:szCs w:val="32"/>
        </w:rPr>
        <w:t>100%</w:t>
      </w:r>
      <w:r>
        <w:rPr>
          <w:rFonts w:hint="eastAsia" w:eastAsia="仿宋_GB2312" w:cs="仿宋_GB2312"/>
          <w:color w:val="1A1A1A" w:themeColor="background1" w:themeShade="1A"/>
          <w:sz w:val="32"/>
          <w:szCs w:val="32"/>
        </w:rPr>
        <w:t>；社会车辆用能清洁化比例提高到</w:t>
      </w:r>
      <w:r>
        <w:rPr>
          <w:rFonts w:eastAsia="仿宋_GB2312"/>
          <w:color w:val="1A1A1A" w:themeColor="background1" w:themeShade="1A"/>
          <w:sz w:val="32"/>
          <w:szCs w:val="32"/>
        </w:rPr>
        <w:t>5%</w:t>
      </w:r>
      <w:r>
        <w:rPr>
          <w:rFonts w:hint="eastAsia" w:eastAsia="仿宋_GB2312" w:cs="仿宋_GB2312"/>
          <w:color w:val="1A1A1A" w:themeColor="background1" w:themeShade="1A"/>
          <w:sz w:val="32"/>
          <w:szCs w:val="32"/>
        </w:rPr>
        <w:t>。</w:t>
      </w:r>
      <w:r>
        <w:rPr>
          <w:rFonts w:hint="eastAsia" w:eastAsia="楷体_GB2312"/>
          <w:color w:val="1A1A1A" w:themeColor="background1" w:themeShade="1A"/>
          <w:sz w:val="32"/>
          <w:szCs w:val="32"/>
        </w:rPr>
        <w:t>（生态环境分局、区交通运输局、公安分局、区工业和信息化局、区住房城乡建设局、区综合行政执法局、区自然资源局、区国资运营服务中心、区机关事务服务中心、国网济宁供电公司兖州供电中心等按职责分工负责）</w:t>
      </w:r>
    </w:p>
    <w:p>
      <w:pPr>
        <w:spacing w:line="360" w:lineRule="auto"/>
        <w:ind w:firstLine="645"/>
        <w:rPr>
          <w:rFonts w:eastAsia="楷体_GB2312"/>
          <w:color w:val="1A1A1A" w:themeColor="background1" w:themeShade="1A"/>
          <w:sz w:val="32"/>
          <w:szCs w:val="32"/>
        </w:rPr>
      </w:pPr>
      <w:r>
        <w:rPr>
          <w:rFonts w:eastAsia="楷体_GB2312"/>
          <w:b/>
          <w:bCs/>
          <w:color w:val="1A1A1A" w:themeColor="background1" w:themeShade="1A"/>
          <w:sz w:val="32"/>
          <w:szCs w:val="32"/>
        </w:rPr>
        <w:t>构建</w:t>
      </w:r>
      <w:r>
        <w:rPr>
          <w:rFonts w:hint="eastAsia" w:eastAsia="楷体_GB2312"/>
          <w:b/>
          <w:bCs/>
          <w:color w:val="1A1A1A" w:themeColor="background1" w:themeShade="1A"/>
          <w:sz w:val="32"/>
          <w:szCs w:val="32"/>
        </w:rPr>
        <w:t>绿色城市流通</w:t>
      </w:r>
      <w:r>
        <w:rPr>
          <w:rFonts w:eastAsia="楷体_GB2312"/>
          <w:b/>
          <w:bCs/>
          <w:color w:val="1A1A1A" w:themeColor="background1" w:themeShade="1A"/>
          <w:sz w:val="32"/>
          <w:szCs w:val="32"/>
        </w:rPr>
        <w:t>体系。</w:t>
      </w:r>
      <w:r>
        <w:rPr>
          <w:rFonts w:hint="eastAsia" w:eastAsia="仿宋_GB2312"/>
          <w:color w:val="1A1A1A" w:themeColor="background1" w:themeShade="1A"/>
          <w:sz w:val="32"/>
          <w:szCs w:val="32"/>
        </w:rPr>
        <w:t>加强商贸流通标准化建设和绿色发展。推进城市绿色货运配送示范工程建设。发展绿色仓储，鼓励和支持在物流园区、大型仓储设施应用绿色建筑材料、节能技术与装备以及能源合同管理等节能管理模式。完善仓储配送体系，建设智能云仓，鼓励生产企业商贸流通共享共用仓储基础设施</w:t>
      </w:r>
      <w:r>
        <w:rPr>
          <w:rFonts w:eastAsia="仿宋_GB2312"/>
          <w:color w:val="1A1A1A" w:themeColor="background1" w:themeShade="1A"/>
          <w:sz w:val="32"/>
          <w:szCs w:val="32"/>
        </w:rPr>
        <w:t>。</w:t>
      </w:r>
      <w:r>
        <w:rPr>
          <w:rFonts w:hint="eastAsia" w:eastAsia="楷体_GB2312"/>
          <w:color w:val="1A1A1A" w:themeColor="background1" w:themeShade="1A"/>
          <w:sz w:val="32"/>
          <w:szCs w:val="32"/>
        </w:rPr>
        <w:t>（区商务局、区交通运输局、区邮政管理局、区发展改革局、生态环境分局等按职责分工负责）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23" w:name="_Toc68990831"/>
      <w:bookmarkStart w:id="24" w:name="_Toc116030710"/>
      <w:r>
        <w:rPr>
          <w:rFonts w:eastAsia="楷体_GB2312"/>
          <w:b/>
          <w:color w:val="1A1A1A" w:themeColor="background1" w:themeShade="1A"/>
          <w:sz w:val="32"/>
          <w:szCs w:val="32"/>
        </w:rPr>
        <w:t xml:space="preserve">第五节  </w:t>
      </w:r>
      <w:bookmarkEnd w:id="23"/>
      <w:r>
        <w:rPr>
          <w:rFonts w:hint="eastAsia" w:eastAsia="楷体_GB2312"/>
          <w:b/>
          <w:color w:val="1A1A1A" w:themeColor="background1" w:themeShade="1A"/>
          <w:sz w:val="32"/>
          <w:szCs w:val="32"/>
        </w:rPr>
        <w:t>积极开展农业投入与用地结构调整</w:t>
      </w:r>
      <w:bookmarkEnd w:id="24"/>
    </w:p>
    <w:p>
      <w:pPr>
        <w:spacing w:line="360" w:lineRule="auto"/>
        <w:ind w:firstLine="645"/>
        <w:rPr>
          <w:rFonts w:eastAsia="楷体_GB2312"/>
          <w:color w:val="1A1A1A" w:themeColor="background1" w:themeShade="1A"/>
          <w:sz w:val="32"/>
          <w:szCs w:val="32"/>
        </w:rPr>
      </w:pPr>
      <w:r>
        <w:rPr>
          <w:rFonts w:eastAsia="楷体_GB2312"/>
          <w:b/>
          <w:bCs/>
          <w:color w:val="1A1A1A" w:themeColor="background1" w:themeShade="1A"/>
          <w:sz w:val="32"/>
          <w:szCs w:val="32"/>
        </w:rPr>
        <w:t>减少化肥农药使用量。</w:t>
      </w:r>
      <w:r>
        <w:rPr>
          <w:rFonts w:eastAsia="仿宋_GB2312"/>
          <w:color w:val="1A1A1A" w:themeColor="background1" w:themeShade="1A"/>
          <w:sz w:val="32"/>
          <w:szCs w:val="32"/>
        </w:rPr>
        <w:t>深入实施农药化肥减量增效行动，全面实施节水、减肥、控药</w:t>
      </w:r>
      <w:r>
        <w:rPr>
          <w:rFonts w:hint="eastAsia" w:eastAsia="仿宋_GB2312"/>
          <w:color w:val="1A1A1A" w:themeColor="background1" w:themeShade="1A"/>
          <w:sz w:val="32"/>
          <w:szCs w:val="32"/>
        </w:rPr>
        <w:t>行动</w:t>
      </w:r>
      <w:r>
        <w:rPr>
          <w:rFonts w:eastAsia="仿宋_GB2312"/>
          <w:color w:val="1A1A1A" w:themeColor="background1" w:themeShade="1A"/>
          <w:sz w:val="32"/>
          <w:szCs w:val="32"/>
        </w:rPr>
        <w:t>。加强农业投入品规范化管理，健全投入品追溯体系，严格执行化肥、农药等农业投入品质量标准。在粮食主产区等重点区域大力普及测土配方施肥、推广应用配方肥</w:t>
      </w:r>
      <w:r>
        <w:rPr>
          <w:rFonts w:hint="eastAsia" w:eastAsia="仿宋_GB2312"/>
          <w:color w:val="1A1A1A" w:themeColor="background1" w:themeShade="1A"/>
          <w:sz w:val="32"/>
          <w:szCs w:val="32"/>
        </w:rPr>
        <w:t>。大力推广缓控释肥、生物肥等新型肥料。推广水肥一体化、机械深耕、种肥同播等施肥技术。推广生态防控、物理防治、生物防治等绿色防控技术和植保无人机等先进施药机械。指导社会化服务组织开展农作物病虫草害专业化统防统治。</w:t>
      </w:r>
      <w:r>
        <w:rPr>
          <w:rFonts w:hint="eastAsia" w:eastAsia="仿宋_GB2312" w:cs="仿宋_GB2312"/>
          <w:color w:val="1A1A1A" w:themeColor="background1" w:themeShade="1A"/>
          <w:sz w:val="32"/>
          <w:szCs w:val="32"/>
        </w:rPr>
        <w:t>到</w:t>
      </w:r>
      <w:r>
        <w:rPr>
          <w:rFonts w:eastAsia="仿宋_GB2312"/>
          <w:color w:val="1A1A1A" w:themeColor="background1" w:themeShade="1A"/>
          <w:sz w:val="32"/>
          <w:szCs w:val="32"/>
        </w:rPr>
        <w:t>2025</w:t>
      </w:r>
      <w:r>
        <w:rPr>
          <w:rFonts w:hint="eastAsia" w:eastAsia="仿宋_GB2312" w:cs="仿宋_GB2312"/>
          <w:color w:val="1A1A1A" w:themeColor="background1" w:themeShade="1A"/>
          <w:sz w:val="32"/>
          <w:szCs w:val="32"/>
        </w:rPr>
        <w:t>年，单位耕地面积化肥施用量较</w:t>
      </w:r>
      <w:r>
        <w:rPr>
          <w:rFonts w:eastAsia="仿宋_GB2312"/>
          <w:color w:val="1A1A1A" w:themeColor="background1" w:themeShade="1A"/>
          <w:sz w:val="32"/>
          <w:szCs w:val="32"/>
        </w:rPr>
        <w:t>2020</w:t>
      </w:r>
      <w:r>
        <w:rPr>
          <w:rFonts w:hint="eastAsia" w:eastAsia="仿宋_GB2312" w:cs="仿宋_GB2312"/>
          <w:color w:val="1A1A1A" w:themeColor="background1" w:themeShade="1A"/>
          <w:sz w:val="32"/>
          <w:szCs w:val="32"/>
        </w:rPr>
        <w:t>年下降</w:t>
      </w:r>
      <w:r>
        <w:rPr>
          <w:rFonts w:eastAsia="仿宋_GB2312"/>
          <w:color w:val="1A1A1A" w:themeColor="background1" w:themeShade="1A"/>
          <w:sz w:val="32"/>
          <w:szCs w:val="32"/>
        </w:rPr>
        <w:t>6%</w:t>
      </w:r>
      <w:r>
        <w:rPr>
          <w:rFonts w:hint="eastAsia" w:eastAsia="仿宋_GB2312" w:cs="仿宋_GB2312"/>
          <w:color w:val="1A1A1A" w:themeColor="background1" w:themeShade="1A"/>
          <w:sz w:val="32"/>
          <w:szCs w:val="32"/>
        </w:rPr>
        <w:t>左右，单位农作物种植面积化学农药使用量较</w:t>
      </w:r>
      <w:r>
        <w:rPr>
          <w:rFonts w:eastAsia="仿宋_GB2312"/>
          <w:color w:val="1A1A1A" w:themeColor="background1" w:themeShade="1A"/>
          <w:sz w:val="32"/>
          <w:szCs w:val="32"/>
        </w:rPr>
        <w:t>2020</w:t>
      </w:r>
      <w:r>
        <w:rPr>
          <w:rFonts w:hint="eastAsia" w:eastAsia="仿宋_GB2312" w:cs="仿宋_GB2312"/>
          <w:color w:val="1A1A1A" w:themeColor="background1" w:themeShade="1A"/>
          <w:sz w:val="32"/>
          <w:szCs w:val="32"/>
        </w:rPr>
        <w:t>年下降</w:t>
      </w:r>
      <w:r>
        <w:rPr>
          <w:rFonts w:eastAsia="仿宋_GB2312"/>
          <w:color w:val="1A1A1A" w:themeColor="background1" w:themeShade="1A"/>
          <w:sz w:val="32"/>
          <w:szCs w:val="32"/>
        </w:rPr>
        <w:t>10%</w:t>
      </w:r>
      <w:r>
        <w:rPr>
          <w:rFonts w:hint="eastAsia" w:eastAsia="仿宋_GB2312" w:cs="仿宋_GB2312"/>
          <w:color w:val="1A1A1A" w:themeColor="background1" w:themeShade="1A"/>
          <w:sz w:val="32"/>
          <w:szCs w:val="32"/>
        </w:rPr>
        <w:t>左右。</w:t>
      </w:r>
      <w:r>
        <w:rPr>
          <w:rFonts w:eastAsia="楷体_GB2312"/>
          <w:color w:val="1A1A1A" w:themeColor="background1" w:themeShade="1A"/>
          <w:sz w:val="32"/>
          <w:szCs w:val="32"/>
        </w:rPr>
        <w:t>（</w:t>
      </w:r>
      <w:r>
        <w:rPr>
          <w:rFonts w:hint="eastAsia" w:eastAsia="楷体_GB2312"/>
          <w:color w:val="1A1A1A" w:themeColor="background1" w:themeShade="1A"/>
          <w:sz w:val="32"/>
          <w:szCs w:val="32"/>
        </w:rPr>
        <w:t>责任单位：区</w:t>
      </w:r>
      <w:r>
        <w:rPr>
          <w:rFonts w:eastAsia="楷体_GB2312"/>
          <w:color w:val="1A1A1A" w:themeColor="background1" w:themeShade="1A"/>
          <w:sz w:val="32"/>
          <w:szCs w:val="32"/>
        </w:rPr>
        <w:t>农业农村局）</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大力推广应用有机肥。</w:t>
      </w:r>
      <w:r>
        <w:rPr>
          <w:rFonts w:eastAsia="仿宋_GB2312"/>
          <w:color w:val="1A1A1A" w:themeColor="background1" w:themeShade="1A"/>
          <w:sz w:val="32"/>
          <w:szCs w:val="32"/>
        </w:rPr>
        <w:t>加快推进种养结合生态循环农业，推广畜禽粪污全量收集还田利用等技术模式。引导农民积造施用有机肥，鼓励规模以下畜禽养殖户通过配建粪污处理设施、委托协议处理、堆积发酵就地就近还田等不同方式，促进畜禽粪污低成本还田利用，推动种养循环，改善土壤地力。提升有机肥规模化生产能力，支持、引导社会力量兴办有机肥企业。借鉴省内外农业农村有机废弃物综合利用先进经验，着力构建“收集-转化-应用”三级网络体系，提高农业农村生产生活有机废弃物资源化、能源化利用水平。</w:t>
      </w:r>
      <w:r>
        <w:rPr>
          <w:rFonts w:hint="eastAsia" w:eastAsia="仿宋_GB2312"/>
          <w:color w:val="1A1A1A" w:themeColor="background1" w:themeShade="1A"/>
          <w:sz w:val="32"/>
          <w:szCs w:val="32"/>
        </w:rPr>
        <w:t>到</w:t>
      </w:r>
      <w:r>
        <w:rPr>
          <w:rFonts w:eastAsia="仿宋_GB2312"/>
          <w:color w:val="1A1A1A" w:themeColor="background1" w:themeShade="1A"/>
          <w:sz w:val="32"/>
          <w:szCs w:val="32"/>
        </w:rPr>
        <w:t>2025</w:t>
      </w:r>
      <w:r>
        <w:rPr>
          <w:rFonts w:hint="eastAsia" w:eastAsia="仿宋_GB2312"/>
          <w:color w:val="1A1A1A" w:themeColor="background1" w:themeShade="1A"/>
          <w:sz w:val="32"/>
          <w:szCs w:val="32"/>
        </w:rPr>
        <w:t>年，全区畜禽粪污综合利用率保持</w:t>
      </w:r>
      <w:r>
        <w:rPr>
          <w:rFonts w:eastAsia="仿宋_GB2312"/>
          <w:color w:val="1A1A1A" w:themeColor="background1" w:themeShade="1A"/>
          <w:sz w:val="32"/>
          <w:szCs w:val="32"/>
        </w:rPr>
        <w:t>92%</w:t>
      </w:r>
      <w:r>
        <w:rPr>
          <w:rFonts w:hint="eastAsia" w:eastAsia="仿宋_GB2312"/>
          <w:color w:val="1A1A1A" w:themeColor="background1" w:themeShade="1A"/>
          <w:sz w:val="32"/>
          <w:szCs w:val="32"/>
        </w:rPr>
        <w:t>以上。</w:t>
      </w:r>
      <w:r>
        <w:rPr>
          <w:rFonts w:eastAsia="楷体_GB2312"/>
          <w:color w:val="1A1A1A" w:themeColor="background1" w:themeShade="1A"/>
          <w:sz w:val="32"/>
          <w:szCs w:val="32"/>
        </w:rPr>
        <w:t>（</w:t>
      </w:r>
      <w:bookmarkStart w:id="25" w:name="_Hlk115781750"/>
      <w:r>
        <w:rPr>
          <w:rFonts w:hint="eastAsia" w:eastAsia="楷体_GB2312"/>
          <w:color w:val="1A1A1A" w:themeColor="background1" w:themeShade="1A"/>
          <w:sz w:val="32"/>
          <w:szCs w:val="32"/>
        </w:rPr>
        <w:t>区</w:t>
      </w:r>
      <w:bookmarkEnd w:id="25"/>
      <w:r>
        <w:rPr>
          <w:rFonts w:eastAsia="楷体_GB2312"/>
          <w:color w:val="1A1A1A" w:themeColor="background1" w:themeShade="1A"/>
          <w:sz w:val="32"/>
          <w:szCs w:val="32"/>
        </w:rPr>
        <w:t>农业农村局</w:t>
      </w:r>
      <w:r>
        <w:rPr>
          <w:rFonts w:hint="eastAsia" w:eastAsia="楷体_GB2312"/>
          <w:color w:val="1A1A1A" w:themeColor="background1" w:themeShade="1A"/>
          <w:sz w:val="32"/>
          <w:szCs w:val="32"/>
        </w:rPr>
        <w:t>、区畜牧兽医事业发展中心按职责分工负责</w:t>
      </w:r>
      <w:r>
        <w:rPr>
          <w:rFonts w:eastAsia="楷体_GB2312"/>
          <w:color w:val="1A1A1A" w:themeColor="background1" w:themeShade="1A"/>
          <w:sz w:val="32"/>
          <w:szCs w:val="32"/>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747" w:type="dxa"/>
            <w:vAlign w:val="center"/>
          </w:tcPr>
          <w:p>
            <w:pPr>
              <w:spacing w:line="360" w:lineRule="auto"/>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专栏1：结构调整重点工程</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1.重点行业绿色化改造工程。加快产业集群绿色化改造。针对焦化、铸造、建材、化工、工业涂装、包装印刷、造纸、农副食品加工等行业，实施全流程清洁化、循环化、低碳化改造项目。推动生态工业园区建设。</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2.发展壮大生态环保产业。积极培育技术先进、管理科学的环保装备制造企业，实现特色优势环保装备制造领域高端化发展。做新做优环境服务业，推动生态环保产业与5G、物联网、云计算、大数据、区块链、人工智能等新一代信息技术深度融合。加大对生态环保产业发展的支持力度，推进产业规范有序发展，发挥行业协会、商会等的自律作用，引导企业遵纪守法、诚信经营。</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3.煤炭消费压减工程。</w:t>
            </w:r>
            <w:bookmarkStart w:id="26" w:name="_Hlk86165282"/>
            <w:r>
              <w:rPr>
                <w:rFonts w:hint="eastAsia" w:eastAsia="仿宋_GB2312"/>
                <w:color w:val="1A1A1A" w:themeColor="background1" w:themeShade="1A"/>
                <w:sz w:val="24"/>
                <w:szCs w:val="24"/>
              </w:rPr>
              <w:t>实施燃煤锅炉和燃煤机组淘汰工程，</w:t>
            </w:r>
            <w:bookmarkStart w:id="27" w:name="_Hlk86164949"/>
            <w:r>
              <w:rPr>
                <w:rFonts w:hint="eastAsia" w:eastAsia="仿宋_GB2312"/>
                <w:color w:val="1A1A1A" w:themeColor="background1" w:themeShade="1A"/>
                <w:sz w:val="24"/>
                <w:szCs w:val="24"/>
              </w:rPr>
              <w:t>淘汰全部35蒸吨/小时及以下燃煤锅炉</w:t>
            </w:r>
            <w:bookmarkEnd w:id="27"/>
            <w:r>
              <w:rPr>
                <w:rFonts w:hint="eastAsia" w:eastAsia="仿宋_GB2312"/>
                <w:color w:val="1A1A1A" w:themeColor="background1" w:themeShade="1A"/>
                <w:sz w:val="24"/>
                <w:szCs w:val="24"/>
              </w:rPr>
              <w:t>。</w:t>
            </w:r>
            <w:bookmarkEnd w:id="26"/>
            <w:r>
              <w:rPr>
                <w:rFonts w:hint="eastAsia" w:eastAsia="仿宋_GB2312"/>
                <w:color w:val="1A1A1A" w:themeColor="background1" w:themeShade="1A"/>
                <w:sz w:val="24"/>
                <w:szCs w:val="24"/>
              </w:rPr>
              <w:t>实施邹县电厂、济宁华源热电厂至兖州区热源替代管网工程。持续推进清洁取暖改造，完成农村地区散煤替代任务。实施一批清洁能源利用工程。加强集中供热和清洁能源基础设施建设，实施一批气代煤清洁能源供热工程，实施重点工业园区集中供热改造工程以及城市清洁能源基础设施建设工程。</w:t>
            </w:r>
          </w:p>
          <w:p>
            <w:pPr>
              <w:spacing w:line="360" w:lineRule="auto"/>
              <w:ind w:firstLine="480" w:firstLineChars="200"/>
              <w:rPr>
                <w:rFonts w:ascii="方正仿宋简体" w:hAnsi="文星仿宋" w:eastAsia="方正仿宋简体" w:cs="方正仿宋简体"/>
                <w:b/>
                <w:color w:val="1A1A1A" w:themeColor="background1" w:themeShade="1A"/>
                <w:sz w:val="24"/>
                <w:szCs w:val="24"/>
              </w:rPr>
            </w:pPr>
            <w:r>
              <w:rPr>
                <w:rFonts w:hint="eastAsia" w:eastAsia="仿宋_GB2312"/>
                <w:color w:val="1A1A1A" w:themeColor="background1" w:themeShade="1A"/>
                <w:sz w:val="24"/>
                <w:szCs w:val="24"/>
              </w:rPr>
              <w:t>4.柴油货车淘汰工程。大力淘汰老旧柴油货车和非道路移动机械。到2025年，完成市分解的国四及以下排放标准中重型运营柴油货车淘汰任务。</w:t>
            </w:r>
          </w:p>
        </w:tc>
      </w:tr>
    </w:tbl>
    <w:p>
      <w:pPr>
        <w:adjustRightInd w:val="0"/>
        <w:spacing w:before="312" w:beforeLines="100" w:after="312" w:afterLines="100"/>
        <w:jc w:val="center"/>
        <w:textAlignment w:val="baseline"/>
        <w:outlineLvl w:val="0"/>
        <w:rPr>
          <w:rFonts w:eastAsia="黑体"/>
          <w:b/>
          <w:color w:val="1A1A1A" w:themeColor="background1" w:themeShade="1A"/>
          <w:sz w:val="32"/>
          <w:szCs w:val="32"/>
        </w:rPr>
      </w:pPr>
      <w:bookmarkStart w:id="28" w:name="_Toc116030711"/>
      <w:bookmarkStart w:id="29" w:name="_Hlk65138320"/>
      <w:r>
        <w:rPr>
          <w:rFonts w:eastAsia="黑体"/>
          <w:b/>
          <w:color w:val="1A1A1A" w:themeColor="background1" w:themeShade="1A"/>
          <w:sz w:val="32"/>
          <w:szCs w:val="32"/>
        </w:rPr>
        <w:t xml:space="preserve">第四章  </w:t>
      </w:r>
      <w:r>
        <w:rPr>
          <w:rFonts w:hint="eastAsia" w:eastAsia="黑体"/>
          <w:b/>
          <w:color w:val="1A1A1A" w:themeColor="background1" w:themeShade="1A"/>
          <w:sz w:val="32"/>
          <w:szCs w:val="32"/>
        </w:rPr>
        <w:t>控制温室气体  积极应对气候变化</w:t>
      </w:r>
      <w:bookmarkEnd w:id="28"/>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30" w:name="_Toc116030712"/>
      <w:r>
        <w:rPr>
          <w:rFonts w:eastAsia="楷体_GB2312"/>
          <w:b/>
          <w:color w:val="1A1A1A" w:themeColor="background1" w:themeShade="1A"/>
          <w:sz w:val="32"/>
          <w:szCs w:val="32"/>
        </w:rPr>
        <w:t>第一节  开展二氧化碳排放达峰行动</w:t>
      </w:r>
      <w:bookmarkEnd w:id="30"/>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制定实施二氧化碳排放达峰行动方案。</w:t>
      </w:r>
      <w:r>
        <w:rPr>
          <w:rFonts w:hint="eastAsia" w:eastAsia="仿宋_GB2312"/>
          <w:color w:val="1A1A1A" w:themeColor="background1" w:themeShade="1A"/>
          <w:sz w:val="32"/>
          <w:szCs w:val="32"/>
        </w:rPr>
        <w:t>落实以二氧化碳排放强度控制为主、总量控制为辅的制度。分解落实市下达的二氧化碳排放达峰目标任务，明确重点行业二氧化碳排放达峰目标，制定达峰行动方案，强化各领域各层级的贯彻落实。探索在能源、工业、交通、建筑等领域制定达峰专项行动方案。加强达峰目标过程管理和评估监督。</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w:t>
      </w:r>
      <w:r>
        <w:rPr>
          <w:rFonts w:hint="eastAsia" w:eastAsia="楷体_GB2312"/>
          <w:color w:val="1A1A1A" w:themeColor="background1" w:themeShade="1A"/>
          <w:sz w:val="32"/>
          <w:szCs w:val="32"/>
        </w:rPr>
        <w:t>生态环境分局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区工业和信息化局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w:t>
      </w:r>
      <w:r>
        <w:rPr>
          <w:rFonts w:eastAsia="楷体_GB2312"/>
          <w:color w:val="1A1A1A" w:themeColor="background1" w:themeShade="1A"/>
          <w:sz w:val="32"/>
          <w:szCs w:val="32"/>
        </w:rPr>
        <w:t>交通运输局、</w:t>
      </w:r>
      <w:r>
        <w:rPr>
          <w:rFonts w:hint="eastAsia" w:eastAsia="楷体_GB2312"/>
          <w:color w:val="1A1A1A" w:themeColor="background1" w:themeShade="1A"/>
          <w:sz w:val="32"/>
          <w:szCs w:val="32"/>
        </w:rPr>
        <w:t>区住房城乡建设局</w:t>
      </w:r>
      <w:r>
        <w:rPr>
          <w:rFonts w:eastAsia="楷体_GB2312"/>
          <w:color w:val="1A1A1A" w:themeColor="background1" w:themeShade="1A"/>
          <w:sz w:val="32"/>
          <w:szCs w:val="32"/>
        </w:rPr>
        <w:t>按职责分工负责）</w:t>
      </w:r>
    </w:p>
    <w:p>
      <w:pPr>
        <w:pStyle w:val="46"/>
        <w:spacing w:line="360" w:lineRule="auto"/>
        <w:ind w:firstLine="643"/>
        <w:rPr>
          <w:rFonts w:eastAsia="仿宋_GB2312"/>
          <w:color w:val="1A1A1A" w:themeColor="background1" w:themeShade="1A"/>
          <w:sz w:val="32"/>
          <w:szCs w:val="32"/>
        </w:rPr>
      </w:pPr>
      <w:r>
        <w:rPr>
          <w:rFonts w:hint="eastAsia" w:eastAsia="楷体_GB2312"/>
          <w:b/>
          <w:bCs/>
          <w:color w:val="1A1A1A" w:themeColor="background1" w:themeShade="1A"/>
          <w:sz w:val="32"/>
          <w:szCs w:val="32"/>
        </w:rPr>
        <w:t>深入推进碳达峰行动。</w:t>
      </w:r>
      <w:bookmarkStart w:id="31" w:name="_Hlk115919269"/>
      <w:r>
        <w:rPr>
          <w:rFonts w:hint="eastAsia" w:eastAsia="仿宋_GB2312" w:cs="仿宋_GB2312"/>
          <w:color w:val="1A1A1A" w:themeColor="background1" w:themeShade="1A"/>
          <w:sz w:val="32"/>
          <w:szCs w:val="32"/>
        </w:rPr>
        <w:t>坚决落实国</w:t>
      </w:r>
      <w:r>
        <w:rPr>
          <w:rFonts w:hint="eastAsia" w:ascii="仿宋_GB2312" w:eastAsia="仿宋_GB2312" w:cs="仿宋_GB2312"/>
          <w:color w:val="1A1A1A" w:themeColor="background1" w:themeShade="1A"/>
          <w:sz w:val="32"/>
          <w:szCs w:val="32"/>
        </w:rPr>
        <w:t>家</w:t>
      </w:r>
      <w:r>
        <w:rPr>
          <w:rFonts w:hint="eastAsia" w:ascii="仿宋_GB2312" w:eastAsia="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双碳</w:t>
      </w:r>
      <w:r>
        <w:rPr>
          <w:rFonts w:hint="eastAsia" w:ascii="仿宋_GB2312" w:eastAsia="仿宋_GB2312"/>
          <w:color w:val="1A1A1A" w:themeColor="background1" w:themeShade="1A"/>
          <w:sz w:val="32"/>
          <w:szCs w:val="32"/>
        </w:rPr>
        <w:t>”</w:t>
      </w:r>
      <w:r>
        <w:rPr>
          <w:rFonts w:hint="eastAsia" w:eastAsia="仿宋_GB2312" w:cs="仿宋_GB2312"/>
          <w:color w:val="1A1A1A" w:themeColor="background1" w:themeShade="1A"/>
          <w:sz w:val="32"/>
          <w:szCs w:val="32"/>
        </w:rPr>
        <w:t>战略，严格执行济宁市碳达峰工作方案部署，严格落实能源消费强度和总量双控制度，加快推动减污降碳协同增效，配合济宁市建立覆盖重点领域的能耗统计监测体系，支持重点排放单位参与全国碳排放交易。以能源、工业、城乡建设、交通运输等领域和建材、化工等行业为重点，深入开展碳达峰行动。到</w:t>
      </w:r>
      <w:r>
        <w:rPr>
          <w:rFonts w:eastAsia="仿宋_GB2312"/>
          <w:color w:val="1A1A1A" w:themeColor="background1" w:themeShade="1A"/>
          <w:sz w:val="32"/>
          <w:szCs w:val="32"/>
        </w:rPr>
        <w:t>2025</w:t>
      </w:r>
      <w:r>
        <w:rPr>
          <w:rFonts w:hint="eastAsia" w:eastAsia="仿宋_GB2312" w:cs="仿宋_GB2312"/>
          <w:color w:val="1A1A1A" w:themeColor="background1" w:themeShade="1A"/>
          <w:sz w:val="32"/>
          <w:szCs w:val="32"/>
        </w:rPr>
        <w:t>年，建材行业率先达峰，化工行业单位能耗销售收入提高到</w:t>
      </w:r>
      <w:r>
        <w:rPr>
          <w:rFonts w:eastAsia="仿宋_GB2312"/>
          <w:color w:val="1A1A1A" w:themeColor="background1" w:themeShade="1A"/>
          <w:sz w:val="32"/>
          <w:szCs w:val="32"/>
        </w:rPr>
        <w:t>3</w:t>
      </w:r>
      <w:r>
        <w:rPr>
          <w:rFonts w:hint="eastAsia" w:eastAsia="仿宋_GB2312" w:cs="仿宋_GB2312"/>
          <w:color w:val="1A1A1A" w:themeColor="background1" w:themeShade="1A"/>
          <w:sz w:val="32"/>
          <w:szCs w:val="32"/>
        </w:rPr>
        <w:t>万元</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吨标准煤。</w:t>
      </w:r>
      <w:r>
        <w:rPr>
          <w:rFonts w:hint="eastAsia" w:eastAsia="仿宋_GB2312"/>
          <w:color w:val="1A1A1A" w:themeColor="background1" w:themeShade="1A"/>
          <w:sz w:val="32"/>
          <w:szCs w:val="32"/>
        </w:rPr>
        <w:t>加大对企业低碳技术创新的支持力度，鼓励降碳创新行动。开展多层级“零碳”体系建设，深化低碳试点示范，开展低碳社区试点。</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区发展改革局、区工业和信息化局、区交通运输局、区住房城乡建设局、区科技局等</w:t>
      </w:r>
      <w:r>
        <w:rPr>
          <w:rFonts w:eastAsia="楷体_GB2312"/>
          <w:color w:val="1A1A1A" w:themeColor="background1" w:themeShade="1A"/>
          <w:sz w:val="32"/>
          <w:szCs w:val="32"/>
        </w:rPr>
        <w:t>按职责分工负责）</w:t>
      </w:r>
      <w:bookmarkEnd w:id="31"/>
      <w:r>
        <w:rPr>
          <w:rFonts w:hint="eastAsia" w:eastAsia="仿宋_GB2312" w:cs="仿宋_GB2312"/>
          <w:color w:val="1A1A1A" w:themeColor="background1" w:themeShade="1A"/>
          <w:sz w:val="32"/>
          <w:szCs w:val="32"/>
        </w:rPr>
        <w:t>按照国家、省、市要求，逐步建立二氧化碳排放总量控制制度，推进碳排放服务体系建设。以油气系统、污水处理厂、农业等为重点，加强甲烷、氧化亚氮、氢氟化碳等非二氧化碳温室气体排放管理。健全排放源统计调查、核算核查、监管制度，将温室气体管控纳入环评管理。</w:t>
      </w:r>
      <w:r>
        <w:rPr>
          <w:rFonts w:eastAsia="楷体_GB2312"/>
          <w:color w:val="1A1A1A" w:themeColor="background1" w:themeShade="1A"/>
          <w:sz w:val="32"/>
          <w:szCs w:val="32"/>
        </w:rPr>
        <w:t>（</w:t>
      </w:r>
      <w:r>
        <w:rPr>
          <w:rFonts w:hint="eastAsia" w:eastAsia="楷体_GB2312"/>
          <w:color w:val="1A1A1A" w:themeColor="background1" w:themeShade="1A"/>
          <w:sz w:val="32"/>
          <w:szCs w:val="32"/>
        </w:rPr>
        <w:t>生态环境分局、区住房城乡建设局、区农业农村局</w:t>
      </w:r>
      <w:r>
        <w:rPr>
          <w:rFonts w:eastAsia="楷体_GB2312"/>
          <w:color w:val="1A1A1A" w:themeColor="background1" w:themeShade="1A"/>
          <w:sz w:val="32"/>
          <w:szCs w:val="32"/>
        </w:rPr>
        <w:t>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32" w:name="_Toc116030713"/>
      <w:r>
        <w:rPr>
          <w:rFonts w:eastAsia="楷体_GB2312"/>
          <w:b/>
          <w:color w:val="1A1A1A" w:themeColor="background1" w:themeShade="1A"/>
          <w:sz w:val="32"/>
          <w:szCs w:val="32"/>
        </w:rPr>
        <w:t>第二节  加强温室气体排放控制</w:t>
      </w:r>
      <w:bookmarkEnd w:id="32"/>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控制</w:t>
      </w:r>
      <w:r>
        <w:rPr>
          <w:rFonts w:hint="eastAsia" w:eastAsia="楷体_GB2312"/>
          <w:b/>
          <w:bCs/>
          <w:color w:val="1A1A1A" w:themeColor="background1" w:themeShade="1A"/>
          <w:sz w:val="32"/>
          <w:szCs w:val="32"/>
        </w:rPr>
        <w:t>工业过程</w:t>
      </w:r>
      <w:r>
        <w:rPr>
          <w:rFonts w:eastAsia="楷体_GB2312"/>
          <w:b/>
          <w:bCs/>
          <w:color w:val="1A1A1A" w:themeColor="background1" w:themeShade="1A"/>
          <w:sz w:val="32"/>
          <w:szCs w:val="32"/>
        </w:rPr>
        <w:t>二氧化碳排放。</w:t>
      </w:r>
      <w:r>
        <w:rPr>
          <w:rFonts w:hint="eastAsia" w:eastAsia="仿宋_GB2312"/>
          <w:color w:val="1A1A1A" w:themeColor="background1" w:themeShade="1A"/>
          <w:sz w:val="32"/>
          <w:szCs w:val="32"/>
        </w:rPr>
        <w:t>推动建材、化工等领域工艺技术升级，控制工业过程二氧化碳排放。推动煤电等行业开展全流程二氧化碳减排示范工程。加大对二氧化碳减排重大项目和技术创新扶持力度。</w:t>
      </w:r>
      <w:r>
        <w:rPr>
          <w:rFonts w:eastAsia="楷体_GB2312"/>
          <w:color w:val="1A1A1A" w:themeColor="background1" w:themeShade="1A"/>
          <w:sz w:val="32"/>
          <w:szCs w:val="32"/>
        </w:rPr>
        <w:t>（牵头单位：</w:t>
      </w:r>
      <w:r>
        <w:rPr>
          <w:rFonts w:hint="eastAsia" w:eastAsia="楷体_GB2312"/>
          <w:color w:val="1A1A1A" w:themeColor="background1" w:themeShade="1A"/>
          <w:sz w:val="32"/>
          <w:szCs w:val="32"/>
        </w:rPr>
        <w:t>生态环境分局</w:t>
      </w:r>
      <w:r>
        <w:rPr>
          <w:rFonts w:eastAsia="楷体_GB2312"/>
          <w:color w:val="1A1A1A" w:themeColor="background1" w:themeShade="1A"/>
          <w:sz w:val="32"/>
          <w:szCs w:val="32"/>
        </w:rPr>
        <w:t>；配合单位：</w:t>
      </w:r>
      <w:r>
        <w:rPr>
          <w:rFonts w:hint="eastAsia" w:eastAsia="楷体_GB2312"/>
          <w:color w:val="1A1A1A" w:themeColor="background1" w:themeShade="1A"/>
          <w:sz w:val="32"/>
          <w:szCs w:val="32"/>
        </w:rPr>
        <w:t>区工业和信息化局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区发展改革局</w:t>
      </w:r>
      <w:r>
        <w:rPr>
          <w:rFonts w:eastAsia="楷体_GB2312"/>
          <w:color w:val="1A1A1A" w:themeColor="background1" w:themeShade="1A"/>
          <w:sz w:val="32"/>
          <w:szCs w:val="32"/>
        </w:rPr>
        <w:t>）</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控制交通领域二氧化碳排放。</w:t>
      </w:r>
      <w:r>
        <w:rPr>
          <w:rFonts w:eastAsia="仿宋_GB2312"/>
          <w:color w:val="1A1A1A" w:themeColor="background1" w:themeShade="1A"/>
          <w:sz w:val="32"/>
          <w:szCs w:val="32"/>
        </w:rPr>
        <w:t>大力发展低碳交通，加快发展铁路等低碳运输方式，推动航空、公路运输低碳发展，发展低碳物流，2025</w:t>
      </w:r>
      <w:r>
        <w:rPr>
          <w:rFonts w:hint="eastAsia" w:eastAsia="仿宋_GB2312"/>
          <w:color w:val="1A1A1A" w:themeColor="background1" w:themeShade="1A"/>
          <w:sz w:val="32"/>
          <w:szCs w:val="32"/>
        </w:rPr>
        <w:t>年</w:t>
      </w:r>
      <w:r>
        <w:rPr>
          <w:rFonts w:eastAsia="仿宋_GB2312"/>
          <w:color w:val="1A1A1A" w:themeColor="background1" w:themeShade="1A"/>
          <w:sz w:val="32"/>
          <w:szCs w:val="32"/>
        </w:rPr>
        <w:t>年底前，营运车辆</w:t>
      </w:r>
      <w:r>
        <w:rPr>
          <w:rFonts w:hint="eastAsia" w:eastAsia="仿宋_GB2312"/>
          <w:color w:val="1A1A1A" w:themeColor="background1" w:themeShade="1A"/>
          <w:sz w:val="32"/>
          <w:szCs w:val="32"/>
        </w:rPr>
        <w:t>单位运输周转量</w:t>
      </w:r>
      <w:r>
        <w:rPr>
          <w:rFonts w:eastAsia="仿宋_GB2312"/>
          <w:color w:val="1A1A1A" w:themeColor="background1" w:themeShade="1A"/>
          <w:sz w:val="32"/>
          <w:szCs w:val="32"/>
        </w:rPr>
        <w:t>二氧化碳排放</w:t>
      </w:r>
      <w:r>
        <w:rPr>
          <w:rFonts w:hint="eastAsia" w:eastAsia="仿宋_GB2312"/>
          <w:color w:val="1A1A1A" w:themeColor="background1" w:themeShade="1A"/>
          <w:sz w:val="32"/>
          <w:szCs w:val="32"/>
        </w:rPr>
        <w:t>下降达到市要求</w:t>
      </w:r>
      <w:r>
        <w:rPr>
          <w:rFonts w:eastAsia="仿宋_GB2312"/>
          <w:color w:val="1A1A1A" w:themeColor="background1" w:themeShade="1A"/>
          <w:sz w:val="32"/>
          <w:szCs w:val="32"/>
        </w:rPr>
        <w:t>。推广节能和新能源车辆，加快充电基础设施建设。加大交通行业节能低碳技术开发与推广。</w:t>
      </w:r>
      <w:r>
        <w:rPr>
          <w:rFonts w:hint="eastAsia" w:eastAsia="楷体_GB2312"/>
          <w:color w:val="1A1A1A" w:themeColor="background1" w:themeShade="1A"/>
          <w:sz w:val="32"/>
          <w:szCs w:val="32"/>
        </w:rPr>
        <w:t>（牵头单位：区交通运输局；配合单位：区发展改革局、区住房城乡建设局）</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控制建筑领域二氧化碳排放。</w:t>
      </w:r>
      <w:r>
        <w:rPr>
          <w:rFonts w:eastAsia="仿宋_GB2312"/>
          <w:color w:val="1A1A1A" w:themeColor="background1" w:themeShade="1A"/>
          <w:sz w:val="32"/>
          <w:szCs w:val="32"/>
        </w:rPr>
        <w:t>构建绿色低碳建筑体系，全面推行绿色建筑，大力发展装配式建筑，推广绿色建材</w:t>
      </w:r>
      <w:r>
        <w:rPr>
          <w:rFonts w:hint="eastAsia" w:eastAsia="仿宋_GB2312"/>
          <w:color w:val="1A1A1A" w:themeColor="background1" w:themeShade="1A"/>
          <w:sz w:val="32"/>
          <w:szCs w:val="32"/>
        </w:rPr>
        <w:t>、再生建材。</w:t>
      </w:r>
      <w:r>
        <w:rPr>
          <w:rFonts w:eastAsia="仿宋_GB2312"/>
          <w:color w:val="1A1A1A" w:themeColor="background1" w:themeShade="1A"/>
          <w:sz w:val="32"/>
          <w:szCs w:val="32"/>
        </w:rPr>
        <w:t>积极发展超低能耗建筑、近零能耗建筑。2025年</w:t>
      </w:r>
      <w:r>
        <w:rPr>
          <w:rFonts w:hint="eastAsia" w:eastAsia="仿宋_GB2312"/>
          <w:color w:val="1A1A1A" w:themeColor="background1" w:themeShade="1A"/>
          <w:sz w:val="32"/>
          <w:szCs w:val="32"/>
        </w:rPr>
        <w:t>年</w:t>
      </w:r>
      <w:r>
        <w:rPr>
          <w:rFonts w:eastAsia="仿宋_GB2312"/>
          <w:color w:val="1A1A1A" w:themeColor="background1" w:themeShade="1A"/>
          <w:sz w:val="32"/>
          <w:szCs w:val="32"/>
        </w:rPr>
        <w:t>底前，城镇新建民用建筑中绿色建筑面积占比达到90%。持续推进既有居住建筑和公共建筑的绿色节能改造，加强对公共建筑用能监测。加大对超低能耗建筑等技术的开发和推广。202</w:t>
      </w:r>
      <w:r>
        <w:rPr>
          <w:rFonts w:hint="eastAsia" w:eastAsia="仿宋_GB2312"/>
          <w:color w:val="1A1A1A" w:themeColor="background1" w:themeShade="1A"/>
          <w:sz w:val="32"/>
          <w:szCs w:val="32"/>
        </w:rPr>
        <w:t>5年</w:t>
      </w:r>
      <w:r>
        <w:rPr>
          <w:rFonts w:eastAsia="仿宋_GB2312"/>
          <w:color w:val="1A1A1A" w:themeColor="background1" w:themeShade="1A"/>
          <w:sz w:val="32"/>
          <w:szCs w:val="32"/>
        </w:rPr>
        <w:t>年底前，</w:t>
      </w:r>
      <w:r>
        <w:rPr>
          <w:rFonts w:hint="eastAsia" w:eastAsia="仿宋_GB2312"/>
          <w:color w:val="1A1A1A" w:themeColor="background1" w:themeShade="1A"/>
          <w:sz w:val="32"/>
          <w:szCs w:val="32"/>
        </w:rPr>
        <w:t>达到市下达的公共机构单位建筑面积能耗、人均综合能耗下降目标</w:t>
      </w:r>
      <w:r>
        <w:rPr>
          <w:rFonts w:eastAsia="仿宋_GB2312"/>
          <w:color w:val="1A1A1A" w:themeColor="background1" w:themeShade="1A"/>
          <w:sz w:val="32"/>
          <w:szCs w:val="32"/>
        </w:rPr>
        <w:t>。</w:t>
      </w:r>
      <w:r>
        <w:rPr>
          <w:rFonts w:eastAsia="楷体_GB2312"/>
          <w:color w:val="1A1A1A" w:themeColor="background1" w:themeShade="1A"/>
          <w:sz w:val="32"/>
          <w:szCs w:val="32"/>
        </w:rPr>
        <w:t>（责任单位：</w:t>
      </w:r>
      <w:r>
        <w:rPr>
          <w:rFonts w:hint="eastAsia" w:eastAsia="楷体_GB2312"/>
          <w:color w:val="1A1A1A" w:themeColor="background1" w:themeShade="1A"/>
          <w:sz w:val="32"/>
          <w:szCs w:val="32"/>
        </w:rPr>
        <w:t>区住房城乡建设局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区机关事务服务中心</w:t>
      </w:r>
      <w:r>
        <w:rPr>
          <w:rFonts w:eastAsia="楷体_GB2312"/>
          <w:color w:val="1A1A1A" w:themeColor="background1" w:themeShade="1A"/>
          <w:sz w:val="32"/>
          <w:szCs w:val="32"/>
        </w:rPr>
        <w:t>）</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控制非二氧化碳温室气体排放。</w:t>
      </w:r>
      <w:r>
        <w:rPr>
          <w:rFonts w:eastAsia="仿宋_GB2312"/>
          <w:color w:val="1A1A1A" w:themeColor="background1" w:themeShade="1A"/>
          <w:sz w:val="32"/>
          <w:szCs w:val="32"/>
        </w:rPr>
        <w:t>开展油气系统甲烷控制工作。实施全氟化碳等含氟温室气体和氧化亚氮排放控制，推广六氟化硫替代技术。加强标准化规模种植养殖，选育高产低排放良种，推广测土配方施肥，控制农田和畜禽养殖甲烷和氧化亚氮排放。加强污水处理厂甲烷排放控制</w:t>
      </w:r>
      <w:r>
        <w:rPr>
          <w:rFonts w:hint="eastAsia" w:eastAsia="仿宋_GB2312"/>
          <w:color w:val="1A1A1A" w:themeColor="background1" w:themeShade="1A"/>
          <w:sz w:val="32"/>
          <w:szCs w:val="32"/>
        </w:rPr>
        <w:t>、</w:t>
      </w:r>
      <w:r>
        <w:rPr>
          <w:rFonts w:eastAsia="仿宋_GB2312"/>
          <w:color w:val="1A1A1A" w:themeColor="background1" w:themeShade="1A"/>
          <w:sz w:val="32"/>
          <w:szCs w:val="32"/>
        </w:rPr>
        <w:t>回收利用。</w:t>
      </w:r>
      <w:r>
        <w:rPr>
          <w:rFonts w:eastAsia="楷体_GB2312"/>
          <w:color w:val="1A1A1A" w:themeColor="background1" w:themeShade="1A"/>
          <w:sz w:val="32"/>
          <w:szCs w:val="32"/>
        </w:rPr>
        <w:t>（</w:t>
      </w:r>
      <w:r>
        <w:rPr>
          <w:rFonts w:hint="eastAsia" w:eastAsia="楷体_GB2312"/>
          <w:color w:val="1A1A1A" w:themeColor="background1" w:themeShade="1A"/>
          <w:sz w:val="32"/>
          <w:szCs w:val="32"/>
        </w:rPr>
        <w:t>生态环境分局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区住房城乡建设局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w:t>
      </w:r>
      <w:r>
        <w:rPr>
          <w:rFonts w:eastAsia="楷体_GB2312"/>
          <w:color w:val="1A1A1A" w:themeColor="background1" w:themeShade="1A"/>
          <w:sz w:val="32"/>
          <w:szCs w:val="32"/>
        </w:rPr>
        <w:t>农业农村局按职责分工负责）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33" w:name="_Toc116030714"/>
      <w:r>
        <w:rPr>
          <w:rFonts w:eastAsia="楷体_GB2312"/>
          <w:b/>
          <w:color w:val="1A1A1A" w:themeColor="background1" w:themeShade="1A"/>
          <w:sz w:val="32"/>
          <w:szCs w:val="32"/>
        </w:rPr>
        <w:t>第三节  积极落实应对气候变化工作</w:t>
      </w:r>
      <w:bookmarkEnd w:id="33"/>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加强气候变化风险评估与应对。</w:t>
      </w:r>
      <w:r>
        <w:rPr>
          <w:rFonts w:eastAsia="仿宋_GB2312"/>
          <w:color w:val="1A1A1A" w:themeColor="background1" w:themeShade="1A"/>
          <w:sz w:val="32"/>
          <w:szCs w:val="32"/>
        </w:rPr>
        <w:t>开展气候变化风险评估，识别气候变化对敏感区水资源保障、粮食生产、城乡环境、人体健康、生态安全及重大工程的影响，开展应对气候变化风险管理。完善防灾减灾及风险应对机制，提升风险应对能力。着力增强农业抗御自然风险能力，提高农业生产适应气候变化能力，加强主要粮食作物区农业气象灾害应对防范体系建设。统筹提升城乡极端气候事件监测预警、防灾减灾综合评估和风险管控能力，制定应对和防范措施。</w:t>
      </w:r>
      <w:r>
        <w:rPr>
          <w:rFonts w:hint="eastAsia" w:eastAsia="楷体_GB2312"/>
          <w:color w:val="1A1A1A" w:themeColor="background1" w:themeShade="1A"/>
          <w:sz w:val="32"/>
          <w:szCs w:val="32"/>
        </w:rPr>
        <w:t>（牵头单位：生态环境分局；配合单位：</w:t>
      </w:r>
      <w:bookmarkStart w:id="34" w:name="_Hlk115783558"/>
      <w:r>
        <w:rPr>
          <w:rFonts w:hint="eastAsia" w:eastAsia="楷体_GB2312"/>
          <w:color w:val="1A1A1A" w:themeColor="background1" w:themeShade="1A"/>
          <w:sz w:val="32"/>
          <w:szCs w:val="32"/>
        </w:rPr>
        <w:t>区</w:t>
      </w:r>
      <w:bookmarkEnd w:id="34"/>
      <w:r>
        <w:rPr>
          <w:rFonts w:hint="eastAsia" w:eastAsia="楷体_GB2312"/>
          <w:color w:val="1A1A1A" w:themeColor="background1" w:themeShade="1A"/>
          <w:sz w:val="32"/>
          <w:szCs w:val="32"/>
        </w:rPr>
        <w:t>气象局、区发展改革局、</w:t>
      </w:r>
      <w:bookmarkStart w:id="35" w:name="_Hlk115783715"/>
      <w:r>
        <w:rPr>
          <w:rFonts w:hint="eastAsia" w:eastAsia="楷体_GB2312"/>
          <w:color w:val="1A1A1A" w:themeColor="background1" w:themeShade="1A"/>
          <w:sz w:val="32"/>
          <w:szCs w:val="32"/>
        </w:rPr>
        <w:t>区</w:t>
      </w:r>
      <w:bookmarkEnd w:id="35"/>
      <w:r>
        <w:rPr>
          <w:rFonts w:hint="eastAsia" w:eastAsia="楷体_GB2312"/>
          <w:color w:val="1A1A1A" w:themeColor="background1" w:themeShade="1A"/>
          <w:sz w:val="32"/>
          <w:szCs w:val="32"/>
        </w:rPr>
        <w:t>自然资源局、区住房城乡建设局、区水务局、区农业农村局、区应急局）</w:t>
      </w:r>
    </w:p>
    <w:p>
      <w:pPr>
        <w:pStyle w:val="46"/>
        <w:spacing w:line="360" w:lineRule="auto"/>
        <w:ind w:firstLine="643"/>
        <w:rPr>
          <w:rFonts w:eastAsia="楷体_GB2312"/>
          <w:color w:val="1A1A1A" w:themeColor="background1" w:themeShade="1A"/>
          <w:sz w:val="32"/>
          <w:szCs w:val="32"/>
        </w:rPr>
      </w:pPr>
      <w:bookmarkStart w:id="36" w:name="_Hlk65241723"/>
      <w:r>
        <w:rPr>
          <w:rFonts w:eastAsia="楷体_GB2312"/>
          <w:b/>
          <w:bCs/>
          <w:color w:val="1A1A1A" w:themeColor="background1" w:themeShade="1A"/>
          <w:sz w:val="32"/>
          <w:szCs w:val="32"/>
        </w:rPr>
        <w:t>加强应对气候变化管理。</w:t>
      </w:r>
      <w:r>
        <w:rPr>
          <w:rFonts w:eastAsia="仿宋_GB2312"/>
          <w:color w:val="1A1A1A" w:themeColor="background1" w:themeShade="1A"/>
          <w:sz w:val="32"/>
          <w:szCs w:val="32"/>
        </w:rPr>
        <w:t>开展温室气体统计核算工作，编制温室气体排放清单。加强单位地区生产总值二氧化碳排放降低目标管理，做好定期评估工作。将应对气候变化要求纳入“三线一单”生态环境分区管控体系，通过规划环评、项目环评推动区域、行业和企业落实煤炭消费削减替代、温室气体排放控制等政策要求</w:t>
      </w:r>
      <w:bookmarkEnd w:id="36"/>
      <w:r>
        <w:rPr>
          <w:rFonts w:hint="eastAsia" w:eastAsia="仿宋_GB2312"/>
          <w:color w:val="1A1A1A" w:themeColor="background1" w:themeShade="1A"/>
          <w:sz w:val="32"/>
          <w:szCs w:val="32"/>
        </w:rPr>
        <w:t>。积极配合做好化工行业建设项目碳排放环境影响评价试点工作。</w:t>
      </w:r>
      <w:r>
        <w:rPr>
          <w:rFonts w:eastAsia="仿宋_GB2312"/>
          <w:color w:val="1A1A1A" w:themeColor="background1" w:themeShade="1A"/>
          <w:sz w:val="32"/>
          <w:szCs w:val="32"/>
        </w:rPr>
        <w:t>推动低碳产品政府采购、企业碳排放信息披露。</w:t>
      </w:r>
      <w:r>
        <w:rPr>
          <w:rFonts w:hint="eastAsia" w:eastAsia="仿宋_GB2312" w:cs="仿宋_GB2312"/>
          <w:color w:val="1A1A1A" w:themeColor="background1" w:themeShade="1A"/>
          <w:spacing w:val="-6"/>
          <w:sz w:val="32"/>
          <w:szCs w:val="32"/>
        </w:rPr>
        <w:t>加强碳排放权交易监督管理。强化全国碳排放权交易市场第二个履约周期的管理，指导重点排放企业积极参与碳市场交易，利用市场机制控制和减少温室气体排放，推动重点行业企业绿色低碳发</w:t>
      </w:r>
      <w:r>
        <w:rPr>
          <w:rFonts w:hint="eastAsia" w:eastAsia="仿宋_GB2312" w:cs="仿宋_GB2312"/>
          <w:color w:val="1A1A1A" w:themeColor="background1" w:themeShade="1A"/>
          <w:sz w:val="32"/>
          <w:szCs w:val="32"/>
        </w:rPr>
        <w:t>展。</w:t>
      </w:r>
      <w:r>
        <w:rPr>
          <w:rFonts w:hint="eastAsia" w:eastAsia="楷体_GB2312"/>
          <w:color w:val="1A1A1A" w:themeColor="background1" w:themeShade="1A"/>
          <w:sz w:val="32"/>
          <w:szCs w:val="32"/>
        </w:rPr>
        <w:t>（牵头单位：生态环境分局；配合单位：区发展改革局、区统计局、区工业和信息化局、区财政局）</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实施温室气体和污染物协同控制。</w:t>
      </w:r>
      <w:r>
        <w:rPr>
          <w:rFonts w:eastAsia="仿宋_GB2312"/>
          <w:color w:val="1A1A1A" w:themeColor="background1" w:themeShade="1A"/>
          <w:sz w:val="32"/>
          <w:szCs w:val="32"/>
        </w:rPr>
        <w:t>推动应对气候变化与环境污染防治统筹融合、协同增效，推进多污染物协同控制。制定工业、农业温室气体和污染减排协同控制方案，减少温室气体和污染物排放。加强污水、垃圾等集中处置设施温室气体排放协同控制。</w:t>
      </w:r>
      <w:r>
        <w:rPr>
          <w:rFonts w:eastAsia="楷体_GB2312"/>
          <w:color w:val="1A1A1A" w:themeColor="background1" w:themeShade="1A"/>
          <w:sz w:val="32"/>
          <w:szCs w:val="32"/>
        </w:rPr>
        <w:t>（</w:t>
      </w:r>
      <w:r>
        <w:rPr>
          <w:rFonts w:hint="eastAsia" w:eastAsia="楷体_GB2312"/>
          <w:color w:val="1A1A1A" w:themeColor="background1" w:themeShade="1A"/>
          <w:sz w:val="32"/>
          <w:szCs w:val="32"/>
        </w:rPr>
        <w:t>生态环境分局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w:t>
      </w:r>
      <w:r>
        <w:rPr>
          <w:rFonts w:eastAsia="楷体_GB2312"/>
          <w:color w:val="1A1A1A" w:themeColor="background1" w:themeShade="1A"/>
          <w:sz w:val="32"/>
          <w:szCs w:val="32"/>
        </w:rPr>
        <w:t>综合行政执法局、</w:t>
      </w:r>
      <w:r>
        <w:rPr>
          <w:rFonts w:hint="eastAsia" w:eastAsia="楷体_GB2312"/>
          <w:color w:val="1A1A1A" w:themeColor="background1" w:themeShade="1A"/>
          <w:sz w:val="32"/>
          <w:szCs w:val="32"/>
        </w:rPr>
        <w:t>区</w:t>
      </w:r>
      <w:r>
        <w:rPr>
          <w:rFonts w:eastAsia="楷体_GB2312"/>
          <w:color w:val="1A1A1A" w:themeColor="background1" w:themeShade="1A"/>
          <w:sz w:val="32"/>
          <w:szCs w:val="32"/>
        </w:rPr>
        <w:t>交通运输局、</w:t>
      </w:r>
      <w:r>
        <w:rPr>
          <w:rFonts w:hint="eastAsia" w:eastAsia="楷体_GB2312"/>
          <w:color w:val="1A1A1A" w:themeColor="background1" w:themeShade="1A"/>
          <w:sz w:val="32"/>
          <w:szCs w:val="32"/>
        </w:rPr>
        <w:t>区住房城乡建设局</w:t>
      </w:r>
      <w:r>
        <w:rPr>
          <w:rFonts w:eastAsia="楷体_GB2312"/>
          <w:color w:val="1A1A1A" w:themeColor="background1" w:themeShade="1A"/>
          <w:sz w:val="32"/>
          <w:szCs w:val="32"/>
        </w:rPr>
        <w:t>、</w:t>
      </w:r>
      <w:r>
        <w:rPr>
          <w:rFonts w:hint="eastAsia" w:eastAsia="楷体_GB2312"/>
          <w:color w:val="1A1A1A" w:themeColor="background1" w:themeShade="1A"/>
          <w:sz w:val="32"/>
          <w:szCs w:val="32"/>
        </w:rPr>
        <w:t>区</w:t>
      </w:r>
      <w:r>
        <w:rPr>
          <w:rFonts w:eastAsia="楷体_GB2312"/>
          <w:color w:val="1A1A1A" w:themeColor="background1" w:themeShade="1A"/>
          <w:sz w:val="32"/>
          <w:szCs w:val="32"/>
        </w:rPr>
        <w:t>农业农村局</w:t>
      </w:r>
      <w:r>
        <w:rPr>
          <w:rFonts w:hint="eastAsia" w:eastAsia="楷体_GB2312"/>
          <w:color w:val="1A1A1A" w:themeColor="background1" w:themeShade="1A"/>
          <w:sz w:val="32"/>
          <w:szCs w:val="32"/>
        </w:rPr>
        <w:t>等</w:t>
      </w:r>
      <w:r>
        <w:rPr>
          <w:rFonts w:eastAsia="楷体_GB2312"/>
          <w:color w:val="1A1A1A" w:themeColor="background1" w:themeShade="1A"/>
          <w:sz w:val="32"/>
          <w:szCs w:val="32"/>
        </w:rPr>
        <w:t>按职责分工负责）</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8755" w:type="dxa"/>
            <w:vAlign w:val="center"/>
          </w:tcPr>
          <w:p>
            <w:pPr>
              <w:spacing w:line="360" w:lineRule="auto"/>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专栏2：应对气候变化重点工程</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1.节能降碳工程。实施锅炉、煤电节能减排升级改造工程。开发推广交通行业节能低碳技术，建设一批交通行业节能低碳项目。</w:t>
            </w:r>
          </w:p>
          <w:p>
            <w:pPr>
              <w:widowControl/>
              <w:spacing w:line="360" w:lineRule="auto"/>
              <w:ind w:firstLine="480" w:firstLineChars="200"/>
              <w:rPr>
                <w:rFonts w:ascii="方正仿宋简体" w:hAnsi="文星仿宋" w:eastAsia="方正仿宋简体" w:cs="方正仿宋简体"/>
                <w:b/>
                <w:color w:val="1A1A1A" w:themeColor="background1" w:themeShade="1A"/>
                <w:sz w:val="32"/>
                <w:szCs w:val="32"/>
              </w:rPr>
            </w:pPr>
            <w:r>
              <w:rPr>
                <w:rFonts w:hint="eastAsia" w:eastAsia="仿宋_GB2312"/>
                <w:color w:val="1A1A1A" w:themeColor="background1" w:themeShade="1A"/>
                <w:sz w:val="24"/>
                <w:szCs w:val="24"/>
              </w:rPr>
              <w:t>2.全流程二氧化碳减排工程。深化低碳试点示范，探索开展近零或零碳排放重大示范工程。在煤电、煤化工等行业开展二氧化碳捕集、利用与封存全流程示范工程。</w:t>
            </w:r>
          </w:p>
        </w:tc>
      </w:tr>
      <w:bookmarkEnd w:id="29"/>
    </w:tbl>
    <w:p>
      <w:pPr>
        <w:adjustRightInd w:val="0"/>
        <w:spacing w:before="312" w:beforeLines="100" w:after="312" w:afterLines="100"/>
        <w:jc w:val="center"/>
        <w:textAlignment w:val="baseline"/>
        <w:outlineLvl w:val="0"/>
        <w:rPr>
          <w:rFonts w:eastAsia="黑体"/>
          <w:b/>
          <w:color w:val="1A1A1A" w:themeColor="background1" w:themeShade="1A"/>
          <w:sz w:val="32"/>
          <w:szCs w:val="32"/>
        </w:rPr>
      </w:pPr>
      <w:bookmarkStart w:id="37" w:name="_Toc116030715"/>
      <w:r>
        <w:rPr>
          <w:rFonts w:eastAsia="黑体"/>
          <w:b/>
          <w:color w:val="1A1A1A" w:themeColor="background1" w:themeShade="1A"/>
          <w:sz w:val="32"/>
          <w:szCs w:val="32"/>
        </w:rPr>
        <w:t xml:space="preserve">第五章  强化协同控制  </w:t>
      </w:r>
      <w:r>
        <w:rPr>
          <w:rFonts w:hint="eastAsia" w:eastAsia="黑体"/>
          <w:b/>
          <w:color w:val="1A1A1A" w:themeColor="background1" w:themeShade="1A"/>
          <w:sz w:val="32"/>
          <w:szCs w:val="32"/>
        </w:rPr>
        <w:t>促进空气质量持续改善</w:t>
      </w:r>
      <w:bookmarkEnd w:id="37"/>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38" w:name="_Toc116030716"/>
      <w:bookmarkStart w:id="39" w:name="_Toc65060409"/>
      <w:r>
        <w:rPr>
          <w:rFonts w:eastAsia="楷体_GB2312"/>
          <w:b/>
          <w:color w:val="1A1A1A" w:themeColor="background1" w:themeShade="1A"/>
          <w:sz w:val="32"/>
          <w:szCs w:val="32"/>
        </w:rPr>
        <w:t>第一节  加强细颗粒物和臭氧协同控制</w:t>
      </w:r>
      <w:bookmarkEnd w:id="38"/>
      <w:bookmarkEnd w:id="39"/>
    </w:p>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科学谋划空气质量达标进程</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编制实施空气质量限期达标规划，明确“十四五”空气质量阶段改善目标及空气质量达标期限、各阶段污染防治重点任务和空气质量达标路线图，并向社会公开。</w:t>
      </w:r>
      <w:bookmarkStart w:id="40" w:name="_Hlk115783669"/>
      <w:r>
        <w:rPr>
          <w:rFonts w:hint="eastAsia" w:eastAsia="楷体_GB2312"/>
          <w:color w:val="1A1A1A" w:themeColor="background1" w:themeShade="1A"/>
          <w:sz w:val="32"/>
          <w:szCs w:val="32"/>
        </w:rPr>
        <w:t>（责任单位：生态环境分局）</w:t>
      </w:r>
      <w:bookmarkEnd w:id="40"/>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协同开展</w:t>
      </w:r>
      <w:r>
        <w:rPr>
          <w:rFonts w:eastAsia="仿宋_GB2312"/>
          <w:color w:val="1A1A1A" w:themeColor="background1" w:themeShade="1A"/>
          <w:sz w:val="32"/>
          <w:szCs w:val="32"/>
        </w:rPr>
        <w:t>PM</w:t>
      </w:r>
      <w:r>
        <w:rPr>
          <w:rFonts w:eastAsia="仿宋_GB2312"/>
          <w:color w:val="1A1A1A" w:themeColor="background1" w:themeShade="1A"/>
          <w:sz w:val="32"/>
          <w:szCs w:val="32"/>
          <w:vertAlign w:val="subscript"/>
        </w:rPr>
        <w:t>2.5</w:t>
      </w:r>
      <w:r>
        <w:rPr>
          <w:rFonts w:eastAsia="楷体_GB2312"/>
          <w:b/>
          <w:bCs/>
          <w:color w:val="1A1A1A" w:themeColor="background1" w:themeShade="1A"/>
          <w:sz w:val="32"/>
          <w:szCs w:val="32"/>
        </w:rPr>
        <w:t>和</w:t>
      </w:r>
      <w:r>
        <w:rPr>
          <w:rFonts w:eastAsia="仿宋_GB2312"/>
          <w:color w:val="1A1A1A" w:themeColor="background1" w:themeShade="1A"/>
          <w:sz w:val="32"/>
          <w:szCs w:val="32"/>
        </w:rPr>
        <w:t>O</w:t>
      </w:r>
      <w:r>
        <w:rPr>
          <w:rFonts w:eastAsia="仿宋_GB2312"/>
          <w:color w:val="1A1A1A" w:themeColor="background1" w:themeShade="1A"/>
          <w:sz w:val="32"/>
          <w:szCs w:val="32"/>
          <w:vertAlign w:val="subscript"/>
        </w:rPr>
        <w:t>3</w:t>
      </w:r>
      <w:r>
        <w:rPr>
          <w:rFonts w:eastAsia="楷体_GB2312"/>
          <w:b/>
          <w:bCs/>
          <w:color w:val="1A1A1A" w:themeColor="background1" w:themeShade="1A"/>
          <w:sz w:val="32"/>
          <w:szCs w:val="32"/>
        </w:rPr>
        <w:t>污染防治。</w:t>
      </w:r>
      <w:r>
        <w:rPr>
          <w:rFonts w:eastAsia="仿宋_GB2312"/>
          <w:color w:val="1A1A1A" w:themeColor="background1" w:themeShade="1A"/>
          <w:sz w:val="32"/>
          <w:szCs w:val="32"/>
        </w:rPr>
        <w:t>针对夏秋季以O</w:t>
      </w:r>
      <w:r>
        <w:rPr>
          <w:rFonts w:eastAsia="仿宋_GB2312"/>
          <w:color w:val="1A1A1A" w:themeColor="background1" w:themeShade="1A"/>
          <w:sz w:val="32"/>
          <w:szCs w:val="32"/>
          <w:vertAlign w:val="subscript"/>
        </w:rPr>
        <w:t>3</w:t>
      </w:r>
      <w:r>
        <w:rPr>
          <w:rFonts w:eastAsia="仿宋_GB2312"/>
          <w:color w:val="1A1A1A" w:themeColor="background1" w:themeShade="1A"/>
          <w:sz w:val="32"/>
          <w:szCs w:val="32"/>
        </w:rPr>
        <w:t>为首要污染物和秋冬季以PM</w:t>
      </w:r>
      <w:r>
        <w:rPr>
          <w:rFonts w:eastAsia="仿宋_GB2312"/>
          <w:color w:val="1A1A1A" w:themeColor="background1" w:themeShade="1A"/>
          <w:sz w:val="32"/>
          <w:szCs w:val="32"/>
          <w:vertAlign w:val="subscript"/>
        </w:rPr>
        <w:t>2.5</w:t>
      </w:r>
      <w:r>
        <w:rPr>
          <w:rFonts w:eastAsia="仿宋_GB2312"/>
          <w:color w:val="1A1A1A" w:themeColor="background1" w:themeShade="1A"/>
          <w:sz w:val="32"/>
          <w:szCs w:val="32"/>
        </w:rPr>
        <w:t>为首要污染物的污染天气，实施季节性差异化管控措施，稳步增加空气质量优良天数。统筹考虑PM</w:t>
      </w:r>
      <w:r>
        <w:rPr>
          <w:rFonts w:eastAsia="仿宋_GB2312"/>
          <w:color w:val="1A1A1A" w:themeColor="background1" w:themeShade="1A"/>
          <w:sz w:val="32"/>
          <w:szCs w:val="32"/>
          <w:vertAlign w:val="subscript"/>
        </w:rPr>
        <w:t>2.5</w:t>
      </w:r>
      <w:r>
        <w:rPr>
          <w:rFonts w:eastAsia="仿宋_GB2312"/>
          <w:color w:val="1A1A1A" w:themeColor="background1" w:themeShade="1A"/>
          <w:sz w:val="32"/>
          <w:szCs w:val="32"/>
        </w:rPr>
        <w:t>和O</w:t>
      </w:r>
      <w:r>
        <w:rPr>
          <w:rFonts w:eastAsia="仿宋_GB2312"/>
          <w:color w:val="1A1A1A" w:themeColor="background1" w:themeShade="1A"/>
          <w:sz w:val="32"/>
          <w:szCs w:val="32"/>
          <w:vertAlign w:val="subscript"/>
        </w:rPr>
        <w:t>3</w:t>
      </w:r>
      <w:r>
        <w:rPr>
          <w:rFonts w:eastAsia="仿宋_GB2312"/>
          <w:color w:val="1A1A1A" w:themeColor="background1" w:themeShade="1A"/>
          <w:sz w:val="32"/>
          <w:szCs w:val="32"/>
        </w:rPr>
        <w:t>污染特征，加强重点时段、重点领域、重点行业治理，强化分区分时分类差异化精细化协同管控。制定O</w:t>
      </w:r>
      <w:r>
        <w:rPr>
          <w:rFonts w:eastAsia="仿宋_GB2312"/>
          <w:color w:val="1A1A1A" w:themeColor="background1" w:themeShade="1A"/>
          <w:sz w:val="32"/>
          <w:szCs w:val="32"/>
          <w:vertAlign w:val="subscript"/>
        </w:rPr>
        <w:t>3</w:t>
      </w:r>
      <w:r>
        <w:rPr>
          <w:rFonts w:eastAsia="仿宋_GB2312"/>
          <w:color w:val="1A1A1A" w:themeColor="background1" w:themeShade="1A"/>
          <w:sz w:val="32"/>
          <w:szCs w:val="32"/>
        </w:rPr>
        <w:t>协同控制政策，全面排查工业源、农业源、生活源涉</w:t>
      </w:r>
      <w:r>
        <w:rPr>
          <w:rFonts w:hint="eastAsia" w:eastAsia="仿宋_GB2312"/>
          <w:color w:val="1A1A1A" w:themeColor="background1" w:themeShade="1A"/>
          <w:sz w:val="32"/>
          <w:szCs w:val="32"/>
        </w:rPr>
        <w:t>VOCs</w:t>
      </w:r>
      <w:r>
        <w:rPr>
          <w:rFonts w:eastAsia="仿宋_GB2312"/>
          <w:color w:val="1A1A1A" w:themeColor="background1" w:themeShade="1A"/>
          <w:sz w:val="32"/>
          <w:szCs w:val="32"/>
        </w:rPr>
        <w:t>产排现状，编制涉</w:t>
      </w:r>
      <w:r>
        <w:rPr>
          <w:rFonts w:hint="eastAsia" w:eastAsia="仿宋_GB2312"/>
          <w:color w:val="1A1A1A" w:themeColor="background1" w:themeShade="1A"/>
          <w:sz w:val="32"/>
          <w:szCs w:val="32"/>
        </w:rPr>
        <w:t>VOCs</w:t>
      </w:r>
      <w:r>
        <w:rPr>
          <w:rFonts w:eastAsia="仿宋_GB2312"/>
          <w:color w:val="1A1A1A" w:themeColor="background1" w:themeShade="1A"/>
          <w:sz w:val="32"/>
          <w:szCs w:val="32"/>
        </w:rPr>
        <w:t>排放源清单。在夏季以石化、化工、工业涂装、包装印刷等行业为主，加强氮氧化物、甲苯、二甲苯等PM</w:t>
      </w:r>
      <w:r>
        <w:rPr>
          <w:rFonts w:eastAsia="仿宋_GB2312"/>
          <w:color w:val="1A1A1A" w:themeColor="background1" w:themeShade="1A"/>
          <w:sz w:val="32"/>
          <w:szCs w:val="32"/>
          <w:vertAlign w:val="subscript"/>
        </w:rPr>
        <w:t>2.5</w:t>
      </w:r>
      <w:r>
        <w:rPr>
          <w:rFonts w:eastAsia="仿宋_GB2312"/>
          <w:color w:val="1A1A1A" w:themeColor="background1" w:themeShade="1A"/>
          <w:sz w:val="32"/>
          <w:szCs w:val="32"/>
        </w:rPr>
        <w:t>和O</w:t>
      </w:r>
      <w:r>
        <w:rPr>
          <w:rFonts w:eastAsia="仿宋_GB2312"/>
          <w:color w:val="1A1A1A" w:themeColor="background1" w:themeShade="1A"/>
          <w:sz w:val="32"/>
          <w:szCs w:val="32"/>
          <w:vertAlign w:val="subscript"/>
        </w:rPr>
        <w:t>3</w:t>
      </w:r>
      <w:r>
        <w:rPr>
          <w:rFonts w:eastAsia="仿宋_GB2312"/>
          <w:color w:val="1A1A1A" w:themeColor="background1" w:themeShade="1A"/>
          <w:sz w:val="32"/>
          <w:szCs w:val="32"/>
        </w:rPr>
        <w:t>前体物排放监管；在秋冬季以移动源、燃煤源污染管控为主，强化不利扩散条件下颗粒物、氮氧化物、二氧化硫、氨排放监管。</w:t>
      </w:r>
      <w:r>
        <w:rPr>
          <w:rFonts w:hint="eastAsia" w:eastAsia="楷体_GB2312"/>
          <w:color w:val="1A1A1A" w:themeColor="background1" w:themeShade="1A"/>
          <w:sz w:val="32"/>
          <w:szCs w:val="32"/>
        </w:rPr>
        <w:t>（生态环境分局、区商务局、区交通运输局、区发展改革局、区工业和信息化局、区住房城乡建设局、区综合行政执法局等按职责分工负责）</w:t>
      </w:r>
    </w:p>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优化重污染天气应对体系</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持续完善环境空气质量预测预报能力建设，进一步提升准确率。完善PM</w:t>
      </w:r>
      <w:r>
        <w:rPr>
          <w:rFonts w:hint="eastAsia" w:eastAsia="仿宋_GB2312"/>
          <w:color w:val="1A1A1A" w:themeColor="background1" w:themeShade="1A"/>
          <w:sz w:val="32"/>
          <w:szCs w:val="32"/>
          <w:vertAlign w:val="subscript"/>
        </w:rPr>
        <w:t>2.5</w:t>
      </w:r>
      <w:r>
        <w:rPr>
          <w:rFonts w:hint="eastAsia" w:eastAsia="仿宋_GB2312"/>
          <w:color w:val="1A1A1A" w:themeColor="background1" w:themeShade="1A"/>
          <w:sz w:val="32"/>
          <w:szCs w:val="32"/>
        </w:rPr>
        <w:t>重污染天气预警应急的启动、响应、解除机制。探索轻、中度污染天气应对机制，完善O</w:t>
      </w:r>
      <w:r>
        <w:rPr>
          <w:rFonts w:hint="eastAsia" w:eastAsia="仿宋_GB2312"/>
          <w:color w:val="1A1A1A" w:themeColor="background1" w:themeShade="1A"/>
          <w:sz w:val="32"/>
          <w:szCs w:val="32"/>
          <w:vertAlign w:val="subscript"/>
        </w:rPr>
        <w:t>3</w:t>
      </w:r>
      <w:r>
        <w:rPr>
          <w:rFonts w:hint="eastAsia" w:eastAsia="仿宋_GB2312"/>
          <w:color w:val="1A1A1A" w:themeColor="background1" w:themeShade="1A"/>
          <w:sz w:val="32"/>
          <w:szCs w:val="32"/>
        </w:rPr>
        <w:t>重污染天气应对机制，落实国家重污染天气重点行业绩效分级和应急减排的实施范围。推进重污染绩效分级管理规范化、标准化，完善差异化管控机制，引导帮扶企业提高绩效等级。研究实施分行业、分区域的差别化错峰减排，降低区域和时间上的污染峰值。完善应急减排信息公开和公众监督渠道。到2025年，基本消除重污染天气。</w:t>
      </w:r>
      <w:r>
        <w:rPr>
          <w:rFonts w:hint="eastAsia" w:eastAsia="楷体_GB2312"/>
          <w:color w:val="1A1A1A" w:themeColor="background1" w:themeShade="1A"/>
          <w:sz w:val="32"/>
          <w:szCs w:val="32"/>
        </w:rPr>
        <w:t>（牵头单位：生态环境分局；配合单位：区工业和信息化局、区交通运输局）</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41" w:name="_Toc116030717"/>
      <w:bookmarkStart w:id="42" w:name="_Toc65060411"/>
      <w:r>
        <w:rPr>
          <w:rFonts w:eastAsia="楷体_GB2312"/>
          <w:b/>
          <w:color w:val="1A1A1A" w:themeColor="background1" w:themeShade="1A"/>
          <w:sz w:val="32"/>
          <w:szCs w:val="32"/>
        </w:rPr>
        <w:t>第</w:t>
      </w:r>
      <w:r>
        <w:rPr>
          <w:rFonts w:hint="eastAsia" w:eastAsia="楷体_GB2312"/>
          <w:b/>
          <w:color w:val="1A1A1A" w:themeColor="background1" w:themeShade="1A"/>
          <w:sz w:val="32"/>
          <w:szCs w:val="32"/>
        </w:rPr>
        <w:t>二</w:t>
      </w:r>
      <w:r>
        <w:rPr>
          <w:rFonts w:eastAsia="楷体_GB2312"/>
          <w:b/>
          <w:color w:val="1A1A1A" w:themeColor="background1" w:themeShade="1A"/>
          <w:sz w:val="32"/>
          <w:szCs w:val="32"/>
        </w:rPr>
        <w:t>节  深化工业污染源治理</w:t>
      </w:r>
      <w:bookmarkEnd w:id="41"/>
      <w:bookmarkEnd w:id="42"/>
    </w:p>
    <w:p>
      <w:pPr>
        <w:spacing w:line="590" w:lineRule="exact"/>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强化企业烟尘治理。</w:t>
      </w:r>
      <w:r>
        <w:rPr>
          <w:rFonts w:hint="eastAsia" w:eastAsia="仿宋_GB2312" w:cs="仿宋_GB2312"/>
          <w:color w:val="1A1A1A" w:themeColor="background1" w:themeShade="1A"/>
          <w:sz w:val="32"/>
          <w:szCs w:val="32"/>
        </w:rPr>
        <w:t>强化企业无组织排放粉尘管理，物料须密封或封闭储存，针对块状、粒状物料须配合抑尘网妥善储存；进出厂车辆应及时清洗轮胎，实现封闭运输；及时升级、更换料仓，贮场内配置雾炮机等抑尘设备，并稳定投入使用；强化企业边界的网格化监管，杜绝偷排直排现象。</w:t>
      </w:r>
      <w:r>
        <w:rPr>
          <w:rFonts w:hint="eastAsia" w:eastAsia="楷体_GB2312"/>
          <w:color w:val="1A1A1A" w:themeColor="background1" w:themeShade="1A"/>
          <w:sz w:val="32"/>
          <w:szCs w:val="32"/>
        </w:rPr>
        <w:t>（责任单位：生态环境分局）</w:t>
      </w:r>
    </w:p>
    <w:p>
      <w:pPr>
        <w:spacing w:line="360" w:lineRule="auto"/>
        <w:ind w:firstLine="645"/>
        <w:rPr>
          <w:rFonts w:eastAsia="楷体_GB2312"/>
          <w:color w:val="1A1A1A" w:themeColor="background1" w:themeShade="1A"/>
          <w:sz w:val="32"/>
          <w:szCs w:val="32"/>
        </w:rPr>
      </w:pPr>
      <w:r>
        <w:rPr>
          <w:rFonts w:hint="eastAsia" w:eastAsia="楷体_GB2312"/>
          <w:b/>
          <w:bCs/>
          <w:color w:val="1A1A1A" w:themeColor="background1" w:themeShade="1A"/>
          <w:sz w:val="32"/>
          <w:szCs w:val="32"/>
        </w:rPr>
        <w:t>推进实施工业企业超低排放改造。</w:t>
      </w:r>
      <w:r>
        <w:rPr>
          <w:rFonts w:hint="eastAsia" w:eastAsia="仿宋_GB2312" w:cs="仿宋_GB2312"/>
          <w:color w:val="1A1A1A" w:themeColor="background1" w:themeShade="1A"/>
          <w:sz w:val="32"/>
          <w:szCs w:val="32"/>
        </w:rPr>
        <w:t>加强燃煤机组、锅炉超低排放运行管控，按照水泥、焦化行业超低排放改造实施方案，推进济宁市兖州区嵫山水泥厂、山东兖矿国际焦化有限公司超低排放改造。强化国际焦化治理提升，鼓励将储煤方式由贮煤场堆放改为筒仓储存；汽车出厂时实行轮胎清洗管理，避免携带至厂区外形成粉尘无组织排放；配备清洁车定时清洁路面，完善路面清扫制度，对重点区域进行粉尘监控；对储罐添加氮封系统，减少呼吸损失；定期开展</w:t>
      </w:r>
      <w:r>
        <w:rPr>
          <w:rFonts w:eastAsia="仿宋_GB2312"/>
          <w:color w:val="1A1A1A" w:themeColor="background1" w:themeShade="1A"/>
          <w:sz w:val="32"/>
          <w:szCs w:val="32"/>
        </w:rPr>
        <w:t>LDAR</w:t>
      </w:r>
      <w:r>
        <w:rPr>
          <w:rFonts w:hint="eastAsia" w:eastAsia="仿宋_GB2312" w:cs="仿宋_GB2312"/>
          <w:color w:val="1A1A1A" w:themeColor="background1" w:themeShade="1A"/>
          <w:sz w:val="32"/>
          <w:szCs w:val="32"/>
        </w:rPr>
        <w:t>检测与修复；鼓励在化产区周边设置</w:t>
      </w:r>
      <w:r>
        <w:rPr>
          <w:rFonts w:eastAsia="仿宋_GB2312"/>
          <w:color w:val="1A1A1A" w:themeColor="background1" w:themeShade="1A"/>
          <w:sz w:val="32"/>
          <w:szCs w:val="32"/>
        </w:rPr>
        <w:t>PAMS</w:t>
      </w:r>
      <w:r>
        <w:rPr>
          <w:rFonts w:hint="eastAsia" w:eastAsia="仿宋_GB2312" w:cs="仿宋_GB2312"/>
          <w:color w:val="1A1A1A" w:themeColor="background1" w:themeShade="1A"/>
          <w:sz w:val="32"/>
          <w:szCs w:val="32"/>
        </w:rPr>
        <w:t>系统，监测臭氧前驱体无组织排放情况；对污水处理过程废气部分未加盖的缺氧池、曝气池等实施加盖；污水处理废气收集后连接至焦炉、锅炉等燃烧系统进行燃烧处理。</w:t>
      </w:r>
      <w:r>
        <w:rPr>
          <w:rFonts w:hint="eastAsia" w:eastAsia="楷体_GB2312"/>
          <w:color w:val="1A1A1A" w:themeColor="background1" w:themeShade="1A"/>
          <w:sz w:val="32"/>
          <w:szCs w:val="32"/>
        </w:rPr>
        <w:t>（责任单位：生态环境分局）</w:t>
      </w:r>
    </w:p>
    <w:p>
      <w:pPr>
        <w:spacing w:line="590" w:lineRule="exact"/>
        <w:ind w:firstLine="642" w:firstLineChars="200"/>
        <w:rPr>
          <w:rFonts w:eastAsia="楷体_GB2312"/>
          <w:color w:val="1A1A1A" w:themeColor="background1" w:themeShade="1A"/>
          <w:sz w:val="32"/>
          <w:szCs w:val="32"/>
        </w:rPr>
      </w:pPr>
      <w:r>
        <w:rPr>
          <w:rFonts w:eastAsia="楷体_GB2312"/>
          <w:b/>
          <w:bCs/>
          <w:color w:val="1A1A1A" w:themeColor="background1" w:themeShade="1A"/>
          <w:sz w:val="32"/>
          <w:szCs w:val="32"/>
        </w:rPr>
        <w:t>实施VOCs全过程污染防治。</w:t>
      </w:r>
      <w:r>
        <w:rPr>
          <w:rFonts w:eastAsia="仿宋_GB2312"/>
          <w:color w:val="1A1A1A" w:themeColor="background1" w:themeShade="1A"/>
          <w:sz w:val="32"/>
          <w:szCs w:val="32"/>
        </w:rPr>
        <w:t>实施低VOCs含量工业涂料、油墨、胶粘剂、清洗剂等原辅料使用替代，新、改、扩建工业涂装、包装印刷等含VOCs原辅材料使用项目，原则上使用低（无）VOCs含量产品。</w:t>
      </w:r>
      <w:r>
        <w:rPr>
          <w:rFonts w:hint="eastAsia" w:eastAsia="仿宋_GB2312" w:cs="仿宋_GB2312"/>
          <w:color w:val="1A1A1A" w:themeColor="background1" w:themeShade="1A"/>
          <w:sz w:val="32"/>
          <w:szCs w:val="32"/>
        </w:rPr>
        <w:t>到</w:t>
      </w:r>
      <w:r>
        <w:rPr>
          <w:rFonts w:eastAsia="仿宋_GB2312"/>
          <w:color w:val="1A1A1A" w:themeColor="background1" w:themeShade="1A"/>
          <w:sz w:val="32"/>
          <w:szCs w:val="32"/>
        </w:rPr>
        <w:t>2025</w:t>
      </w:r>
      <w:r>
        <w:rPr>
          <w:rFonts w:hint="eastAsia" w:eastAsia="仿宋_GB2312" w:cs="仿宋_GB2312"/>
          <w:color w:val="1A1A1A" w:themeColor="background1" w:themeShade="1A"/>
          <w:sz w:val="32"/>
          <w:szCs w:val="32"/>
        </w:rPr>
        <w:t>年，全区至少建立</w:t>
      </w:r>
      <w:r>
        <w:rPr>
          <w:rFonts w:eastAsia="仿宋_GB2312"/>
          <w:color w:val="1A1A1A" w:themeColor="background1" w:themeShade="1A"/>
          <w:sz w:val="32"/>
          <w:szCs w:val="32"/>
        </w:rPr>
        <w:t>3</w:t>
      </w:r>
      <w:r>
        <w:rPr>
          <w:rFonts w:hint="eastAsia" w:eastAsia="仿宋_GB2312" w:cs="仿宋_GB2312"/>
          <w:color w:val="1A1A1A" w:themeColor="background1" w:themeShade="1A"/>
          <w:sz w:val="32"/>
          <w:szCs w:val="32"/>
        </w:rPr>
        <w:t>个低</w:t>
      </w:r>
      <w:r>
        <w:rPr>
          <w:rFonts w:eastAsia="仿宋_GB2312"/>
          <w:color w:val="1A1A1A" w:themeColor="background1" w:themeShade="1A"/>
          <w:sz w:val="32"/>
          <w:szCs w:val="32"/>
        </w:rPr>
        <w:t>VOCs</w:t>
      </w:r>
      <w:r>
        <w:rPr>
          <w:rFonts w:hint="eastAsia" w:eastAsia="仿宋_GB2312" w:cs="仿宋_GB2312"/>
          <w:color w:val="1A1A1A" w:themeColor="background1" w:themeShade="1A"/>
          <w:sz w:val="32"/>
          <w:szCs w:val="32"/>
        </w:rPr>
        <w:t>含量原辅料使用替代试点项目；全区溶剂型工业涂料、溶剂型油墨使用比例分别降低</w:t>
      </w:r>
      <w:r>
        <w:rPr>
          <w:rFonts w:eastAsia="仿宋_GB2312"/>
          <w:color w:val="1A1A1A" w:themeColor="background1" w:themeShade="1A"/>
          <w:sz w:val="32"/>
          <w:szCs w:val="32"/>
        </w:rPr>
        <w:t>20%</w:t>
      </w:r>
      <w:r>
        <w:rPr>
          <w:rFonts w:hint="eastAsia" w:eastAsia="仿宋_GB2312" w:cs="仿宋_GB2312"/>
          <w:color w:val="1A1A1A" w:themeColor="background1" w:themeShade="1A"/>
          <w:sz w:val="32"/>
          <w:szCs w:val="32"/>
        </w:rPr>
        <w:t>和</w:t>
      </w:r>
      <w:r>
        <w:rPr>
          <w:rFonts w:eastAsia="仿宋_GB2312"/>
          <w:color w:val="1A1A1A" w:themeColor="background1" w:themeShade="1A"/>
          <w:sz w:val="32"/>
          <w:szCs w:val="32"/>
        </w:rPr>
        <w:t>15%</w:t>
      </w:r>
      <w:r>
        <w:rPr>
          <w:rFonts w:hint="eastAsia" w:eastAsia="仿宋_GB2312" w:cs="仿宋_GB2312"/>
          <w:color w:val="1A1A1A" w:themeColor="background1" w:themeShade="1A"/>
          <w:sz w:val="32"/>
          <w:szCs w:val="32"/>
        </w:rPr>
        <w:t>，溶剂型胶粘剂使用量下降</w:t>
      </w:r>
      <w:r>
        <w:rPr>
          <w:rFonts w:eastAsia="仿宋_GB2312"/>
          <w:color w:val="1A1A1A" w:themeColor="background1" w:themeShade="1A"/>
          <w:sz w:val="32"/>
          <w:szCs w:val="32"/>
        </w:rPr>
        <w:t>20%</w:t>
      </w:r>
      <w:r>
        <w:rPr>
          <w:rFonts w:hint="eastAsia" w:eastAsia="仿宋_GB2312" w:cs="仿宋_GB2312"/>
          <w:color w:val="1A1A1A" w:themeColor="background1" w:themeShade="1A"/>
          <w:sz w:val="32"/>
          <w:szCs w:val="32"/>
        </w:rPr>
        <w:t>。到</w:t>
      </w:r>
      <w:r>
        <w:rPr>
          <w:rFonts w:eastAsia="仿宋_GB2312"/>
          <w:color w:val="1A1A1A" w:themeColor="background1" w:themeShade="1A"/>
          <w:sz w:val="32"/>
          <w:szCs w:val="32"/>
        </w:rPr>
        <w:t>2025</w:t>
      </w:r>
      <w:r>
        <w:rPr>
          <w:rFonts w:hint="eastAsia" w:eastAsia="仿宋_GB2312" w:cs="仿宋_GB2312"/>
          <w:color w:val="1A1A1A" w:themeColor="background1" w:themeShade="1A"/>
          <w:sz w:val="32"/>
          <w:szCs w:val="32"/>
        </w:rPr>
        <w:t>年，</w:t>
      </w:r>
      <w:r>
        <w:rPr>
          <w:rFonts w:eastAsia="仿宋_GB2312"/>
          <w:color w:val="1A1A1A" w:themeColor="background1" w:themeShade="1A"/>
          <w:sz w:val="32"/>
          <w:szCs w:val="32"/>
        </w:rPr>
        <w:t>VOCs</w:t>
      </w:r>
      <w:r>
        <w:rPr>
          <w:rFonts w:hint="eastAsia" w:eastAsia="仿宋_GB2312" w:cs="仿宋_GB2312"/>
          <w:color w:val="1A1A1A" w:themeColor="background1" w:themeShade="1A"/>
          <w:sz w:val="32"/>
          <w:szCs w:val="32"/>
        </w:rPr>
        <w:t>、</w:t>
      </w:r>
      <w:r>
        <w:rPr>
          <w:rFonts w:eastAsia="仿宋_GB2312"/>
          <w:color w:val="1A1A1A" w:themeColor="background1" w:themeShade="1A"/>
          <w:sz w:val="32"/>
          <w:szCs w:val="32"/>
        </w:rPr>
        <w:t>NOx</w:t>
      </w:r>
      <w:r>
        <w:rPr>
          <w:rFonts w:hint="eastAsia" w:eastAsia="仿宋_GB2312" w:cs="仿宋_GB2312"/>
          <w:color w:val="1A1A1A" w:themeColor="background1" w:themeShade="1A"/>
          <w:sz w:val="32"/>
          <w:szCs w:val="32"/>
        </w:rPr>
        <w:t>排放总量比</w:t>
      </w:r>
      <w:r>
        <w:rPr>
          <w:rFonts w:eastAsia="仿宋_GB2312"/>
          <w:color w:val="1A1A1A" w:themeColor="background1" w:themeShade="1A"/>
          <w:sz w:val="32"/>
          <w:szCs w:val="32"/>
        </w:rPr>
        <w:t>2020</w:t>
      </w:r>
      <w:r>
        <w:rPr>
          <w:rFonts w:hint="eastAsia" w:eastAsia="仿宋_GB2312" w:cs="仿宋_GB2312"/>
          <w:color w:val="1A1A1A" w:themeColor="background1" w:themeShade="1A"/>
          <w:sz w:val="32"/>
          <w:szCs w:val="32"/>
        </w:rPr>
        <w:t>年分别下降</w:t>
      </w:r>
      <w:r>
        <w:rPr>
          <w:rFonts w:eastAsia="仿宋_GB2312"/>
          <w:color w:val="1A1A1A" w:themeColor="background1" w:themeShade="1A"/>
          <w:sz w:val="32"/>
          <w:szCs w:val="32"/>
        </w:rPr>
        <w:t>10%</w:t>
      </w:r>
      <w:r>
        <w:rPr>
          <w:rFonts w:hint="eastAsia" w:eastAsia="仿宋_GB2312" w:cs="仿宋_GB2312"/>
          <w:color w:val="1A1A1A" w:themeColor="background1" w:themeShade="1A"/>
          <w:sz w:val="32"/>
          <w:szCs w:val="32"/>
        </w:rPr>
        <w:t>以上，臭氧浓度增长趋势得到有效遏制，实现细颗粒物和臭氧协同控制。</w:t>
      </w:r>
      <w:r>
        <w:rPr>
          <w:rFonts w:hint="eastAsia" w:eastAsia="仿宋_GB2312"/>
          <w:color w:val="1A1A1A" w:themeColor="background1" w:themeShade="1A"/>
          <w:sz w:val="32"/>
          <w:szCs w:val="32"/>
        </w:rPr>
        <w:t>组织开展有机废气排放系统旁路摸底排查，取消非必要的旁路，确因安全生产等原因无法取消的，安装有效监控装置纳入监管。</w:t>
      </w:r>
      <w:r>
        <w:rPr>
          <w:rFonts w:hint="eastAsia" w:eastAsia="仿宋_GB2312" w:cs="仿宋_GB2312"/>
          <w:color w:val="1A1A1A" w:themeColor="background1" w:themeShade="1A"/>
          <w:sz w:val="32"/>
          <w:szCs w:val="32"/>
        </w:rPr>
        <w:t>动态更新</w:t>
      </w:r>
      <w:r>
        <w:rPr>
          <w:rFonts w:eastAsia="仿宋_GB2312"/>
          <w:color w:val="1A1A1A" w:themeColor="background1" w:themeShade="1A"/>
          <w:sz w:val="32"/>
          <w:szCs w:val="32"/>
        </w:rPr>
        <w:t>VOCs</w:t>
      </w:r>
      <w:r>
        <w:rPr>
          <w:rFonts w:hint="eastAsia" w:eastAsia="仿宋_GB2312" w:cs="仿宋_GB2312"/>
          <w:color w:val="1A1A1A" w:themeColor="background1" w:themeShade="1A"/>
          <w:sz w:val="32"/>
          <w:szCs w:val="32"/>
        </w:rPr>
        <w:t>排放清单，分析对</w:t>
      </w:r>
      <w:r>
        <w:rPr>
          <w:rFonts w:eastAsia="仿宋_GB2312"/>
          <w:color w:val="1A1A1A" w:themeColor="background1" w:themeShade="1A"/>
          <w:sz w:val="32"/>
          <w:szCs w:val="32"/>
        </w:rPr>
        <w:t>O</w:t>
      </w:r>
      <w:r>
        <w:rPr>
          <w:rFonts w:eastAsia="仿宋_GB2312"/>
          <w:color w:val="1A1A1A" w:themeColor="background1" w:themeShade="1A"/>
          <w:sz w:val="32"/>
          <w:szCs w:val="32"/>
          <w:vertAlign w:val="subscript"/>
        </w:rPr>
        <w:t>3</w:t>
      </w:r>
      <w:r>
        <w:rPr>
          <w:rFonts w:hint="eastAsia" w:eastAsia="仿宋_GB2312" w:cs="仿宋_GB2312"/>
          <w:color w:val="1A1A1A" w:themeColor="background1" w:themeShade="1A"/>
          <w:sz w:val="32"/>
          <w:szCs w:val="32"/>
        </w:rPr>
        <w:t>生成有重要贡献的涉</w:t>
      </w:r>
      <w:r>
        <w:rPr>
          <w:rFonts w:eastAsia="仿宋_GB2312"/>
          <w:color w:val="1A1A1A" w:themeColor="background1" w:themeShade="1A"/>
          <w:sz w:val="32"/>
          <w:szCs w:val="32"/>
        </w:rPr>
        <w:t>VOCs</w:t>
      </w:r>
      <w:r>
        <w:rPr>
          <w:rFonts w:hint="eastAsia" w:eastAsia="仿宋_GB2312" w:cs="仿宋_GB2312"/>
          <w:color w:val="1A1A1A" w:themeColor="background1" w:themeShade="1A"/>
          <w:sz w:val="32"/>
          <w:szCs w:val="32"/>
        </w:rPr>
        <w:t>行业，制定强化管控措施，扩大在线监测设备覆盖范围，并引入绩效分级管理机制。</w:t>
      </w:r>
      <w:r>
        <w:rPr>
          <w:rFonts w:hint="eastAsia" w:eastAsia="仿宋_GB2312"/>
          <w:color w:val="1A1A1A" w:themeColor="background1" w:themeShade="1A"/>
          <w:sz w:val="32"/>
          <w:szCs w:val="32"/>
        </w:rPr>
        <w:t>开展成品油、有机化学品等涉VOCs物质储罐排查。2025年年底前，储油库和年销售汽油量大于3000吨的加油站安装油气回收自动监控设备并与生态环境部门联网。</w:t>
      </w:r>
      <w:r>
        <w:rPr>
          <w:rFonts w:hint="eastAsia" w:eastAsia="仿宋_GB2312" w:cs="仿宋_GB2312"/>
          <w:color w:val="1A1A1A" w:themeColor="background1" w:themeShade="1A"/>
          <w:sz w:val="32"/>
          <w:szCs w:val="32"/>
        </w:rPr>
        <w:t>完成全区在营加油站监督检查全覆盖。重点检查汽油年销量小于</w:t>
      </w:r>
      <w:r>
        <w:rPr>
          <w:rFonts w:eastAsia="仿宋_GB2312"/>
          <w:color w:val="1A1A1A" w:themeColor="background1" w:themeShade="1A"/>
          <w:sz w:val="32"/>
          <w:szCs w:val="32"/>
        </w:rPr>
        <w:t>3000</w:t>
      </w:r>
      <w:r>
        <w:rPr>
          <w:rFonts w:hint="eastAsia" w:eastAsia="仿宋_GB2312" w:cs="仿宋_GB2312"/>
          <w:color w:val="1A1A1A" w:themeColor="background1" w:themeShade="1A"/>
          <w:sz w:val="32"/>
          <w:szCs w:val="32"/>
        </w:rPr>
        <w:t>吨的加油站，对于气液比不合格等问题，建立问题台账，依法依规处理。</w:t>
      </w:r>
      <w:r>
        <w:rPr>
          <w:rFonts w:hint="eastAsia" w:eastAsia="仿宋_GB2312"/>
          <w:color w:val="1A1A1A" w:themeColor="background1" w:themeShade="1A"/>
          <w:sz w:val="32"/>
          <w:szCs w:val="32"/>
        </w:rPr>
        <w:t>因地制宜推进工业园区、企业集群VOCs“绿岛”项目，统筹规划、分类建设集中涂装中心、活性炭集中处理中心、溶剂回收中心。</w:t>
      </w:r>
      <w:r>
        <w:rPr>
          <w:rFonts w:hint="eastAsia" w:eastAsia="仿宋_GB2312" w:cs="仿宋_GB2312"/>
          <w:color w:val="1A1A1A" w:themeColor="background1" w:themeShade="1A"/>
          <w:sz w:val="32"/>
          <w:szCs w:val="32"/>
        </w:rPr>
        <w:t>推动企业持续、规范开展泄漏检测与修复（</w:t>
      </w:r>
      <w:r>
        <w:rPr>
          <w:rFonts w:eastAsia="仿宋_GB2312"/>
          <w:color w:val="1A1A1A" w:themeColor="background1" w:themeShade="1A"/>
          <w:sz w:val="32"/>
          <w:szCs w:val="32"/>
        </w:rPr>
        <w:t>LDAR</w:t>
      </w:r>
      <w:r>
        <w:rPr>
          <w:rFonts w:hint="eastAsia" w:eastAsia="仿宋_GB2312" w:cs="仿宋_GB2312"/>
          <w:color w:val="1A1A1A" w:themeColor="background1" w:themeShade="1A"/>
          <w:sz w:val="32"/>
          <w:szCs w:val="32"/>
        </w:rPr>
        <w:t>），收集全部吹风气、弛放气，做到废气</w:t>
      </w:r>
      <w:r>
        <w:rPr>
          <w:rFonts w:hint="eastAsia" w:ascii="仿宋_GB2312" w:eastAsia="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应收尽收</w:t>
      </w:r>
      <w:r>
        <w:rPr>
          <w:rFonts w:hint="eastAsia" w:ascii="仿宋_GB2312" w:eastAsia="仿宋_GB2312"/>
          <w:color w:val="1A1A1A" w:themeColor="background1" w:themeShade="1A"/>
          <w:sz w:val="32"/>
          <w:szCs w:val="32"/>
        </w:rPr>
        <w:t>”</w:t>
      </w:r>
      <w:r>
        <w:rPr>
          <w:rFonts w:hint="eastAsia" w:eastAsia="仿宋_GB2312" w:cs="仿宋_GB2312"/>
          <w:color w:val="1A1A1A" w:themeColor="background1" w:themeShade="1A"/>
          <w:sz w:val="32"/>
          <w:szCs w:val="32"/>
        </w:rPr>
        <w:t>；加强挥发性有机原料及辅料密封管理；化工园区安装</w:t>
      </w:r>
      <w:r>
        <w:rPr>
          <w:rFonts w:eastAsia="仿宋_GB2312"/>
          <w:color w:val="1A1A1A" w:themeColor="background1" w:themeShade="1A"/>
          <w:sz w:val="32"/>
          <w:szCs w:val="32"/>
        </w:rPr>
        <w:t>PAMS</w:t>
      </w:r>
      <w:r>
        <w:rPr>
          <w:rFonts w:hint="eastAsia" w:eastAsia="仿宋_GB2312" w:cs="仿宋_GB2312"/>
          <w:color w:val="1A1A1A" w:themeColor="background1" w:themeShade="1A"/>
          <w:sz w:val="32"/>
          <w:szCs w:val="32"/>
        </w:rPr>
        <w:t>系统，实时掌握企业</w:t>
      </w:r>
      <w:r>
        <w:rPr>
          <w:rFonts w:eastAsia="仿宋_GB2312"/>
          <w:color w:val="1A1A1A" w:themeColor="background1" w:themeShade="1A"/>
          <w:sz w:val="32"/>
          <w:szCs w:val="32"/>
        </w:rPr>
        <w:t>VOCs</w:t>
      </w:r>
      <w:r>
        <w:rPr>
          <w:rFonts w:hint="eastAsia" w:eastAsia="仿宋_GB2312" w:cs="仿宋_GB2312"/>
          <w:color w:val="1A1A1A" w:themeColor="background1" w:themeShade="1A"/>
          <w:sz w:val="32"/>
          <w:szCs w:val="32"/>
        </w:rPr>
        <w:t>排污状况。</w:t>
      </w:r>
      <w:r>
        <w:rPr>
          <w:rFonts w:hint="eastAsia" w:eastAsia="仿宋_GB2312"/>
          <w:color w:val="1A1A1A" w:themeColor="background1" w:themeShade="1A"/>
          <w:sz w:val="32"/>
          <w:szCs w:val="32"/>
        </w:rPr>
        <w:t>加强监督检查，每年臭氧污染高发季前，对LDAR开展情况进行抽测和检查。利用专家、执法、监测力量帮扶企业，发现并解决VOCs治理中存在的问题，提高企业治理水平。通过走航监测、人工执法监测、智能在线监测等手段，精准发现无组织排放等涉VOCs问题，切实保证减排效果。</w:t>
      </w:r>
      <w:r>
        <w:rPr>
          <w:rFonts w:hint="eastAsia" w:eastAsia="楷体_GB2312"/>
          <w:color w:val="1A1A1A" w:themeColor="background1" w:themeShade="1A"/>
          <w:sz w:val="32"/>
          <w:szCs w:val="32"/>
        </w:rPr>
        <w:t>（生态环境分局、区发展改革局、区工业和信息化局、</w:t>
      </w:r>
      <w:r>
        <w:rPr>
          <w:rFonts w:hint="eastAsia" w:ascii="楷体_GB2312" w:eastAsia="楷体_GB2312" w:cs="楷体_GB2312"/>
          <w:color w:val="1A1A1A" w:themeColor="background1" w:themeShade="1A"/>
          <w:sz w:val="32"/>
          <w:szCs w:val="32"/>
        </w:rPr>
        <w:t>区市场监管局、</w:t>
      </w:r>
      <w:r>
        <w:rPr>
          <w:rFonts w:hint="eastAsia" w:eastAsia="楷体_GB2312"/>
          <w:color w:val="1A1A1A" w:themeColor="background1" w:themeShade="1A"/>
          <w:sz w:val="32"/>
          <w:szCs w:val="32"/>
        </w:rPr>
        <w:t>区商务局等按职责分工负责）</w:t>
      </w:r>
    </w:p>
    <w:p>
      <w:pPr>
        <w:spacing w:line="590" w:lineRule="exact"/>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强化科技支撑。</w:t>
      </w:r>
      <w:r>
        <w:rPr>
          <w:rFonts w:hint="eastAsia" w:eastAsia="仿宋_GB2312" w:cs="仿宋_GB2312"/>
          <w:color w:val="1A1A1A" w:themeColor="background1" w:themeShade="1A"/>
          <w:sz w:val="32"/>
          <w:szCs w:val="32"/>
        </w:rPr>
        <w:t>运用气溶胶激光雷达、机动车黑烟抓拍系统、红外热感应成像仪、</w:t>
      </w:r>
      <w:r>
        <w:rPr>
          <w:rFonts w:eastAsia="仿宋_GB2312"/>
          <w:color w:val="1A1A1A" w:themeColor="background1" w:themeShade="1A"/>
          <w:sz w:val="32"/>
          <w:szCs w:val="32"/>
        </w:rPr>
        <w:t>VOCs</w:t>
      </w:r>
      <w:r>
        <w:rPr>
          <w:rFonts w:hint="eastAsia" w:eastAsia="仿宋_GB2312" w:cs="仿宋_GB2312"/>
          <w:color w:val="1A1A1A" w:themeColor="background1" w:themeShade="1A"/>
          <w:sz w:val="32"/>
          <w:szCs w:val="32"/>
        </w:rPr>
        <w:t>走航车、六参数微型站、便携式监测仪器，加强</w:t>
      </w:r>
      <w:r>
        <w:rPr>
          <w:rFonts w:eastAsia="仿宋_GB2312"/>
          <w:color w:val="1A1A1A" w:themeColor="background1" w:themeShade="1A"/>
          <w:sz w:val="32"/>
          <w:szCs w:val="32"/>
        </w:rPr>
        <w:t>VOCs</w:t>
      </w:r>
      <w:r>
        <w:rPr>
          <w:rFonts w:hint="eastAsia" w:eastAsia="仿宋_GB2312" w:cs="仿宋_GB2312"/>
          <w:color w:val="1A1A1A" w:themeColor="background1" w:themeShade="1A"/>
          <w:sz w:val="32"/>
          <w:szCs w:val="32"/>
        </w:rPr>
        <w:t>等污染物无组织排放监控。配合市生态环境局，在化工园区安装</w:t>
      </w:r>
      <w:r>
        <w:rPr>
          <w:rFonts w:eastAsia="仿宋_GB2312"/>
          <w:color w:val="1A1A1A" w:themeColor="background1" w:themeShade="1A"/>
          <w:sz w:val="32"/>
          <w:szCs w:val="32"/>
        </w:rPr>
        <w:t>VOCs</w:t>
      </w:r>
      <w:r>
        <w:rPr>
          <w:rFonts w:hint="eastAsia" w:eastAsia="仿宋_GB2312" w:cs="仿宋_GB2312"/>
          <w:color w:val="1A1A1A" w:themeColor="background1" w:themeShade="1A"/>
          <w:sz w:val="32"/>
          <w:szCs w:val="32"/>
        </w:rPr>
        <w:t>在线监测</w:t>
      </w:r>
      <w:r>
        <w:rPr>
          <w:rFonts w:eastAsia="仿宋_GB2312"/>
          <w:color w:val="1A1A1A" w:themeColor="background1" w:themeShade="1A"/>
          <w:sz w:val="32"/>
          <w:szCs w:val="32"/>
        </w:rPr>
        <w:t>PAMS</w:t>
      </w:r>
      <w:r>
        <w:rPr>
          <w:rFonts w:hint="eastAsia" w:eastAsia="仿宋_GB2312" w:cs="仿宋_GB2312"/>
          <w:color w:val="1A1A1A" w:themeColor="background1" w:themeShade="1A"/>
          <w:sz w:val="32"/>
          <w:szCs w:val="32"/>
        </w:rPr>
        <w:t>系统，实现</w:t>
      </w:r>
      <w:r>
        <w:rPr>
          <w:rFonts w:eastAsia="仿宋_GB2312"/>
          <w:color w:val="1A1A1A" w:themeColor="background1" w:themeShade="1A"/>
          <w:sz w:val="32"/>
          <w:szCs w:val="32"/>
        </w:rPr>
        <w:t>VOCs</w:t>
      </w:r>
      <w:r>
        <w:rPr>
          <w:rFonts w:hint="eastAsia" w:eastAsia="仿宋_GB2312" w:cs="仿宋_GB2312"/>
          <w:color w:val="1A1A1A" w:themeColor="background1" w:themeShade="1A"/>
          <w:sz w:val="32"/>
          <w:szCs w:val="32"/>
        </w:rPr>
        <w:t>排放实时监测。鼓励在重点企业厂界四角布设六参数和</w:t>
      </w:r>
      <w:r>
        <w:rPr>
          <w:rFonts w:eastAsia="仿宋_GB2312"/>
          <w:color w:val="1A1A1A" w:themeColor="background1" w:themeShade="1A"/>
          <w:sz w:val="32"/>
          <w:szCs w:val="32"/>
        </w:rPr>
        <w:t>VOCs</w:t>
      </w:r>
      <w:r>
        <w:rPr>
          <w:rFonts w:hint="eastAsia" w:eastAsia="仿宋_GB2312" w:cs="仿宋_GB2312"/>
          <w:color w:val="1A1A1A" w:themeColor="background1" w:themeShade="1A"/>
          <w:sz w:val="32"/>
          <w:szCs w:val="32"/>
        </w:rPr>
        <w:t>在线监测设备，鼓励规模以上工业企业安装微型站，防止偷排直排。</w:t>
      </w:r>
      <w:r>
        <w:rPr>
          <w:rFonts w:hint="eastAsia" w:eastAsia="楷体_GB2312"/>
          <w:color w:val="1A1A1A" w:themeColor="background1" w:themeShade="1A"/>
          <w:sz w:val="32"/>
          <w:szCs w:val="32"/>
        </w:rPr>
        <w:t>（责任单位：生态环境分局）</w:t>
      </w:r>
    </w:p>
    <w:p>
      <w:pPr>
        <w:spacing w:line="590" w:lineRule="exact"/>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加强线上线下联动执法。</w:t>
      </w:r>
      <w:r>
        <w:rPr>
          <w:rFonts w:hint="eastAsia" w:eastAsia="仿宋_GB2312" w:cs="仿宋_GB2312"/>
          <w:color w:val="1A1A1A" w:themeColor="background1" w:themeShade="1A"/>
          <w:spacing w:val="-6"/>
          <w:sz w:val="32"/>
          <w:szCs w:val="32"/>
        </w:rPr>
        <w:t>持续开展打击环境违法犯罪和重点排污单位自动监测数据弄虚作假违法犯罪专项行动。加强生态环境领域行政执法与刑事司法衔接，完善信息共享、案情通报、案件移送、联合督办等工作机制。开展</w:t>
      </w:r>
      <w:r>
        <w:rPr>
          <w:rFonts w:eastAsia="仿宋_GB2312"/>
          <w:color w:val="1A1A1A" w:themeColor="background1" w:themeShade="1A"/>
          <w:spacing w:val="-6"/>
          <w:sz w:val="32"/>
          <w:szCs w:val="32"/>
        </w:rPr>
        <w:t>“</w:t>
      </w:r>
      <w:r>
        <w:rPr>
          <w:rFonts w:hint="eastAsia" w:eastAsia="仿宋_GB2312" w:cs="仿宋_GB2312"/>
          <w:color w:val="1A1A1A" w:themeColor="background1" w:themeShade="1A"/>
          <w:spacing w:val="-6"/>
          <w:sz w:val="32"/>
          <w:szCs w:val="32"/>
        </w:rPr>
        <w:t>自动监测和电量监管全程监控</w:t>
      </w:r>
      <w:r>
        <w:rPr>
          <w:rFonts w:eastAsia="仿宋_GB2312"/>
          <w:color w:val="1A1A1A" w:themeColor="background1" w:themeShade="1A"/>
          <w:spacing w:val="-6"/>
          <w:sz w:val="32"/>
          <w:szCs w:val="32"/>
        </w:rPr>
        <w:t>+</w:t>
      </w:r>
      <w:r>
        <w:rPr>
          <w:rFonts w:hint="eastAsia" w:eastAsia="仿宋_GB2312" w:cs="仿宋_GB2312"/>
          <w:color w:val="1A1A1A" w:themeColor="background1" w:themeShade="1A"/>
          <w:spacing w:val="-6"/>
          <w:sz w:val="32"/>
          <w:szCs w:val="32"/>
        </w:rPr>
        <w:t>问题线上整改审核</w:t>
      </w:r>
      <w:r>
        <w:rPr>
          <w:rFonts w:eastAsia="仿宋_GB2312"/>
          <w:color w:val="1A1A1A" w:themeColor="background1" w:themeShade="1A"/>
          <w:spacing w:val="-6"/>
          <w:sz w:val="32"/>
          <w:szCs w:val="32"/>
        </w:rPr>
        <w:t>”</w:t>
      </w:r>
      <w:r>
        <w:rPr>
          <w:rFonts w:hint="eastAsia" w:eastAsia="仿宋_GB2312" w:cs="仿宋_GB2312"/>
          <w:color w:val="1A1A1A" w:themeColor="background1" w:themeShade="1A"/>
          <w:spacing w:val="-6"/>
          <w:sz w:val="32"/>
          <w:szCs w:val="32"/>
        </w:rPr>
        <w:t>全闭环非现场执法检查。依托企业环境信用评价实施差异化执法，完成正面清单动态调整</w:t>
      </w:r>
      <w:r>
        <w:rPr>
          <w:rFonts w:hint="eastAsia" w:eastAsia="仿宋_GB2312" w:cs="仿宋_GB2312"/>
          <w:color w:val="1A1A1A" w:themeColor="background1" w:themeShade="1A"/>
          <w:sz w:val="32"/>
          <w:szCs w:val="32"/>
        </w:rPr>
        <w:t>。</w:t>
      </w:r>
      <w:r>
        <w:rPr>
          <w:rFonts w:hint="eastAsia" w:eastAsia="楷体_GB2312"/>
          <w:color w:val="1A1A1A" w:themeColor="background1" w:themeShade="1A"/>
          <w:sz w:val="32"/>
          <w:szCs w:val="32"/>
        </w:rPr>
        <w:t>（生态环境分局、公安分局按职责分工负责）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43" w:name="_Toc116030718"/>
      <w:r>
        <w:rPr>
          <w:rFonts w:eastAsia="楷体_GB2312"/>
          <w:b/>
          <w:color w:val="1A1A1A" w:themeColor="background1" w:themeShade="1A"/>
          <w:sz w:val="32"/>
          <w:szCs w:val="32"/>
        </w:rPr>
        <w:t>第三节  强化车油路联合防控</w:t>
      </w:r>
      <w:bookmarkEnd w:id="43"/>
    </w:p>
    <w:p>
      <w:pPr>
        <w:spacing w:line="360" w:lineRule="auto"/>
        <w:ind w:firstLine="645"/>
        <w:rPr>
          <w:rFonts w:eastAsia="楷体_GB2312"/>
          <w:color w:val="1A1A1A" w:themeColor="background1" w:themeShade="1A"/>
          <w:sz w:val="32"/>
          <w:szCs w:val="32"/>
        </w:rPr>
      </w:pPr>
      <w:r>
        <w:rPr>
          <w:rFonts w:eastAsia="楷体_GB2312"/>
          <w:b/>
          <w:bCs/>
          <w:color w:val="1A1A1A" w:themeColor="background1" w:themeShade="1A"/>
          <w:sz w:val="32"/>
          <w:szCs w:val="32"/>
        </w:rPr>
        <w:t>加强机动车全流程污染管控。</w:t>
      </w:r>
      <w:r>
        <w:rPr>
          <w:rFonts w:hint="eastAsia" w:eastAsia="仿宋_GB2312"/>
          <w:color w:val="1A1A1A" w:themeColor="background1" w:themeShade="1A"/>
          <w:sz w:val="32"/>
          <w:szCs w:val="32"/>
        </w:rPr>
        <w:t>加强新车源头管控，严格执行国家新生产机动车排放标准，加大机动车、发动机新生产、销售及注册登记环节监督检查力度，主要车（机）型系族年度抽检率达到80%以上。实施柴油货车排放常态化执法检查，在主要物流通道、集中停放地、物流园区、入兖主要通道等区域开展尾气排放日常执法检查，定期开展专项行动，依法查处尾气超标排放、治理设施不正常运行、OBD数据造假等违法行为；对货车尿素加装使用情况开展路检路查。加大对渣土车、混凝土车、无牌车辆闯禁区、抛撒滴漏、不按许可路线、时间通行等重点交通违法行为的查纠力度。针对冒黑烟三轮车等运输工具，进一步加大执法检查和处罚力度。逐步扩大车辆高排放控制区范围，将城市规划区和工业集中区划定为高排放车辆禁行区。</w:t>
      </w:r>
      <w:r>
        <w:rPr>
          <w:rFonts w:hint="eastAsia" w:eastAsia="楷体_GB2312"/>
          <w:color w:val="1A1A1A" w:themeColor="background1" w:themeShade="1A"/>
          <w:sz w:val="32"/>
          <w:szCs w:val="32"/>
        </w:rPr>
        <w:t>（区交警大队、区交通运输局、生态环境分局等按职责分工负责）</w:t>
      </w:r>
      <w:r>
        <w:rPr>
          <w:rFonts w:hint="eastAsia" w:eastAsia="仿宋_GB2312"/>
          <w:color w:val="1A1A1A" w:themeColor="background1" w:themeShade="1A"/>
          <w:sz w:val="32"/>
          <w:szCs w:val="32"/>
        </w:rPr>
        <w:t>加强道路交通管控工作。早晚高峰期加大交通疏导力度，减少车辆怠速行驶，降低氮氧化物排放；优化全区交通信号灯，设置左转借道、进出城上下班高峰路段潮汐道路，提高畅达率；疏导重点路段柴油车拥堵，及时化解柴油车怠速污染。</w:t>
      </w:r>
      <w:r>
        <w:rPr>
          <w:rFonts w:hint="eastAsia" w:eastAsia="楷体_GB2312"/>
          <w:color w:val="1A1A1A" w:themeColor="background1" w:themeShade="1A"/>
          <w:sz w:val="32"/>
          <w:szCs w:val="32"/>
        </w:rPr>
        <w:t>（责任单位：区交警大队）</w:t>
      </w:r>
    </w:p>
    <w:p>
      <w:pPr>
        <w:spacing w:line="360" w:lineRule="auto"/>
        <w:ind w:firstLine="645"/>
        <w:rPr>
          <w:rFonts w:eastAsia="楷体_GB2312"/>
          <w:color w:val="1A1A1A" w:themeColor="background1" w:themeShade="1A"/>
          <w:sz w:val="32"/>
          <w:szCs w:val="32"/>
        </w:rPr>
      </w:pPr>
      <w:r>
        <w:rPr>
          <w:rFonts w:eastAsia="楷体_GB2312"/>
          <w:b/>
          <w:bCs/>
          <w:color w:val="1A1A1A" w:themeColor="background1" w:themeShade="1A"/>
          <w:sz w:val="32"/>
          <w:szCs w:val="32"/>
        </w:rPr>
        <w:t>推进非道路移动机械监管治理。</w:t>
      </w:r>
      <w:r>
        <w:rPr>
          <w:rFonts w:hint="eastAsia" w:eastAsia="仿宋_GB2312"/>
          <w:color w:val="1A1A1A" w:themeColor="background1" w:themeShade="1A"/>
          <w:sz w:val="32"/>
          <w:szCs w:val="32"/>
        </w:rPr>
        <w:t>开展非道路移动机械编码登记、定位管理，基本消除未登记、未监管现象。开展销售端前置编码登记工作，实现源头监管。到2022年，将禁止使用高排放非道路移动机械的区域扩大至镇（街道）政府（办事处）驻地，在用机械以及新增国三机械全部安装实时定位监控装置并与生态环境部门联网。持续开展非道路移动机械污染排放执法检查和排放抽测工作，推动国一及以下</w:t>
      </w:r>
      <w:r>
        <w:rPr>
          <w:rFonts w:hint="eastAsia" w:ascii="仿宋_GB2312" w:eastAsia="仿宋_GB2312"/>
          <w:color w:val="1A1A1A" w:themeColor="background1" w:themeShade="1A"/>
          <w:sz w:val="32"/>
          <w:szCs w:val="32"/>
        </w:rPr>
        <w:t>非道路移动机械淘汰更新，统筹推进“油品、机械、场地”系</w:t>
      </w:r>
      <w:r>
        <w:rPr>
          <w:rFonts w:hint="eastAsia" w:eastAsia="仿宋_GB2312"/>
          <w:color w:val="1A1A1A" w:themeColor="background1" w:themeShade="1A"/>
          <w:sz w:val="32"/>
          <w:szCs w:val="32"/>
        </w:rPr>
        <w:t>统治理。2</w:t>
      </w:r>
      <w:r>
        <w:rPr>
          <w:rFonts w:eastAsia="仿宋_GB2312"/>
          <w:color w:val="1A1A1A" w:themeColor="background1" w:themeShade="1A"/>
          <w:sz w:val="32"/>
          <w:szCs w:val="32"/>
        </w:rPr>
        <w:t>022</w:t>
      </w:r>
      <w:r>
        <w:rPr>
          <w:rFonts w:hint="eastAsia" w:eastAsia="仿宋_GB2312"/>
          <w:color w:val="1A1A1A" w:themeColor="background1" w:themeShade="1A"/>
          <w:sz w:val="32"/>
          <w:szCs w:val="32"/>
        </w:rPr>
        <w:t>年</w:t>
      </w:r>
      <w:r>
        <w:rPr>
          <w:rFonts w:hint="eastAsia" w:eastAsia="仿宋_GB2312" w:cs="仿宋_GB2312"/>
          <w:color w:val="1A1A1A" w:themeColor="background1" w:themeShade="1A"/>
          <w:sz w:val="32"/>
          <w:szCs w:val="32"/>
        </w:rPr>
        <w:t>年底前，城区及镇（街道）政府（办事处）驻地依法划定并公布禁止使用高排放非道路移动机械的区域。</w:t>
      </w:r>
      <w:r>
        <w:rPr>
          <w:rFonts w:eastAsia="仿宋_GB2312"/>
          <w:color w:val="1A1A1A" w:themeColor="background1" w:themeShade="1A"/>
          <w:sz w:val="32"/>
          <w:szCs w:val="32"/>
        </w:rPr>
        <w:t>2022</w:t>
      </w:r>
      <w:r>
        <w:rPr>
          <w:rFonts w:hint="eastAsia" w:eastAsia="仿宋_GB2312" w:cs="仿宋_GB2312"/>
          <w:color w:val="1A1A1A" w:themeColor="background1" w:themeShade="1A"/>
          <w:sz w:val="32"/>
          <w:szCs w:val="32"/>
        </w:rPr>
        <w:t>年年底前，城区范围内施工工程所需渣土车力争实现</w:t>
      </w:r>
      <w:r>
        <w:rPr>
          <w:rFonts w:eastAsia="仿宋_GB2312"/>
          <w:color w:val="1A1A1A" w:themeColor="background1" w:themeShade="1A"/>
          <w:sz w:val="32"/>
          <w:szCs w:val="32"/>
        </w:rPr>
        <w:t>50%</w:t>
      </w:r>
      <w:r>
        <w:rPr>
          <w:rFonts w:hint="eastAsia" w:eastAsia="仿宋_GB2312" w:cs="仿宋_GB2312"/>
          <w:color w:val="1A1A1A" w:themeColor="background1" w:themeShade="1A"/>
          <w:sz w:val="32"/>
          <w:szCs w:val="32"/>
        </w:rPr>
        <w:t>替换国六或新能源车辆。</w:t>
      </w:r>
      <w:r>
        <w:rPr>
          <w:rFonts w:hint="eastAsia" w:eastAsia="仿宋_GB2312"/>
          <w:color w:val="1A1A1A" w:themeColor="background1" w:themeShade="1A"/>
          <w:sz w:val="32"/>
          <w:szCs w:val="32"/>
        </w:rPr>
        <w:t>2025年年底前，基本淘汰国一及以下排放标准或使用15年以上的非道路移动机械，具备条件的允许更换国三及以上排放标准的发动机。加大联合监督和执法检查力度，建立多部门常态化联合监督检查机制。将在用非道路移动机械执法检查纳入年度执法计划，重点开展高排放非道路移动机械监督抽测，每年随机抽取部分非道路移动机械进行排气检测，超标排放的不得使用，并依法处罚。各有关部门要配备尾气检测设备，现场进行初检，对监测超标车辆推送至生态环境部门进行处罚。</w:t>
      </w:r>
      <w:r>
        <w:rPr>
          <w:rFonts w:hint="eastAsia" w:eastAsia="楷体_GB2312"/>
          <w:color w:val="1A1A1A" w:themeColor="background1" w:themeShade="1A"/>
          <w:sz w:val="32"/>
          <w:szCs w:val="32"/>
        </w:rPr>
        <w:t>（生态环境分局、区住房城乡建设局、公安分局、区交通运输局、区综合行政执法局、区商务局、区国资运营服务中心、区市场监管局、区水务局等按职责分工负责）</w:t>
      </w:r>
    </w:p>
    <w:p>
      <w:pPr>
        <w:spacing w:line="360" w:lineRule="auto"/>
        <w:ind w:firstLine="645"/>
        <w:rPr>
          <w:rFonts w:ascii="仿宋_GB2312" w:eastAsia="仿宋_GB2312" w:cs="仿宋_GB2312"/>
          <w:color w:val="1A1A1A" w:themeColor="background1" w:themeShade="1A"/>
          <w:sz w:val="32"/>
          <w:szCs w:val="32"/>
        </w:rPr>
      </w:pPr>
      <w:r>
        <w:rPr>
          <w:rFonts w:hint="eastAsia" w:eastAsia="楷体_GB2312"/>
          <w:b/>
          <w:bCs/>
          <w:color w:val="1A1A1A" w:themeColor="background1" w:themeShade="1A"/>
          <w:sz w:val="32"/>
          <w:szCs w:val="32"/>
        </w:rPr>
        <w:t>加强油品管控工作。</w:t>
      </w:r>
      <w:r>
        <w:rPr>
          <w:rFonts w:ascii="仿宋_GB2312" w:eastAsia="仿宋_GB2312" w:cs="仿宋_GB2312"/>
          <w:color w:val="1A1A1A" w:themeColor="background1" w:themeShade="1A"/>
          <w:sz w:val="32"/>
          <w:szCs w:val="32"/>
        </w:rPr>
        <w:t>建立常态化油品监督检查机制。</w:t>
      </w:r>
      <w:r>
        <w:rPr>
          <w:rFonts w:hint="eastAsia" w:ascii="仿宋_GB2312" w:eastAsia="仿宋_GB2312" w:cs="仿宋_GB2312"/>
          <w:color w:val="1A1A1A" w:themeColor="background1" w:themeShade="1A"/>
          <w:sz w:val="32"/>
          <w:szCs w:val="32"/>
        </w:rPr>
        <w:t>开展生产、销售、使用环节车用油品质量日常监督抽查抽测，集中打击劣质油品存储销售集散地和生产加工企业，清理取缔黑加油站点、流动加油车，切实保障车用油品质量。加快推进全区所有加油站三级油气回收整改进度，禁止挂枪加油，提倡持枪加油。</w:t>
      </w:r>
      <w:r>
        <w:rPr>
          <w:rFonts w:eastAsia="仿宋_GB2312"/>
          <w:color w:val="1A1A1A" w:themeColor="background1" w:themeShade="1A"/>
          <w:sz w:val="32"/>
          <w:szCs w:val="32"/>
        </w:rPr>
        <w:t>5</w:t>
      </w:r>
      <w:r>
        <w:rPr>
          <w:rFonts w:hint="eastAsia" w:ascii="仿宋_GB2312" w:eastAsia="仿宋_GB2312" w:cs="仿宋_GB2312"/>
          <w:color w:val="1A1A1A" w:themeColor="background1" w:themeShade="1A"/>
          <w:sz w:val="32"/>
          <w:szCs w:val="32"/>
        </w:rPr>
        <w:t>至</w:t>
      </w:r>
      <w:r>
        <w:rPr>
          <w:rFonts w:eastAsia="仿宋_GB2312"/>
          <w:color w:val="1A1A1A" w:themeColor="background1" w:themeShade="1A"/>
          <w:sz w:val="32"/>
          <w:szCs w:val="32"/>
        </w:rPr>
        <w:t>9</w:t>
      </w:r>
      <w:r>
        <w:rPr>
          <w:rFonts w:hint="eastAsia" w:ascii="仿宋_GB2312" w:eastAsia="仿宋_GB2312" w:cs="仿宋_GB2312"/>
          <w:color w:val="1A1A1A" w:themeColor="background1" w:themeShade="1A"/>
          <w:sz w:val="32"/>
          <w:szCs w:val="32"/>
        </w:rPr>
        <w:t>月</w:t>
      </w:r>
      <w:r>
        <w:rPr>
          <w:rFonts w:eastAsia="仿宋_GB2312"/>
          <w:color w:val="1A1A1A" w:themeColor="background1" w:themeShade="1A"/>
          <w:sz w:val="32"/>
          <w:szCs w:val="32"/>
        </w:rPr>
        <w:t>10:00-18:00</w:t>
      </w:r>
      <w:r>
        <w:rPr>
          <w:rFonts w:hint="eastAsia" w:ascii="仿宋_GB2312" w:eastAsia="仿宋_GB2312" w:cs="仿宋_GB2312"/>
          <w:color w:val="1A1A1A" w:themeColor="background1" w:themeShade="1A"/>
          <w:sz w:val="32"/>
          <w:szCs w:val="32"/>
        </w:rPr>
        <w:t>高温时段，所有加油站停止卸油作业，引导加油站降价促销活动调至</w:t>
      </w:r>
      <w:r>
        <w:rPr>
          <w:rFonts w:eastAsia="仿宋_GB2312"/>
          <w:color w:val="1A1A1A" w:themeColor="background1" w:themeShade="1A"/>
          <w:sz w:val="32"/>
          <w:szCs w:val="32"/>
        </w:rPr>
        <w:t>17</w:t>
      </w:r>
      <w:r>
        <w:rPr>
          <w:rFonts w:hint="eastAsia" w:ascii="仿宋_GB2312" w:eastAsia="仿宋_GB2312" w:cs="仿宋_GB2312"/>
          <w:color w:val="1A1A1A" w:themeColor="background1" w:themeShade="1A"/>
          <w:sz w:val="32"/>
          <w:szCs w:val="32"/>
        </w:rPr>
        <w:t>时至次日</w:t>
      </w:r>
      <w:r>
        <w:rPr>
          <w:rFonts w:eastAsia="仿宋_GB2312"/>
          <w:color w:val="1A1A1A" w:themeColor="background1" w:themeShade="1A"/>
          <w:sz w:val="32"/>
          <w:szCs w:val="32"/>
        </w:rPr>
        <w:t>8</w:t>
      </w:r>
      <w:r>
        <w:rPr>
          <w:rFonts w:hint="eastAsia" w:ascii="仿宋_GB2312" w:eastAsia="仿宋_GB2312" w:cs="仿宋_GB2312"/>
          <w:color w:val="1A1A1A" w:themeColor="background1" w:themeShade="1A"/>
          <w:sz w:val="32"/>
          <w:szCs w:val="32"/>
        </w:rPr>
        <w:t>时，减少油气挥发。</w:t>
      </w:r>
      <w:r>
        <w:rPr>
          <w:rFonts w:hint="eastAsia" w:eastAsia="仿宋_GB2312"/>
          <w:color w:val="1A1A1A" w:themeColor="background1" w:themeShade="1A"/>
          <w:sz w:val="32"/>
          <w:szCs w:val="32"/>
        </w:rPr>
        <w:t>落实在用汽油、柴油等油品的溯源机制，不断完善在用油品溯源程序。</w:t>
      </w:r>
      <w:r>
        <w:rPr>
          <w:rFonts w:hint="eastAsia" w:ascii="仿宋_GB2312" w:eastAsia="仿宋_GB2312" w:cs="仿宋_GB2312"/>
          <w:color w:val="1A1A1A" w:themeColor="background1" w:themeShade="1A"/>
          <w:sz w:val="32"/>
          <w:szCs w:val="32"/>
        </w:rPr>
        <w:t>严查全区加油站油品质量，确保使用国</w:t>
      </w:r>
      <w:r>
        <w:rPr>
          <w:rFonts w:eastAsia="仿宋_GB2312"/>
          <w:color w:val="1A1A1A" w:themeColor="background1" w:themeShade="1A"/>
          <w:sz w:val="32"/>
          <w:szCs w:val="32"/>
        </w:rPr>
        <w:t>Ⅵ</w:t>
      </w:r>
      <w:r>
        <w:rPr>
          <w:rFonts w:hint="eastAsia" w:ascii="仿宋_GB2312" w:eastAsia="仿宋_GB2312" w:cs="仿宋_GB2312"/>
          <w:color w:val="1A1A1A" w:themeColor="background1" w:themeShade="1A"/>
          <w:sz w:val="32"/>
          <w:szCs w:val="32"/>
        </w:rPr>
        <w:t>柴油、汽油；严查工地非道路移动机械加油台账，确保使用国</w:t>
      </w:r>
      <w:r>
        <w:rPr>
          <w:rFonts w:eastAsia="仿宋_GB2312"/>
          <w:color w:val="1A1A1A" w:themeColor="background1" w:themeShade="1A"/>
          <w:sz w:val="32"/>
          <w:szCs w:val="32"/>
        </w:rPr>
        <w:t>Ⅵ</w:t>
      </w:r>
      <w:r>
        <w:rPr>
          <w:rFonts w:hint="eastAsia" w:ascii="仿宋_GB2312" w:eastAsia="仿宋_GB2312" w:cs="仿宋_GB2312"/>
          <w:color w:val="1A1A1A" w:themeColor="background1" w:themeShade="1A"/>
          <w:sz w:val="32"/>
          <w:szCs w:val="32"/>
        </w:rPr>
        <w:t>柴油；利用红外热感应成像仪巡检加油站，严查跑冒滴漏。</w:t>
      </w:r>
      <w:r>
        <w:rPr>
          <w:rFonts w:hint="eastAsia" w:eastAsia="楷体_GB2312"/>
          <w:color w:val="1A1A1A" w:themeColor="background1" w:themeShade="1A"/>
          <w:sz w:val="32"/>
          <w:szCs w:val="32"/>
        </w:rPr>
        <w:t>（区市场监管局、区商务局、区公安分局、生态环境分局、区应急管理局等按职责分工负责）</w:t>
      </w:r>
      <w:r>
        <w:rPr>
          <w:rFonts w:hint="eastAsia" w:ascii="仿宋_GB2312" w:eastAsia="仿宋_GB2312" w:cs="仿宋_GB2312"/>
          <w:color w:val="1A1A1A" w:themeColor="background1" w:themeShade="1A"/>
          <w:sz w:val="32"/>
          <w:szCs w:val="32"/>
        </w:rPr>
        <w:t>探索建立非道路移动机械流动供油机制。允许使用流动供油方式，由加油站向区域内施工工地、物流园区、重点使用机械企业的非道路移动机械销售车用柴油，破解“最后一公里”加油难问题。销售、使用的车用柴油质量要符合现行油品质量标准要求。用油单位必须与加油站签订采购合同，并取得采购发票，方可采用流动供油方式。加油站要符合《山东省成品油零售经营资格管理暂行规定》</w:t>
      </w:r>
      <w:r>
        <w:rPr>
          <w:rFonts w:ascii="仿宋_GB2312" w:eastAsia="仿宋_GB2312" w:cs="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鲁商字〔</w:t>
      </w:r>
      <w:r>
        <w:rPr>
          <w:rFonts w:ascii="仿宋_GB2312" w:eastAsia="仿宋_GB2312" w:cs="仿宋_GB2312"/>
          <w:color w:val="1A1A1A" w:themeColor="background1" w:themeShade="1A"/>
          <w:sz w:val="32"/>
          <w:szCs w:val="32"/>
        </w:rPr>
        <w:t>2021</w:t>
      </w:r>
      <w:r>
        <w:rPr>
          <w:rFonts w:hint="eastAsia" w:ascii="仿宋_GB2312" w:eastAsia="仿宋_GB2312" w:cs="仿宋_GB2312"/>
          <w:color w:val="1A1A1A" w:themeColor="background1" w:themeShade="1A"/>
          <w:sz w:val="32"/>
          <w:szCs w:val="32"/>
        </w:rPr>
        <w:t>〕</w:t>
      </w:r>
      <w:r>
        <w:rPr>
          <w:rFonts w:ascii="仿宋_GB2312" w:eastAsia="仿宋_GB2312" w:cs="仿宋_GB2312"/>
          <w:color w:val="1A1A1A" w:themeColor="background1" w:themeShade="1A"/>
          <w:sz w:val="32"/>
          <w:szCs w:val="32"/>
        </w:rPr>
        <w:t>81</w:t>
      </w:r>
      <w:r>
        <w:rPr>
          <w:rFonts w:hint="eastAsia" w:ascii="仿宋_GB2312" w:eastAsia="仿宋_GB2312" w:cs="仿宋_GB2312"/>
          <w:color w:val="1A1A1A" w:themeColor="background1" w:themeShade="1A"/>
          <w:sz w:val="32"/>
          <w:szCs w:val="32"/>
        </w:rPr>
        <w:t>号</w:t>
      </w:r>
      <w:r>
        <w:rPr>
          <w:rFonts w:ascii="仿宋_GB2312" w:eastAsia="仿宋_GB2312" w:cs="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等要求。加油站、用油单位必须使用取得危险货物运输经营许可的运输车辆配送或自提，并随车携带采购合同、采购发票原件或复印件。运输过程中要严格执行《危险货物道路运输安全管理办法》（交通运输部令</w:t>
      </w:r>
      <w:r>
        <w:rPr>
          <w:rFonts w:ascii="仿宋_GB2312" w:eastAsia="仿宋_GB2312" w:cs="仿宋_GB2312"/>
          <w:color w:val="1A1A1A" w:themeColor="background1" w:themeShade="1A"/>
          <w:sz w:val="32"/>
          <w:szCs w:val="32"/>
        </w:rPr>
        <w:t>2019</w:t>
      </w:r>
      <w:r>
        <w:rPr>
          <w:rFonts w:hint="eastAsia" w:ascii="仿宋_GB2312" w:eastAsia="仿宋_GB2312" w:cs="仿宋_GB2312"/>
          <w:color w:val="1A1A1A" w:themeColor="background1" w:themeShade="1A"/>
          <w:sz w:val="32"/>
          <w:szCs w:val="32"/>
        </w:rPr>
        <w:t>年第</w:t>
      </w:r>
      <w:r>
        <w:rPr>
          <w:rFonts w:ascii="仿宋_GB2312" w:eastAsia="仿宋_GB2312" w:cs="仿宋_GB2312"/>
          <w:color w:val="1A1A1A" w:themeColor="background1" w:themeShade="1A"/>
          <w:sz w:val="32"/>
          <w:szCs w:val="32"/>
        </w:rPr>
        <w:t>29</w:t>
      </w:r>
      <w:r>
        <w:rPr>
          <w:rFonts w:hint="eastAsia" w:ascii="仿宋_GB2312" w:eastAsia="仿宋_GB2312" w:cs="仿宋_GB2312"/>
          <w:color w:val="1A1A1A" w:themeColor="background1" w:themeShade="1A"/>
          <w:sz w:val="32"/>
          <w:szCs w:val="32"/>
        </w:rPr>
        <w:t>号</w:t>
      </w:r>
      <w:r>
        <w:rPr>
          <w:rFonts w:ascii="仿宋_GB2312" w:eastAsia="仿宋_GB2312" w:cs="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等相关规定。</w:t>
      </w:r>
      <w:r>
        <w:rPr>
          <w:rFonts w:hint="eastAsia" w:eastAsia="楷体_GB2312"/>
          <w:color w:val="1A1A1A" w:themeColor="background1" w:themeShade="1A"/>
          <w:sz w:val="32"/>
          <w:szCs w:val="32"/>
        </w:rPr>
        <w:t>（区市场监管局、区交通运输局、区水务局、区商务局、生态环境分局等按职责分工负责）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44" w:name="_Toc116030719"/>
      <w:r>
        <w:rPr>
          <w:rFonts w:eastAsia="楷体_GB2312"/>
          <w:b/>
          <w:color w:val="1A1A1A" w:themeColor="background1" w:themeShade="1A"/>
          <w:sz w:val="32"/>
          <w:szCs w:val="32"/>
        </w:rPr>
        <w:t>第四节  严格扬尘源污染治理</w:t>
      </w:r>
      <w:bookmarkEnd w:id="44"/>
    </w:p>
    <w:p>
      <w:pPr>
        <w:spacing w:line="590" w:lineRule="exact"/>
        <w:ind w:firstLine="642" w:firstLineChars="200"/>
        <w:rPr>
          <w:rFonts w:eastAsia="楷体_GB2312"/>
          <w:color w:val="1A1A1A" w:themeColor="background1" w:themeShade="1A"/>
          <w:sz w:val="32"/>
          <w:szCs w:val="32"/>
        </w:rPr>
      </w:pPr>
      <w:r>
        <w:rPr>
          <w:rFonts w:eastAsia="楷体_GB2312"/>
          <w:b/>
          <w:bCs/>
          <w:color w:val="1A1A1A" w:themeColor="background1" w:themeShade="1A"/>
          <w:sz w:val="32"/>
          <w:szCs w:val="32"/>
        </w:rPr>
        <w:t>严格降尘监测考核。</w:t>
      </w:r>
      <w:r>
        <w:rPr>
          <w:rFonts w:eastAsia="仿宋_GB2312"/>
          <w:color w:val="1A1A1A" w:themeColor="background1" w:themeShade="1A"/>
          <w:sz w:val="32"/>
          <w:szCs w:val="32"/>
        </w:rPr>
        <w:t>平均降尘量不得高于7.5吨/月·平方公里。</w:t>
      </w:r>
      <w:r>
        <w:rPr>
          <w:rFonts w:hint="eastAsia" w:eastAsia="仿宋_GB2312"/>
          <w:color w:val="1A1A1A" w:themeColor="background1" w:themeShade="1A"/>
          <w:sz w:val="32"/>
          <w:szCs w:val="32"/>
        </w:rPr>
        <w:t>实施降尘量考核奖惩，压实各镇街、各部门扬尘污染防治责任，建立扬尘污染防治长效机制。</w:t>
      </w:r>
      <w:r>
        <w:rPr>
          <w:rFonts w:hint="eastAsia" w:eastAsia="楷体_GB2312"/>
          <w:color w:val="1A1A1A" w:themeColor="background1" w:themeShade="1A"/>
          <w:sz w:val="32"/>
          <w:szCs w:val="32"/>
        </w:rPr>
        <w:t>（责任单位：区生态环境保护委员会办公室）</w:t>
      </w:r>
    </w:p>
    <w:p>
      <w:pPr>
        <w:spacing w:line="590" w:lineRule="exact"/>
        <w:ind w:firstLine="642" w:firstLineChars="200"/>
        <w:rPr>
          <w:rFonts w:eastAsia="仿宋_GB2312"/>
          <w:color w:val="1A1A1A" w:themeColor="background1" w:themeShade="1A"/>
          <w:sz w:val="32"/>
          <w:szCs w:val="32"/>
        </w:rPr>
      </w:pPr>
      <w:r>
        <w:rPr>
          <w:rFonts w:eastAsia="楷体_GB2312"/>
          <w:b/>
          <w:bCs/>
          <w:color w:val="1A1A1A" w:themeColor="background1" w:themeShade="1A"/>
          <w:sz w:val="32"/>
          <w:szCs w:val="32"/>
        </w:rPr>
        <w:t>加强施工扬尘精细化管控。</w:t>
      </w:r>
      <w:r>
        <w:rPr>
          <w:rFonts w:eastAsia="仿宋_GB2312"/>
          <w:color w:val="1A1A1A" w:themeColor="background1" w:themeShade="1A"/>
          <w:sz w:val="32"/>
          <w:szCs w:val="32"/>
        </w:rPr>
        <w:t>建立并动态更新施工工地清单。全面推行绿色施工，将扬尘污染防治费用纳入工程造价，各类施工工地严格落实扬尘污染防治措施</w:t>
      </w:r>
      <w:r>
        <w:rPr>
          <w:rFonts w:hint="eastAsia" w:eastAsia="仿宋_GB2312"/>
          <w:color w:val="1A1A1A" w:themeColor="background1" w:themeShade="1A"/>
          <w:sz w:val="32"/>
          <w:szCs w:val="32"/>
        </w:rPr>
        <w:t>，建筑、拆迁、道路、水利等施工工地严格落实扬尘污染防治“8个100%”等导则要求，杜绝建筑工地扬尘管理粗放现象。</w:t>
      </w:r>
      <w:r>
        <w:rPr>
          <w:rFonts w:eastAsia="仿宋_GB2312"/>
          <w:color w:val="1A1A1A" w:themeColor="background1" w:themeShade="1A"/>
          <w:sz w:val="32"/>
          <w:szCs w:val="32"/>
        </w:rPr>
        <w:t>规模以上工地安装在线监测和视频监控设施，并接入当地监管平台。</w:t>
      </w:r>
      <w:r>
        <w:rPr>
          <w:rFonts w:hint="eastAsia" w:eastAsia="仿宋_GB2312"/>
          <w:color w:val="1A1A1A" w:themeColor="background1" w:themeShade="1A"/>
          <w:sz w:val="32"/>
          <w:szCs w:val="32"/>
        </w:rPr>
        <w:t>全区各类施工工地必须将PM</w:t>
      </w:r>
      <w:r>
        <w:rPr>
          <w:rFonts w:hint="eastAsia" w:eastAsia="仿宋_GB2312"/>
          <w:color w:val="1A1A1A" w:themeColor="background1" w:themeShade="1A"/>
          <w:sz w:val="32"/>
          <w:szCs w:val="32"/>
          <w:vertAlign w:val="subscript"/>
        </w:rPr>
        <w:t>10</w:t>
      </w:r>
      <w:r>
        <w:rPr>
          <w:rFonts w:hint="eastAsia" w:eastAsia="仿宋_GB2312"/>
          <w:color w:val="1A1A1A" w:themeColor="background1" w:themeShade="1A"/>
          <w:sz w:val="32"/>
          <w:szCs w:val="32"/>
        </w:rPr>
        <w:t>扬尘在线监测数据和视频监控系统数据传输至行业监管部门和兖州区智慧环保督导调度指挥中心，数据需为国标监测设备采集。</w:t>
      </w:r>
      <w:r>
        <w:rPr>
          <w:rFonts w:eastAsia="仿宋_GB2312"/>
          <w:color w:val="1A1A1A" w:themeColor="background1" w:themeShade="1A"/>
          <w:sz w:val="32"/>
          <w:szCs w:val="32"/>
        </w:rPr>
        <w:t>严格落实施工工地扬尘管控责任，制定施工扬尘污染防治实施方案。</w:t>
      </w:r>
      <w:r>
        <w:rPr>
          <w:rFonts w:hint="eastAsia" w:eastAsia="仿宋_GB2312"/>
          <w:color w:val="1A1A1A" w:themeColor="background1" w:themeShade="1A"/>
          <w:sz w:val="32"/>
          <w:szCs w:val="32"/>
        </w:rPr>
        <w:t>严格落实拆迁工程抑尘各项措施，进一步落实有专班、有方案、有设备的“三有”要求，确保全程湿法作业、现场苫盖、密闭运输；裸露及时用6针以上的密目网苫盖，要及时更换破损防尘网，长期裸露地表可播撒野草种子，绿化抑尘。利用工地扬尘在线数据考核排名，强化问责考核机制。完善施工工地检查制度，改进检查方式，建立工地扬尘管理基本信息台账，实地核查并依据标准对工地达标情况进行确认，动态更新完善台账。对扬尘管控不到位的，对建筑市场主体的不良行为信息依法依规纳入建筑市场信用管理体系。</w:t>
      </w:r>
      <w:r>
        <w:rPr>
          <w:rFonts w:hint="eastAsia" w:eastAsia="楷体_GB2312"/>
          <w:color w:val="1A1A1A" w:themeColor="background1" w:themeShade="1A"/>
          <w:sz w:val="32"/>
          <w:szCs w:val="32"/>
        </w:rPr>
        <w:t>（责任单位：区住房城乡建设局、区水务局、区交通运输局、区综合行政执法局、区公路局）</w:t>
      </w:r>
    </w:p>
    <w:p>
      <w:pPr>
        <w:spacing w:line="360" w:lineRule="auto"/>
        <w:ind w:firstLine="645"/>
        <w:rPr>
          <w:rFonts w:eastAsia="楷体_GB2312"/>
          <w:color w:val="1A1A1A" w:themeColor="background1" w:themeShade="1A"/>
          <w:sz w:val="32"/>
          <w:szCs w:val="32"/>
        </w:rPr>
      </w:pPr>
      <w:r>
        <w:rPr>
          <w:rFonts w:hint="eastAsia" w:eastAsia="楷体_GB2312"/>
          <w:b/>
          <w:bCs/>
          <w:color w:val="1A1A1A" w:themeColor="background1" w:themeShade="1A"/>
          <w:sz w:val="32"/>
          <w:szCs w:val="32"/>
        </w:rPr>
        <w:t>提高道路扬尘综合治理水平</w:t>
      </w:r>
      <w:r>
        <w:rPr>
          <w:rFonts w:eastAsia="楷体_GB2312"/>
          <w:b/>
          <w:bCs/>
          <w:color w:val="1A1A1A" w:themeColor="background1" w:themeShade="1A"/>
          <w:sz w:val="32"/>
          <w:szCs w:val="32"/>
        </w:rPr>
        <w:t>。</w:t>
      </w:r>
      <w:r>
        <w:rPr>
          <w:rFonts w:hint="eastAsia" w:eastAsia="仿宋_GB2312" w:cs="仿宋_GB2312"/>
          <w:color w:val="1A1A1A" w:themeColor="background1" w:themeShade="1A"/>
          <w:spacing w:val="-6"/>
          <w:sz w:val="32"/>
          <w:szCs w:val="32"/>
        </w:rPr>
        <w:t>加强城区道路保洁。加强城区道路管理工作，机动车道、人行道路面保洁质量应达到</w:t>
      </w:r>
      <w:r>
        <w:rPr>
          <w:rFonts w:eastAsia="仿宋_GB2312"/>
          <w:color w:val="1A1A1A" w:themeColor="background1" w:themeShade="1A"/>
          <w:spacing w:val="-6"/>
          <w:sz w:val="32"/>
          <w:szCs w:val="32"/>
        </w:rPr>
        <w:t>“</w:t>
      </w:r>
      <w:r>
        <w:rPr>
          <w:rFonts w:hint="eastAsia" w:eastAsia="仿宋_GB2312" w:cs="仿宋_GB2312"/>
          <w:color w:val="1A1A1A" w:themeColor="background1" w:themeShade="1A"/>
          <w:spacing w:val="-6"/>
          <w:sz w:val="32"/>
          <w:szCs w:val="32"/>
        </w:rPr>
        <w:t>道牙无尘、路无杂物、设施整洁、路见本色</w:t>
      </w:r>
      <w:r>
        <w:rPr>
          <w:rFonts w:eastAsia="仿宋_GB2312"/>
          <w:color w:val="1A1A1A" w:themeColor="background1" w:themeShade="1A"/>
          <w:spacing w:val="-6"/>
          <w:sz w:val="32"/>
          <w:szCs w:val="32"/>
        </w:rPr>
        <w:t>”</w:t>
      </w:r>
      <w:r>
        <w:rPr>
          <w:rFonts w:hint="eastAsia" w:eastAsia="仿宋_GB2312" w:cs="仿宋_GB2312"/>
          <w:color w:val="1A1A1A" w:themeColor="background1" w:themeShade="1A"/>
          <w:spacing w:val="-6"/>
          <w:sz w:val="32"/>
          <w:szCs w:val="32"/>
        </w:rPr>
        <w:t>标准；</w:t>
      </w:r>
      <w:r>
        <w:rPr>
          <w:rFonts w:hint="eastAsia" w:eastAsia="仿宋_GB2312" w:cs="仿宋_GB2312"/>
          <w:color w:val="1A1A1A" w:themeColor="background1" w:themeShade="1A"/>
          <w:spacing w:val="-8"/>
          <w:sz w:val="32"/>
          <w:szCs w:val="32"/>
        </w:rPr>
        <w:t>提高道路机扫覆盖率，2</w:t>
      </w:r>
      <w:r>
        <w:rPr>
          <w:rFonts w:eastAsia="仿宋_GB2312" w:cs="仿宋_GB2312"/>
          <w:color w:val="1A1A1A" w:themeColor="background1" w:themeShade="1A"/>
          <w:spacing w:val="-8"/>
          <w:sz w:val="32"/>
          <w:szCs w:val="32"/>
        </w:rPr>
        <w:t>025</w:t>
      </w:r>
      <w:r>
        <w:rPr>
          <w:rFonts w:hint="eastAsia" w:eastAsia="仿宋_GB2312" w:cs="仿宋_GB2312"/>
          <w:color w:val="1A1A1A" w:themeColor="background1" w:themeShade="1A"/>
          <w:spacing w:val="-8"/>
          <w:sz w:val="32"/>
          <w:szCs w:val="32"/>
        </w:rPr>
        <w:t>年底前，力争城区机扫率达</w:t>
      </w:r>
      <w:r>
        <w:rPr>
          <w:rFonts w:eastAsia="仿宋_GB2312"/>
          <w:color w:val="1A1A1A" w:themeColor="background1" w:themeShade="1A"/>
          <w:spacing w:val="-8"/>
          <w:sz w:val="32"/>
          <w:szCs w:val="32"/>
        </w:rPr>
        <w:t>95%</w:t>
      </w:r>
      <w:r>
        <w:rPr>
          <w:rFonts w:hint="eastAsia" w:eastAsia="仿宋_GB2312" w:cs="仿宋_GB2312"/>
          <w:color w:val="1A1A1A" w:themeColor="background1" w:themeShade="1A"/>
          <w:spacing w:val="-8"/>
          <w:sz w:val="32"/>
          <w:szCs w:val="32"/>
        </w:rPr>
        <w:t>以上；重点区域实</w:t>
      </w:r>
      <w:r>
        <w:rPr>
          <w:rFonts w:hint="eastAsia" w:eastAsia="仿宋_GB2312" w:cs="仿宋_GB2312"/>
          <w:color w:val="1A1A1A" w:themeColor="background1" w:themeShade="1A"/>
          <w:spacing w:val="-6"/>
          <w:sz w:val="32"/>
          <w:szCs w:val="32"/>
        </w:rPr>
        <w:t>施精细化保洁。强化数据指导作业调度，实时研判、调整道路机械作业方式，加大道路洒水、雾炮等作业频次。</w:t>
      </w:r>
      <w:r>
        <w:rPr>
          <w:rFonts w:hint="eastAsia" w:eastAsia="楷体_GB2312"/>
          <w:color w:val="1A1A1A" w:themeColor="background1" w:themeShade="1A"/>
          <w:sz w:val="32"/>
          <w:szCs w:val="32"/>
        </w:rPr>
        <w:t>（责任单位：区综合行政执法局）</w:t>
      </w:r>
      <w:r>
        <w:rPr>
          <w:rFonts w:hint="eastAsia" w:eastAsia="仿宋_GB2312" w:cs="仿宋_GB2312"/>
          <w:color w:val="1A1A1A" w:themeColor="background1" w:themeShade="1A"/>
          <w:sz w:val="32"/>
          <w:szCs w:val="32"/>
        </w:rPr>
        <w:t>做好县乡公路保洁。认真执行行业管理标准，定期开展督导检查，督促做好日常保洁工作。及时督导修复县乡公路损毁路段，持续推进县乡公路提升改造工作。（</w:t>
      </w:r>
      <w:r>
        <w:rPr>
          <w:rFonts w:hint="eastAsia" w:eastAsia="楷体_GB2312"/>
          <w:color w:val="1A1A1A" w:themeColor="background1" w:themeShade="1A"/>
          <w:sz w:val="32"/>
          <w:szCs w:val="32"/>
        </w:rPr>
        <w:t>责任单位：区交通运输局）</w:t>
      </w:r>
      <w:r>
        <w:rPr>
          <w:rFonts w:hint="eastAsia" w:eastAsia="仿宋_GB2312" w:cs="仿宋_GB2312"/>
          <w:color w:val="1A1A1A" w:themeColor="background1" w:themeShade="1A"/>
          <w:sz w:val="32"/>
          <w:szCs w:val="32"/>
        </w:rPr>
        <w:t>强化国省道保洁。定期开展督导检查，督促做好日常保洁工作。（</w:t>
      </w:r>
      <w:r>
        <w:rPr>
          <w:rFonts w:hint="eastAsia" w:eastAsia="楷体_GB2312"/>
          <w:color w:val="1A1A1A" w:themeColor="background1" w:themeShade="1A"/>
          <w:sz w:val="32"/>
          <w:szCs w:val="32"/>
        </w:rPr>
        <w:t>责任单位：区公路局</w:t>
      </w:r>
      <w:r>
        <w:rPr>
          <w:rFonts w:hint="eastAsia" w:eastAsia="仿宋_GB2312" w:cs="仿宋_GB2312"/>
          <w:color w:val="1A1A1A" w:themeColor="background1" w:themeShade="1A"/>
          <w:sz w:val="32"/>
          <w:szCs w:val="32"/>
        </w:rPr>
        <w:t>）</w:t>
      </w:r>
      <w:r>
        <w:rPr>
          <w:rFonts w:hint="eastAsia" w:eastAsia="仿宋_GB2312"/>
          <w:color w:val="1A1A1A" w:themeColor="background1" w:themeShade="1A"/>
          <w:sz w:val="32"/>
          <w:szCs w:val="32"/>
        </w:rPr>
        <w:t>加强渣土车管控工作。建设全区渣土车监管平台，实施</w:t>
      </w:r>
      <w:r>
        <w:rPr>
          <w:rFonts w:eastAsia="仿宋_GB2312"/>
          <w:color w:val="1A1A1A" w:themeColor="background1" w:themeShade="1A"/>
          <w:sz w:val="32"/>
          <w:szCs w:val="32"/>
        </w:rPr>
        <w:t>“</w:t>
      </w:r>
      <w:r>
        <w:rPr>
          <w:rFonts w:hint="eastAsia" w:eastAsia="仿宋_GB2312"/>
          <w:color w:val="1A1A1A" w:themeColor="background1" w:themeShade="1A"/>
          <w:sz w:val="32"/>
          <w:szCs w:val="32"/>
        </w:rPr>
        <w:t>阳光运输</w:t>
      </w:r>
      <w:r>
        <w:rPr>
          <w:rFonts w:eastAsia="仿宋_GB2312"/>
          <w:color w:val="1A1A1A" w:themeColor="background1" w:themeShade="1A"/>
          <w:sz w:val="32"/>
          <w:szCs w:val="32"/>
        </w:rPr>
        <w:t>”</w:t>
      </w:r>
      <w:r>
        <w:rPr>
          <w:rFonts w:hint="eastAsia" w:eastAsia="仿宋_GB2312"/>
          <w:color w:val="1A1A1A" w:themeColor="background1" w:themeShade="1A"/>
          <w:sz w:val="32"/>
          <w:szCs w:val="32"/>
        </w:rPr>
        <w:t>，划定通行时间和通行路线，通过</w:t>
      </w:r>
      <w:r>
        <w:rPr>
          <w:rFonts w:eastAsia="仿宋_GB2312"/>
          <w:color w:val="1A1A1A" w:themeColor="background1" w:themeShade="1A"/>
          <w:sz w:val="32"/>
          <w:szCs w:val="32"/>
        </w:rPr>
        <w:t>GPS</w:t>
      </w:r>
      <w:r>
        <w:rPr>
          <w:rFonts w:hint="eastAsia" w:eastAsia="仿宋_GB2312"/>
          <w:color w:val="1A1A1A" w:themeColor="background1" w:themeShade="1A"/>
          <w:sz w:val="32"/>
          <w:szCs w:val="32"/>
        </w:rPr>
        <w:t>定位实施监督。做好渣土车辆管控，严格落实建筑渣土管理工作导则，确保车身干净、不得抛洒，科学划定渣土运输时段和行驶路线。加强路检路查，严格执行渣土车</w:t>
      </w:r>
      <w:r>
        <w:rPr>
          <w:rFonts w:eastAsia="仿宋_GB2312"/>
          <w:color w:val="1A1A1A" w:themeColor="background1" w:themeShade="1A"/>
          <w:sz w:val="32"/>
          <w:szCs w:val="32"/>
        </w:rPr>
        <w:t>“</w:t>
      </w:r>
      <w:r>
        <w:rPr>
          <w:rFonts w:hint="eastAsia" w:eastAsia="仿宋_GB2312"/>
          <w:color w:val="1A1A1A" w:themeColor="background1" w:themeShade="1A"/>
          <w:sz w:val="32"/>
          <w:szCs w:val="32"/>
        </w:rPr>
        <w:t>阳光运输</w:t>
      </w:r>
      <w:r>
        <w:rPr>
          <w:rFonts w:eastAsia="仿宋_GB2312"/>
          <w:color w:val="1A1A1A" w:themeColor="background1" w:themeShade="1A"/>
          <w:sz w:val="32"/>
          <w:szCs w:val="32"/>
        </w:rPr>
        <w:t>”</w:t>
      </w:r>
      <w:r>
        <w:rPr>
          <w:rFonts w:hint="eastAsia" w:eastAsia="仿宋_GB2312"/>
          <w:color w:val="1A1A1A" w:themeColor="background1" w:themeShade="1A"/>
          <w:sz w:val="32"/>
          <w:szCs w:val="32"/>
        </w:rPr>
        <w:t>，依法查处不按规定时间、路线运输，不落实装载要求、无证上路、遗撒、滴漏或者扬散物料的行为。</w:t>
      </w:r>
      <w:r>
        <w:rPr>
          <w:rFonts w:hint="eastAsia" w:eastAsia="楷体_GB2312"/>
          <w:color w:val="1A1A1A" w:themeColor="background1" w:themeShade="1A"/>
          <w:sz w:val="32"/>
          <w:szCs w:val="32"/>
        </w:rPr>
        <w:t>（区综合行政执法局、</w:t>
      </w:r>
      <w:bookmarkStart w:id="45" w:name="_Hlk115851769"/>
      <w:r>
        <w:rPr>
          <w:rFonts w:hint="eastAsia" w:eastAsia="楷体_GB2312"/>
          <w:color w:val="1A1A1A" w:themeColor="background1" w:themeShade="1A"/>
          <w:sz w:val="32"/>
          <w:szCs w:val="32"/>
        </w:rPr>
        <w:t>区</w:t>
      </w:r>
      <w:bookmarkEnd w:id="45"/>
      <w:r>
        <w:rPr>
          <w:rFonts w:hint="eastAsia" w:eastAsia="楷体_GB2312"/>
          <w:color w:val="1A1A1A" w:themeColor="background1" w:themeShade="1A"/>
          <w:sz w:val="32"/>
          <w:szCs w:val="32"/>
        </w:rPr>
        <w:t>交警大队按职责分工负责）</w:t>
      </w:r>
      <w:r>
        <w:rPr>
          <w:rFonts w:hint="eastAsia" w:eastAsia="仿宋_GB2312" w:cs="仿宋_GB2312"/>
          <w:color w:val="1A1A1A" w:themeColor="background1" w:themeShade="1A"/>
          <w:sz w:val="32"/>
          <w:szCs w:val="32"/>
        </w:rPr>
        <w:t>实施积尘负荷监测。持续开展道路积尘负荷走航监测，研判重点道路积尘负荷变化情况，定期通报走航监测结果。（</w:t>
      </w:r>
      <w:r>
        <w:rPr>
          <w:rFonts w:hint="eastAsia" w:ascii="楷体_GB2312" w:eastAsia="楷体_GB2312" w:cs="楷体_GB2312"/>
          <w:color w:val="1A1A1A" w:themeColor="background1" w:themeShade="1A"/>
          <w:sz w:val="32"/>
          <w:szCs w:val="32"/>
        </w:rPr>
        <w:t>责任单位：生态环境分局</w:t>
      </w:r>
      <w:r>
        <w:rPr>
          <w:rFonts w:hint="eastAsia" w:eastAsia="仿宋_GB2312" w:cs="仿宋_GB2312"/>
          <w:color w:val="1A1A1A" w:themeColor="background1" w:themeShade="1A"/>
          <w:sz w:val="32"/>
          <w:szCs w:val="32"/>
        </w:rPr>
        <w:t>）</w:t>
      </w:r>
    </w:p>
    <w:p>
      <w:pPr>
        <w:spacing w:line="360" w:lineRule="auto"/>
        <w:ind w:firstLine="645"/>
        <w:rPr>
          <w:rFonts w:eastAsia="楷体_GB2312"/>
          <w:color w:val="1A1A1A" w:themeColor="background1" w:themeShade="1A"/>
          <w:sz w:val="32"/>
          <w:szCs w:val="32"/>
        </w:rPr>
      </w:pPr>
      <w:r>
        <w:rPr>
          <w:rFonts w:hint="eastAsia" w:eastAsia="楷体_GB2312"/>
          <w:b/>
          <w:bCs/>
          <w:color w:val="1A1A1A" w:themeColor="background1" w:themeShade="1A"/>
          <w:sz w:val="32"/>
          <w:szCs w:val="32"/>
        </w:rPr>
        <w:t>加强企业扬尘污染管控。</w:t>
      </w:r>
      <w:r>
        <w:rPr>
          <w:rFonts w:hint="eastAsia" w:eastAsia="仿宋_GB2312"/>
          <w:color w:val="1A1A1A" w:themeColor="background1" w:themeShade="1A"/>
          <w:sz w:val="32"/>
          <w:szCs w:val="32"/>
        </w:rPr>
        <w:t>加强煤矿煤场扬尘管控工作。严格落实《济宁市煤电企业堆场扬尘治理工作导则》，推进煤矿煤场煤炭储存、输送密闭化，推进煤矿煤场运输车辆秋冬季绿色化，喷淋、视频及</w:t>
      </w:r>
      <w:r>
        <w:rPr>
          <w:rFonts w:eastAsia="仿宋_GB2312"/>
          <w:color w:val="1A1A1A" w:themeColor="background1" w:themeShade="1A"/>
          <w:sz w:val="32"/>
          <w:szCs w:val="32"/>
        </w:rPr>
        <w:t>PM</w:t>
      </w:r>
      <w:r>
        <w:rPr>
          <w:rFonts w:eastAsia="仿宋_GB2312"/>
          <w:color w:val="1A1A1A" w:themeColor="background1" w:themeShade="1A"/>
          <w:sz w:val="32"/>
          <w:szCs w:val="32"/>
          <w:vertAlign w:val="subscript"/>
        </w:rPr>
        <w:t>10</w:t>
      </w:r>
      <w:r>
        <w:rPr>
          <w:rFonts w:hint="eastAsia" w:eastAsia="仿宋_GB2312"/>
          <w:color w:val="1A1A1A" w:themeColor="background1" w:themeShade="1A"/>
          <w:sz w:val="32"/>
          <w:szCs w:val="32"/>
        </w:rPr>
        <w:t>监控设备要完好并正常使用。</w:t>
      </w:r>
      <w:r>
        <w:rPr>
          <w:rFonts w:hint="eastAsia" w:eastAsia="楷体_GB2312"/>
          <w:color w:val="1A1A1A" w:themeColor="background1" w:themeShade="1A"/>
          <w:sz w:val="32"/>
          <w:szCs w:val="32"/>
        </w:rPr>
        <w:t>（责任单位：区发展改革局）</w:t>
      </w:r>
      <w:r>
        <w:rPr>
          <w:rFonts w:hint="eastAsia" w:eastAsia="仿宋_GB2312"/>
          <w:color w:val="1A1A1A" w:themeColor="background1" w:themeShade="1A"/>
          <w:sz w:val="32"/>
          <w:szCs w:val="32"/>
        </w:rPr>
        <w:t>加强商品混凝土扬尘管控工作。强化对商品混凝土企业扬尘监管，提升扬尘监管水平。加强商品混凝土企业易扬尘物料不覆盖、车辆出厂不洗车、收尘抑尘措施等问题的监管力度，督促企业视频监控稳定运行。</w:t>
      </w:r>
      <w:r>
        <w:rPr>
          <w:rFonts w:hint="eastAsia" w:eastAsia="楷体_GB2312"/>
          <w:color w:val="1A1A1A" w:themeColor="background1" w:themeShade="1A"/>
          <w:sz w:val="32"/>
          <w:szCs w:val="32"/>
        </w:rPr>
        <w:t>（责任单位：区工业和信息化局）</w:t>
      </w:r>
      <w:r>
        <w:rPr>
          <w:rFonts w:hint="eastAsia" w:eastAsia="仿宋_GB2312"/>
          <w:color w:val="1A1A1A" w:themeColor="background1" w:themeShade="1A"/>
          <w:sz w:val="32"/>
          <w:szCs w:val="32"/>
        </w:rPr>
        <w:t>加强企业污染管控工作。强化企业的排污监管，督促企业切实履行社会责任，主动承担治污主体责任，确保治污设施正常运行、污染物稳定达标排放。组织开展专项执法行动，提高环境执法针对性、精准性，严厉打击不落实应急减排措施、超标排污等违法行为。</w:t>
      </w:r>
      <w:r>
        <w:rPr>
          <w:rFonts w:hint="eastAsia" w:eastAsia="楷体_GB2312"/>
          <w:color w:val="1A1A1A" w:themeColor="background1" w:themeShade="1A"/>
          <w:sz w:val="32"/>
          <w:szCs w:val="32"/>
        </w:rPr>
        <w:t>（责任单位：生态环境分局）</w:t>
      </w:r>
    </w:p>
    <w:p>
      <w:pPr>
        <w:spacing w:line="360" w:lineRule="auto"/>
        <w:ind w:firstLine="645"/>
        <w:rPr>
          <w:rFonts w:eastAsia="楷体_GB2312"/>
          <w:color w:val="1A1A1A" w:themeColor="background1" w:themeShade="1A"/>
          <w:sz w:val="32"/>
          <w:szCs w:val="32"/>
        </w:rPr>
      </w:pPr>
      <w:r>
        <w:rPr>
          <w:rFonts w:hint="eastAsia" w:eastAsia="楷体_GB2312"/>
          <w:b/>
          <w:bCs/>
          <w:color w:val="1A1A1A" w:themeColor="background1" w:themeShade="1A"/>
          <w:sz w:val="32"/>
          <w:szCs w:val="32"/>
        </w:rPr>
        <w:t>推进裸地、堆场扬尘污染控制</w:t>
      </w:r>
      <w:r>
        <w:rPr>
          <w:rFonts w:eastAsia="楷体_GB2312"/>
          <w:b/>
          <w:bCs/>
          <w:color w:val="1A1A1A" w:themeColor="background1" w:themeShade="1A"/>
          <w:sz w:val="32"/>
          <w:szCs w:val="32"/>
        </w:rPr>
        <w:t>。</w:t>
      </w:r>
      <w:r>
        <w:rPr>
          <w:rFonts w:eastAsia="仿宋_GB2312"/>
          <w:color w:val="1A1A1A" w:themeColor="background1" w:themeShade="1A"/>
          <w:sz w:val="32"/>
          <w:szCs w:val="32"/>
        </w:rPr>
        <w:t>对城市公共区域、长期未开发的建设裸地，以及废旧厂区、闲置空地、院落、物流园、大型停车场等进行排查建档，并采取绿化、硬化、清扫等措施减少扬尘。物料堆场全面完成围挡、苫盖、自动喷淋等抑尘设施建设和物料输送系统封闭改造，鼓励有条件的堆场实施全封闭改造。</w:t>
      </w:r>
      <w:r>
        <w:rPr>
          <w:rFonts w:hint="eastAsia" w:eastAsia="楷体_GB2312"/>
          <w:color w:val="1A1A1A" w:themeColor="background1" w:themeShade="1A"/>
          <w:sz w:val="32"/>
          <w:szCs w:val="32"/>
        </w:rPr>
        <w:t>（生态环境分局、区工业和信息化局、区综合行政执法局、区交通运输局等按职责分工负责）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46" w:name="_Toc116030720"/>
      <w:r>
        <w:rPr>
          <w:rFonts w:eastAsia="楷体_GB2312"/>
          <w:b/>
          <w:color w:val="1A1A1A" w:themeColor="background1" w:themeShade="1A"/>
          <w:sz w:val="32"/>
          <w:szCs w:val="32"/>
        </w:rPr>
        <w:t>第五节  推进其他涉气污染源治理</w:t>
      </w:r>
      <w:bookmarkEnd w:id="46"/>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推动大气氨排放控制。</w:t>
      </w:r>
      <w:r>
        <w:rPr>
          <w:rFonts w:eastAsia="仿宋_GB2312"/>
          <w:color w:val="1A1A1A" w:themeColor="background1" w:themeShade="1A"/>
          <w:sz w:val="32"/>
          <w:szCs w:val="32"/>
        </w:rPr>
        <w:t>探索建立大气氨规范化排放清单，摸清重点排放源。</w:t>
      </w:r>
      <w:r>
        <w:rPr>
          <w:rFonts w:hint="eastAsia" w:eastAsia="仿宋_GB2312"/>
          <w:color w:val="1A1A1A" w:themeColor="background1" w:themeShade="1A"/>
          <w:sz w:val="32"/>
          <w:szCs w:val="32"/>
        </w:rPr>
        <w:t>严格执行重点行业大气氨排放标准。</w:t>
      </w:r>
      <w:r>
        <w:rPr>
          <w:rFonts w:hint="eastAsia" w:eastAsia="仿宋_GB2312" w:cs="仿宋_GB2312"/>
          <w:color w:val="1A1A1A" w:themeColor="background1" w:themeShade="1A"/>
          <w:sz w:val="32"/>
          <w:szCs w:val="32"/>
        </w:rPr>
        <w:t>强化企业氨逃逸管控。逐步建立健全监测监控体系，对氨排放口安装氨逃逸监测设备；注重氨流量是否分布均匀、烟气温度是否过低，及时关注影响脱硝稳定运行的工作参数；及时更换催化剂，防止因催化剂失活造成反应效果变差，减少氨逃逸量。电厂推广尿素替代氨，减少氨运输、存储可能造成的氨逃逸问题。对</w:t>
      </w:r>
      <w:r>
        <w:rPr>
          <w:rFonts w:eastAsia="仿宋_GB2312"/>
          <w:color w:val="1A1A1A" w:themeColor="background1" w:themeShade="1A"/>
          <w:sz w:val="32"/>
          <w:szCs w:val="32"/>
        </w:rPr>
        <w:t>SCR</w:t>
      </w:r>
      <w:r>
        <w:rPr>
          <w:rFonts w:hint="eastAsia" w:eastAsia="仿宋_GB2312" w:cs="仿宋_GB2312"/>
          <w:color w:val="1A1A1A" w:themeColor="background1" w:themeShade="1A"/>
          <w:sz w:val="32"/>
          <w:szCs w:val="32"/>
        </w:rPr>
        <w:t>设备、流场和喷氨布点进行优化，实施精准喷氨以提高氨的利用率。（</w:t>
      </w:r>
      <w:r>
        <w:rPr>
          <w:rFonts w:hint="eastAsia" w:eastAsia="楷体_GB2312"/>
          <w:color w:val="1A1A1A" w:themeColor="background1" w:themeShade="1A"/>
          <w:sz w:val="32"/>
          <w:szCs w:val="32"/>
        </w:rPr>
        <w:t>责任单位：生态环境分局</w:t>
      </w:r>
      <w:r>
        <w:rPr>
          <w:rFonts w:hint="eastAsia" w:eastAsia="仿宋_GB2312" w:cs="仿宋_GB2312"/>
          <w:color w:val="1A1A1A" w:themeColor="background1" w:themeShade="1A"/>
          <w:sz w:val="32"/>
          <w:szCs w:val="32"/>
        </w:rPr>
        <w:t>）</w:t>
      </w:r>
      <w:r>
        <w:rPr>
          <w:rFonts w:hint="eastAsia" w:eastAsia="仿宋_GB2312"/>
          <w:color w:val="1A1A1A" w:themeColor="background1" w:themeShade="1A"/>
          <w:sz w:val="32"/>
          <w:szCs w:val="32"/>
        </w:rPr>
        <w:t>推进养殖业、种植业大气氨排放控制，加强源头防控，优化肥料、饲料结构。</w:t>
      </w:r>
      <w:r>
        <w:rPr>
          <w:rFonts w:hint="eastAsia" w:eastAsia="楷体_GB2312"/>
          <w:color w:val="1A1A1A" w:themeColor="background1" w:themeShade="1A"/>
          <w:sz w:val="32"/>
          <w:szCs w:val="32"/>
        </w:rPr>
        <w:t>（生态环境分局、区农业农村局、区畜牧兽医服务中心按职责分工负责）</w:t>
      </w:r>
    </w:p>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强化餐饮油烟污染治理</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严格落实餐饮油烟导则要求，加大建成区餐饮企业油烟治理工作，对餐饮企业油烟净化设施安装、使用、清洗情况，以及油烟排放指标数据进行周期性检查，对已安装油烟净化设施的餐饮企业要求定期对油烟净化设施进行清洗维护，严查清洗记录表，确保油烟净化装置正常使用，严禁出现油烟直排和露天烧烤行为；对未安装油烟净化设施、油烟排放指标数据不达标的餐饮单位要求立即责令限期整改。选取餐饮企业比较集中地段，探索建设餐饮油烟示范街，带动提升全区餐饮油烟治理整体水平。禁止在居民住宅楼、未配套设立专用烟道的商住综合楼以及商住综合楼内与居住层相邻的商业楼层内新建、改建、扩建产生油烟、异味、废气的餐饮服务项目</w:t>
      </w:r>
      <w:r>
        <w:rPr>
          <w:rFonts w:eastAsia="仿宋_GB2312"/>
          <w:color w:val="1A1A1A" w:themeColor="background1" w:themeShade="1A"/>
          <w:sz w:val="32"/>
          <w:szCs w:val="32"/>
        </w:rPr>
        <w:t>。</w:t>
      </w:r>
      <w:r>
        <w:rPr>
          <w:rFonts w:hint="eastAsia" w:eastAsia="楷体_GB2312"/>
          <w:color w:val="1A1A1A" w:themeColor="background1" w:themeShade="1A"/>
          <w:sz w:val="32"/>
          <w:szCs w:val="32"/>
        </w:rPr>
        <w:t>（责任单位：区综合行政执法局、区市场监管局、区行政审批服务局）</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加强有毒有害气体治理。</w:t>
      </w:r>
      <w:r>
        <w:rPr>
          <w:rFonts w:hint="eastAsia" w:eastAsia="仿宋_GB2312"/>
          <w:color w:val="1A1A1A" w:themeColor="background1" w:themeShade="1A"/>
          <w:sz w:val="32"/>
          <w:szCs w:val="32"/>
        </w:rPr>
        <w:t>加强恶臭、有毒有害大气污染物防控，对恶臭投诉较多的重点企业和重点区域安装电子鼻。加大其他涉气污染物的治理力度，强化多污染物协同控制。基于现有烟气污染物控制装备，推进工业烟气中三氧化硫、汞、铅、砷、镉等多种非常规污染物强效脱除技术的研发应用。加强生物质锅炉燃料品质及排放管控，禁止掺烧垃圾、工业固废，对污染物排放不能稳定达到锅炉排放标准和重点区域特别排放限值要求的生物质锅炉进行整改或淘汰。</w:t>
      </w:r>
      <w:r>
        <w:rPr>
          <w:rFonts w:hint="eastAsia" w:eastAsia="楷体_GB2312"/>
          <w:color w:val="1A1A1A" w:themeColor="background1" w:themeShade="1A"/>
          <w:sz w:val="32"/>
          <w:szCs w:val="32"/>
        </w:rPr>
        <w:t>（牵头单位：生态环境分局；配合单位：区发展改革局、区工业和信息化局）</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47" w:name="_Toc116030721"/>
      <w:r>
        <w:rPr>
          <w:rFonts w:hint="eastAsia" w:eastAsia="楷体_GB2312"/>
          <w:b/>
          <w:color w:val="1A1A1A" w:themeColor="background1" w:themeShade="1A"/>
          <w:sz w:val="32"/>
          <w:szCs w:val="32"/>
        </w:rPr>
        <w:t xml:space="preserve">第六节 </w:t>
      </w:r>
      <w:r>
        <w:rPr>
          <w:rFonts w:eastAsia="楷体_GB2312"/>
          <w:b/>
          <w:color w:val="1A1A1A" w:themeColor="background1" w:themeShade="1A"/>
          <w:sz w:val="32"/>
          <w:szCs w:val="32"/>
        </w:rPr>
        <w:t xml:space="preserve"> </w:t>
      </w:r>
      <w:r>
        <w:rPr>
          <w:rFonts w:hint="eastAsia" w:eastAsia="楷体_GB2312"/>
          <w:b/>
          <w:color w:val="1A1A1A" w:themeColor="background1" w:themeShade="1A"/>
          <w:sz w:val="32"/>
          <w:szCs w:val="32"/>
        </w:rPr>
        <w:t>加强环境空气污染高值区治理</w:t>
      </w:r>
      <w:bookmarkEnd w:id="47"/>
    </w:p>
    <w:p>
      <w:pPr>
        <w:pStyle w:val="46"/>
        <w:spacing w:line="360" w:lineRule="auto"/>
        <w:ind w:firstLine="640"/>
        <w:rPr>
          <w:rFonts w:eastAsia="仿宋_GB2312"/>
          <w:color w:val="1A1A1A" w:themeColor="background1" w:themeShade="1A"/>
          <w:sz w:val="32"/>
          <w:szCs w:val="32"/>
        </w:rPr>
      </w:pPr>
      <w:r>
        <w:rPr>
          <w:rFonts w:hint="eastAsia" w:eastAsia="仿宋_GB2312"/>
          <w:color w:val="1A1A1A" w:themeColor="background1" w:themeShade="1A"/>
          <w:sz w:val="32"/>
          <w:szCs w:val="32"/>
        </w:rPr>
        <w:t>推进高值区识别、消除闭环管理工作。基于高密度环境空气自动监测网络，运用多污染物协同监测、环境质量与污染源关联分析、电量监控、走航监测等手段筛选高值区，依托专家团队，开展对高值区的空间分布、污染类型和污染成因分析，确定治理重点，提出相关措施及建议，落实问题整改。对高值区加强执法检查，立案查处相关违法企业，消除高值区问题隐患，持续改善环境空气质量。</w:t>
      </w:r>
      <w:r>
        <w:rPr>
          <w:rFonts w:hint="eastAsia" w:eastAsia="楷体_GB2312"/>
          <w:color w:val="1A1A1A" w:themeColor="background1" w:themeShade="1A"/>
          <w:sz w:val="32"/>
          <w:szCs w:val="32"/>
        </w:rPr>
        <w:t>（责任单位：生态环境分局）</w:t>
      </w:r>
    </w:p>
    <w:tbl>
      <w:tblPr>
        <w:tblStyle w:val="2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920" w:type="dxa"/>
            <w:vAlign w:val="center"/>
          </w:tcPr>
          <w:p>
            <w:pPr>
              <w:widowControl/>
              <w:spacing w:line="360" w:lineRule="auto"/>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专栏3：大气污染治理重点工程</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1.污染物深度治理工程。在热力、建材等重点行业实施一批二氧化硫、氮氧化物和烟粉尘深度治理工程或提升改造工程。实施山东康迪泰克工程橡胶有限公司车间废气深度治理项目，拟对全厂除炼胶车间外其余车间的废气治理设施进行升级改造。具体建设方案为：将硫化一车间现有“活性炭吸附”装置拆除，新增3套“高压静电油烟净化器+喷淋塔+三级干式过滤+沸石蜂窝吸附+催化燃烧”装置；将硫化二车间和胶管车间现有“活性炭吸附”装置拆除新增2套“电捕焦油器+静电油烟净化器+喷淋塔+三级干式过滤+沸石蜂窝吸附+催化燃烧”装置；将浸胶线及配料间现有″活性炭吸附″装置拆除新增1套“热交换冷凝除油器+预处理+静电油烟净化器+三级干式过滤+固定沸石床吸附+催化燃烧”装置。处理风量含计为58万m</w:t>
            </w:r>
            <w:r>
              <w:rPr>
                <w:rFonts w:hint="eastAsia" w:eastAsia="仿宋_GB2312"/>
                <w:color w:val="1A1A1A" w:themeColor="background1" w:themeShade="1A"/>
                <w:sz w:val="24"/>
                <w:szCs w:val="24"/>
                <w:vertAlign w:val="superscript"/>
              </w:rPr>
              <w:t>3</w:t>
            </w:r>
            <w:r>
              <w:rPr>
                <w:rFonts w:hint="eastAsia" w:eastAsia="仿宋_GB2312"/>
                <w:color w:val="1A1A1A" w:themeColor="background1" w:themeShade="1A"/>
                <w:sz w:val="24"/>
                <w:szCs w:val="24"/>
              </w:rPr>
              <w:t>/h。实施济宁市兖州区嵫山水泥厂超低排放改造项目，使得110万吨水泥粉磨技术改造项目达到超低排放要求。实施山东兖矿国际焦化有限公司超低排放改造项目，增加湿电除尘等有组织改造项目，以及卷帘门、洗车台，筛、储焦除尘气力输灰改造等无组织改造项目。</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2.VOCs综合治理工程。重点行业建立完善源头替代、过程管控和末端治理的VOCs全过程控制体系，在工业涂装、包装印刷等重点行业实施一批含VOCs产品源头替代项目。在有机化工、焦化、橡胶等行业实施一批VOCs提标改造工程。实施加油站、储油库油气回收升级改造与监控工程。</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3.移动源联合防控工程。实施老旧工程机械升级改造项目。提升移动源监管能力，实施机动车遥感监测系统建设项目、重型柴油车远程在线监控系统建设项目、工程机械定位和实时排放监控系统建设项目。</w:t>
            </w:r>
          </w:p>
          <w:p>
            <w:pPr>
              <w:widowControl/>
              <w:spacing w:line="360" w:lineRule="auto"/>
              <w:ind w:firstLine="480" w:firstLineChars="200"/>
              <w:rPr>
                <w:rFonts w:ascii="方正仿宋简体" w:hAnsi="文星仿宋" w:eastAsia="方正仿宋简体" w:cs="方正仿宋简体"/>
                <w:b/>
                <w:color w:val="1A1A1A" w:themeColor="background1" w:themeShade="1A"/>
                <w:sz w:val="24"/>
                <w:szCs w:val="24"/>
              </w:rPr>
            </w:pPr>
            <w:r>
              <w:rPr>
                <w:rFonts w:hint="eastAsia" w:eastAsia="仿宋_GB2312"/>
                <w:color w:val="1A1A1A" w:themeColor="background1" w:themeShade="1A"/>
                <w:sz w:val="24"/>
                <w:szCs w:val="24"/>
              </w:rPr>
              <w:t>4.扬尘精细化管控工程。在水泥、焦化等行业实施工业企业无组织排放精细化管控项目。</w:t>
            </w:r>
          </w:p>
        </w:tc>
      </w:tr>
    </w:tbl>
    <w:p>
      <w:pPr>
        <w:widowControl/>
        <w:spacing w:line="360" w:lineRule="auto"/>
        <w:ind w:firstLine="642" w:firstLineChars="200"/>
        <w:rPr>
          <w:rFonts w:eastAsia="黑体"/>
          <w:b/>
          <w:color w:val="1A1A1A" w:themeColor="background1" w:themeShade="1A"/>
          <w:sz w:val="32"/>
          <w:szCs w:val="32"/>
        </w:rPr>
      </w:pPr>
      <w:bookmarkStart w:id="48" w:name="_Toc116030722"/>
    </w:p>
    <w:p>
      <w:pPr>
        <w:widowControl/>
        <w:jc w:val="left"/>
        <w:rPr>
          <w:rFonts w:eastAsia="黑体"/>
          <w:b/>
          <w:color w:val="1A1A1A" w:themeColor="background1" w:themeShade="1A"/>
          <w:sz w:val="32"/>
          <w:szCs w:val="32"/>
        </w:rPr>
      </w:pPr>
      <w:r>
        <w:rPr>
          <w:rFonts w:eastAsia="黑体"/>
          <w:b/>
          <w:color w:val="1A1A1A" w:themeColor="background1" w:themeShade="1A"/>
          <w:sz w:val="32"/>
          <w:szCs w:val="32"/>
        </w:rPr>
        <w:br w:type="page"/>
      </w:r>
    </w:p>
    <w:p>
      <w:pPr>
        <w:adjustRightInd w:val="0"/>
        <w:spacing w:before="312" w:beforeLines="100" w:after="312" w:afterLines="100"/>
        <w:jc w:val="center"/>
        <w:textAlignment w:val="baseline"/>
        <w:outlineLvl w:val="0"/>
        <w:rPr>
          <w:rFonts w:eastAsia="黑体"/>
          <w:b/>
          <w:color w:val="1A1A1A" w:themeColor="background1" w:themeShade="1A"/>
          <w:sz w:val="32"/>
          <w:szCs w:val="32"/>
        </w:rPr>
      </w:pPr>
      <w:r>
        <w:rPr>
          <w:rFonts w:eastAsia="黑体"/>
          <w:b/>
          <w:color w:val="1A1A1A" w:themeColor="background1" w:themeShade="1A"/>
          <w:sz w:val="32"/>
          <w:szCs w:val="32"/>
        </w:rPr>
        <w:t xml:space="preserve">第六章  </w:t>
      </w:r>
      <w:r>
        <w:rPr>
          <w:rFonts w:hint="eastAsia" w:eastAsia="黑体"/>
          <w:b/>
          <w:color w:val="1A1A1A" w:themeColor="background1" w:themeShade="1A"/>
          <w:sz w:val="32"/>
          <w:szCs w:val="32"/>
        </w:rPr>
        <w:t>深化“三水”统筹  持续改善水生态环境质量</w:t>
      </w:r>
      <w:bookmarkEnd w:id="48"/>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49" w:name="_Toc71552491"/>
      <w:bookmarkStart w:id="50" w:name="_Toc116030723"/>
      <w:r>
        <w:rPr>
          <w:rFonts w:eastAsia="楷体_GB2312"/>
          <w:b/>
          <w:color w:val="1A1A1A" w:themeColor="background1" w:themeShade="1A"/>
          <w:sz w:val="32"/>
          <w:szCs w:val="32"/>
        </w:rPr>
        <w:t>第一节  加强</w:t>
      </w:r>
      <w:r>
        <w:rPr>
          <w:rFonts w:eastAsia="楷体_GB2312"/>
          <w:b/>
          <w:bCs/>
          <w:color w:val="1A1A1A" w:themeColor="background1" w:themeShade="1A"/>
          <w:sz w:val="32"/>
          <w:szCs w:val="32"/>
        </w:rPr>
        <w:t>水生态环境系统治理</w:t>
      </w:r>
      <w:bookmarkEnd w:id="49"/>
      <w:bookmarkEnd w:id="50"/>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强化</w:t>
      </w:r>
      <w:r>
        <w:rPr>
          <w:rFonts w:eastAsia="楷体_GB2312"/>
          <w:b/>
          <w:color w:val="1A1A1A" w:themeColor="background1" w:themeShade="1A"/>
          <w:sz w:val="32"/>
          <w:szCs w:val="32"/>
        </w:rPr>
        <w:t>水资源、水生态、水环境</w:t>
      </w:r>
      <w:r>
        <w:rPr>
          <w:rFonts w:eastAsia="楷体_GB2312"/>
          <w:b/>
          <w:bCs/>
          <w:color w:val="1A1A1A" w:themeColor="background1" w:themeShade="1A"/>
          <w:sz w:val="32"/>
          <w:szCs w:val="32"/>
        </w:rPr>
        <w:t>统筹管理。</w:t>
      </w:r>
      <w:r>
        <w:rPr>
          <w:rFonts w:eastAsia="仿宋_GB2312"/>
          <w:color w:val="1A1A1A" w:themeColor="background1" w:themeShade="1A"/>
          <w:sz w:val="32"/>
          <w:szCs w:val="32"/>
        </w:rPr>
        <w:t>坚持以水定城、以水定地、以水定人、以水定产，实施生态环境资源承载能力监测预警管理。</w:t>
      </w:r>
      <w:r>
        <w:rPr>
          <w:rFonts w:hint="eastAsia" w:eastAsia="仿宋_GB2312"/>
          <w:color w:val="1A1A1A" w:themeColor="background1" w:themeShade="1A"/>
          <w:sz w:val="32"/>
          <w:szCs w:val="32"/>
        </w:rPr>
        <w:t>强化水资源利用管理。落实水资源消耗总量和强度双控，推进黄河流域水资源超载治理。</w:t>
      </w:r>
      <w:r>
        <w:rPr>
          <w:rFonts w:eastAsia="仿宋_GB2312"/>
          <w:color w:val="1A1A1A" w:themeColor="background1" w:themeShade="1A"/>
          <w:sz w:val="32"/>
          <w:szCs w:val="32"/>
        </w:rPr>
        <w:t>在水资源开发利用控制、用水效率控制、水功能区限制纳污“三条红线”的约束下，落实水资源刚性约束制度，2025年</w:t>
      </w:r>
      <w:r>
        <w:rPr>
          <w:rFonts w:hint="eastAsia" w:eastAsia="仿宋_GB2312"/>
          <w:color w:val="1A1A1A" w:themeColor="background1" w:themeShade="1A"/>
          <w:sz w:val="32"/>
          <w:szCs w:val="32"/>
        </w:rPr>
        <w:t>年</w:t>
      </w:r>
      <w:r>
        <w:rPr>
          <w:rFonts w:eastAsia="仿宋_GB2312"/>
          <w:color w:val="1A1A1A" w:themeColor="background1" w:themeShade="1A"/>
          <w:sz w:val="32"/>
          <w:szCs w:val="32"/>
        </w:rPr>
        <w:t>底前，单位国内生产总值用水量下降</w:t>
      </w:r>
      <w:r>
        <w:rPr>
          <w:rFonts w:hint="eastAsia" w:eastAsia="仿宋_GB2312"/>
          <w:color w:val="1A1A1A" w:themeColor="background1" w:themeShade="1A"/>
          <w:sz w:val="32"/>
          <w:szCs w:val="32"/>
        </w:rPr>
        <w:t>率完成市下达的任务目标</w:t>
      </w:r>
      <w:r>
        <w:rPr>
          <w:rFonts w:eastAsia="仿宋_GB2312"/>
          <w:color w:val="1A1A1A" w:themeColor="background1" w:themeShade="1A"/>
          <w:sz w:val="32"/>
          <w:szCs w:val="32"/>
        </w:rPr>
        <w:t>。建立完善的</w:t>
      </w:r>
      <w:r>
        <w:rPr>
          <w:rFonts w:hint="eastAsia" w:eastAsia="仿宋_GB2312"/>
          <w:color w:val="1A1A1A" w:themeColor="background1" w:themeShade="1A"/>
          <w:sz w:val="32"/>
          <w:szCs w:val="32"/>
        </w:rPr>
        <w:t>河流</w:t>
      </w:r>
      <w:r>
        <w:rPr>
          <w:rFonts w:eastAsia="仿宋_GB2312"/>
          <w:color w:val="1A1A1A" w:themeColor="background1" w:themeShade="1A"/>
          <w:sz w:val="32"/>
          <w:szCs w:val="32"/>
        </w:rPr>
        <w:t>水生态环境质量监控体系，保障生态用水，促进水生态恢复。</w:t>
      </w:r>
      <w:r>
        <w:rPr>
          <w:rFonts w:hint="eastAsia" w:eastAsia="仿宋_GB2312"/>
          <w:color w:val="1A1A1A" w:themeColor="background1" w:themeShade="1A"/>
          <w:sz w:val="32"/>
          <w:szCs w:val="32"/>
        </w:rPr>
        <w:t>加强水生态环境综合整治。制定《济宁市兖州区南四湖流域汛前水质保障行动方案》和区《南四湖流域生态保护</w:t>
      </w:r>
      <w:r>
        <w:rPr>
          <w:rFonts w:eastAsia="仿宋_GB2312"/>
          <w:color w:val="1A1A1A" w:themeColor="background1" w:themeShade="1A"/>
          <w:sz w:val="32"/>
          <w:szCs w:val="32"/>
        </w:rPr>
        <w:t>2022</w:t>
      </w:r>
      <w:r>
        <w:rPr>
          <w:rFonts w:hint="eastAsia" w:eastAsia="仿宋_GB2312"/>
          <w:color w:val="1A1A1A" w:themeColor="background1" w:themeShade="1A"/>
          <w:sz w:val="32"/>
          <w:szCs w:val="32"/>
        </w:rPr>
        <w:t>年度推进方案》。</w:t>
      </w:r>
      <w:r>
        <w:rPr>
          <w:rFonts w:eastAsia="仿宋_GB2312"/>
          <w:color w:val="1A1A1A" w:themeColor="background1" w:themeShade="1A"/>
          <w:sz w:val="32"/>
          <w:szCs w:val="32"/>
        </w:rPr>
        <w:t>持续削减主要水污染物排放总量，2025年</w:t>
      </w:r>
      <w:r>
        <w:rPr>
          <w:rFonts w:hint="eastAsia" w:eastAsia="仿宋_GB2312"/>
          <w:color w:val="1A1A1A" w:themeColor="background1" w:themeShade="1A"/>
          <w:sz w:val="32"/>
          <w:szCs w:val="32"/>
        </w:rPr>
        <w:t>年</w:t>
      </w:r>
      <w:r>
        <w:rPr>
          <w:rFonts w:eastAsia="仿宋_GB2312"/>
          <w:color w:val="1A1A1A" w:themeColor="background1" w:themeShade="1A"/>
          <w:sz w:val="32"/>
          <w:szCs w:val="32"/>
        </w:rPr>
        <w:t>底前，化学需氧量和氨氮排放总量</w:t>
      </w:r>
      <w:r>
        <w:rPr>
          <w:rFonts w:hint="eastAsia" w:eastAsia="仿宋_GB2312"/>
          <w:color w:val="1A1A1A" w:themeColor="background1" w:themeShade="1A"/>
          <w:sz w:val="32"/>
          <w:szCs w:val="32"/>
        </w:rPr>
        <w:t>完成市下达的任务目标。探索加强总氮总磷排放控制</w:t>
      </w:r>
      <w:r>
        <w:rPr>
          <w:rFonts w:eastAsia="仿宋_GB2312"/>
          <w:color w:val="1A1A1A" w:themeColor="background1" w:themeShade="1A"/>
          <w:sz w:val="32"/>
          <w:szCs w:val="32"/>
        </w:rPr>
        <w:t>。</w:t>
      </w:r>
      <w:r>
        <w:rPr>
          <w:rFonts w:hint="eastAsia" w:eastAsia="仿宋_GB2312"/>
          <w:color w:val="1A1A1A" w:themeColor="background1" w:themeShade="1A"/>
          <w:sz w:val="32"/>
          <w:szCs w:val="32"/>
        </w:rPr>
        <w:t>分批分级推进实施美丽幸福河湖创建，到</w:t>
      </w:r>
      <w:r>
        <w:rPr>
          <w:rFonts w:eastAsia="仿宋_GB2312"/>
          <w:color w:val="1A1A1A" w:themeColor="background1" w:themeShade="1A"/>
          <w:sz w:val="32"/>
          <w:szCs w:val="32"/>
        </w:rPr>
        <w:t>2025</w:t>
      </w:r>
      <w:r>
        <w:rPr>
          <w:rFonts w:hint="eastAsia" w:eastAsia="仿宋_GB2312"/>
          <w:color w:val="1A1A1A" w:themeColor="background1" w:themeShade="1A"/>
          <w:sz w:val="32"/>
          <w:szCs w:val="32"/>
        </w:rPr>
        <w:t>年，建设</w:t>
      </w:r>
      <w:r>
        <w:rPr>
          <w:rFonts w:eastAsia="仿宋_GB2312"/>
          <w:color w:val="1A1A1A" w:themeColor="background1" w:themeShade="1A"/>
          <w:sz w:val="32"/>
          <w:szCs w:val="32"/>
        </w:rPr>
        <w:t>21</w:t>
      </w:r>
      <w:r>
        <w:rPr>
          <w:rFonts w:hint="eastAsia" w:eastAsia="仿宋_GB2312"/>
          <w:color w:val="1A1A1A" w:themeColor="background1" w:themeShade="1A"/>
          <w:sz w:val="32"/>
          <w:szCs w:val="32"/>
        </w:rPr>
        <w:t>条美丽幸福河湖。</w:t>
      </w:r>
      <w:r>
        <w:rPr>
          <w:rFonts w:hint="eastAsia" w:eastAsia="楷体_GB2312"/>
          <w:color w:val="1A1A1A" w:themeColor="background1" w:themeShade="1A"/>
          <w:sz w:val="32"/>
          <w:szCs w:val="32"/>
        </w:rPr>
        <w:t>（区发展改革局、区水务局、区住房城乡建设局、生态环境分局、区综合行政执法局、区自然资源局、区工业和信息化局、</w:t>
      </w:r>
      <w:r>
        <w:rPr>
          <w:rFonts w:hint="eastAsia" w:ascii="楷体_GB2312" w:eastAsia="楷体_GB2312" w:cs="楷体_GB2312"/>
          <w:color w:val="1A1A1A" w:themeColor="background1" w:themeShade="1A"/>
          <w:sz w:val="32"/>
          <w:szCs w:val="32"/>
        </w:rPr>
        <w:t>区农业农村局、区畜牧兽医事业发展中心、</w:t>
      </w:r>
      <w:r>
        <w:rPr>
          <w:rFonts w:hint="eastAsia" w:eastAsia="楷体_GB2312"/>
          <w:color w:val="1A1A1A" w:themeColor="background1" w:themeShade="1A"/>
          <w:sz w:val="32"/>
          <w:szCs w:val="32"/>
        </w:rPr>
        <w:t>区统计局等按职责分工负责）</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推进地表水与地下水协同防治。</w:t>
      </w:r>
      <w:r>
        <w:rPr>
          <w:rFonts w:eastAsia="仿宋_GB2312"/>
          <w:color w:val="1A1A1A" w:themeColor="background1" w:themeShade="1A"/>
          <w:sz w:val="32"/>
          <w:szCs w:val="32"/>
        </w:rPr>
        <w:t>统筹区域地表水、地下水生态环境监管要求，筛选典型区域开展地下水-地表水污染协同防治示范。加强煤矿开采区、化学品生产企业、工业聚集区等地下水与地表水水利交换较为频繁区域的环境风险防范。</w:t>
      </w:r>
      <w:r>
        <w:rPr>
          <w:rFonts w:hint="eastAsia" w:eastAsia="楷体_GB2312"/>
          <w:color w:val="1A1A1A" w:themeColor="background1" w:themeShade="1A"/>
          <w:sz w:val="32"/>
          <w:szCs w:val="32"/>
        </w:rPr>
        <w:t>（牵头单位：生态环境分局；配合单位：区水务局、区自然资源局、区工业和信息化局、区行政审批服务局）</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强化上下游联防联控。</w:t>
      </w:r>
      <w:r>
        <w:rPr>
          <w:rFonts w:eastAsia="仿宋_GB2312"/>
          <w:color w:val="1A1A1A" w:themeColor="background1" w:themeShade="1A"/>
          <w:sz w:val="32"/>
          <w:szCs w:val="32"/>
        </w:rPr>
        <w:t>形成流域上下游联合监测、联合执法、应急联动、信息共享的协同推进工作机制。建立健全跨界流域上下游突发水污染事件联防联控机制，加强研判预警、拦污控污、信息通报、协同处置、纠纷调处、基础保障等工作，防范重大生态环境风险，编制“一河一策一图”应急处置方案</w:t>
      </w:r>
      <w:r>
        <w:rPr>
          <w:rFonts w:hint="eastAsia" w:eastAsia="仿宋_GB2312"/>
          <w:color w:val="1A1A1A" w:themeColor="background1" w:themeShade="1A"/>
          <w:sz w:val="32"/>
          <w:szCs w:val="32"/>
        </w:rPr>
        <w:t>。</w:t>
      </w:r>
      <w:r>
        <w:rPr>
          <w:rFonts w:hint="eastAsia" w:eastAsia="楷体_GB2312"/>
          <w:color w:val="1A1A1A" w:themeColor="background1" w:themeShade="1A"/>
          <w:sz w:val="32"/>
          <w:szCs w:val="32"/>
        </w:rPr>
        <w:t>（牵头单位：生态环境分局；配合单位：区水务局）</w:t>
      </w:r>
    </w:p>
    <w:p>
      <w:pPr>
        <w:spacing w:line="590" w:lineRule="exact"/>
        <w:ind w:firstLine="642" w:firstLineChars="200"/>
        <w:rPr>
          <w:rFonts w:eastAsia="楷体_GB2312"/>
          <w:color w:val="1A1A1A" w:themeColor="background1" w:themeShade="1A"/>
          <w:sz w:val="32"/>
          <w:szCs w:val="32"/>
        </w:rPr>
      </w:pPr>
      <w:r>
        <w:rPr>
          <w:rFonts w:eastAsia="楷体_GB2312"/>
          <w:b/>
          <w:bCs/>
          <w:color w:val="1A1A1A" w:themeColor="background1" w:themeShade="1A"/>
          <w:sz w:val="32"/>
          <w:szCs w:val="32"/>
        </w:rPr>
        <w:t>深化地表水生态环境质量目标管理。</w:t>
      </w:r>
      <w:r>
        <w:rPr>
          <w:rFonts w:eastAsia="仿宋_GB2312"/>
          <w:color w:val="1A1A1A" w:themeColor="background1" w:themeShade="1A"/>
          <w:sz w:val="32"/>
          <w:szCs w:val="32"/>
        </w:rPr>
        <w:t>完善分区管理体系，实施分类分区管控，逐一排查</w:t>
      </w:r>
      <w:r>
        <w:rPr>
          <w:rFonts w:hint="eastAsia" w:eastAsia="仿宋_GB2312"/>
          <w:color w:val="1A1A1A" w:themeColor="background1" w:themeShade="1A"/>
          <w:sz w:val="32"/>
          <w:szCs w:val="32"/>
        </w:rPr>
        <w:t>国控、省控、市控、县控</w:t>
      </w:r>
      <w:r>
        <w:rPr>
          <w:rFonts w:eastAsia="仿宋_GB2312"/>
          <w:color w:val="1A1A1A" w:themeColor="background1" w:themeShade="1A"/>
          <w:sz w:val="32"/>
          <w:szCs w:val="32"/>
        </w:rPr>
        <w:t>断面水质达标状况。</w:t>
      </w:r>
      <w:r>
        <w:rPr>
          <w:rFonts w:hint="eastAsia" w:eastAsia="仿宋_GB2312"/>
          <w:color w:val="1A1A1A" w:themeColor="background1" w:themeShade="1A"/>
          <w:sz w:val="32"/>
          <w:szCs w:val="32"/>
        </w:rPr>
        <w:t>对</w:t>
      </w:r>
      <w:r>
        <w:rPr>
          <w:rFonts w:eastAsia="仿宋_GB2312"/>
          <w:color w:val="1A1A1A" w:themeColor="background1" w:themeShade="1A"/>
          <w:sz w:val="32"/>
          <w:szCs w:val="32"/>
        </w:rPr>
        <w:t>未达到水质目标要求的</w:t>
      </w:r>
      <w:r>
        <w:rPr>
          <w:rFonts w:hint="eastAsia" w:eastAsia="仿宋_GB2312"/>
          <w:color w:val="1A1A1A" w:themeColor="background1" w:themeShade="1A"/>
          <w:sz w:val="32"/>
          <w:szCs w:val="32"/>
        </w:rPr>
        <w:t>断面</w:t>
      </w:r>
      <w:r>
        <w:rPr>
          <w:rFonts w:eastAsia="仿宋_GB2312"/>
          <w:color w:val="1A1A1A" w:themeColor="background1" w:themeShade="1A"/>
          <w:sz w:val="32"/>
          <w:szCs w:val="32"/>
        </w:rPr>
        <w:t>，制定并实施限期达标方案。加强河湖水质监控、考核和责任追究。因地制宜采取有效措施，</w:t>
      </w:r>
      <w:r>
        <w:rPr>
          <w:rFonts w:hint="eastAsia" w:eastAsia="仿宋_GB2312"/>
          <w:color w:val="1A1A1A" w:themeColor="background1" w:themeShade="1A"/>
          <w:sz w:val="32"/>
          <w:szCs w:val="32"/>
        </w:rPr>
        <w:t>改善</w:t>
      </w:r>
      <w:r>
        <w:rPr>
          <w:rFonts w:eastAsia="仿宋_GB2312"/>
          <w:color w:val="1A1A1A" w:themeColor="background1" w:themeShade="1A"/>
          <w:sz w:val="32"/>
          <w:szCs w:val="32"/>
        </w:rPr>
        <w:t>城市水质指数。依托排污许可证，逐步实现“水体-入河湖排污口-排污管线-污染源”全链条管理的水污染物排放治理体系。</w:t>
      </w:r>
      <w:r>
        <w:rPr>
          <w:rFonts w:hint="eastAsia" w:eastAsia="仿宋_GB2312" w:cs="仿宋_GB2312"/>
          <w:color w:val="1A1A1A" w:themeColor="background1" w:themeShade="1A"/>
          <w:sz w:val="32"/>
          <w:szCs w:val="32"/>
        </w:rPr>
        <w:t>到</w:t>
      </w:r>
      <w:r>
        <w:rPr>
          <w:rFonts w:eastAsia="仿宋_GB2312"/>
          <w:color w:val="1A1A1A" w:themeColor="background1" w:themeShade="1A"/>
          <w:sz w:val="32"/>
          <w:szCs w:val="32"/>
        </w:rPr>
        <w:t>2023</w:t>
      </w:r>
      <w:r>
        <w:rPr>
          <w:rFonts w:hint="eastAsia" w:eastAsia="仿宋_GB2312" w:cs="仿宋_GB2312"/>
          <w:color w:val="1A1A1A" w:themeColor="background1" w:themeShade="1A"/>
          <w:sz w:val="32"/>
          <w:szCs w:val="32"/>
        </w:rPr>
        <w:t>年，国、省控考核断面水质优良（达到或优于</w:t>
      </w:r>
      <w:r>
        <w:rPr>
          <w:rFonts w:eastAsia="仿宋_GB2312"/>
          <w:color w:val="1A1A1A" w:themeColor="background1" w:themeShade="1A"/>
          <w:sz w:val="32"/>
          <w:szCs w:val="32"/>
        </w:rPr>
        <w:t>Ⅲ</w:t>
      </w:r>
      <w:r>
        <w:rPr>
          <w:rFonts w:hint="eastAsia" w:eastAsia="仿宋_GB2312" w:cs="仿宋_GB2312"/>
          <w:color w:val="1A1A1A" w:themeColor="background1" w:themeShade="1A"/>
          <w:sz w:val="32"/>
          <w:szCs w:val="32"/>
        </w:rPr>
        <w:t>类）比例达到</w:t>
      </w:r>
      <w:r>
        <w:rPr>
          <w:rFonts w:eastAsia="仿宋_GB2312"/>
          <w:color w:val="1A1A1A" w:themeColor="background1" w:themeShade="1A"/>
          <w:sz w:val="32"/>
          <w:szCs w:val="32"/>
        </w:rPr>
        <w:t>100%</w:t>
      </w:r>
      <w:r>
        <w:rPr>
          <w:rFonts w:hint="eastAsia" w:eastAsia="仿宋_GB2312" w:cs="仿宋_GB2312"/>
          <w:color w:val="1A1A1A" w:themeColor="background1" w:themeShade="1A"/>
          <w:sz w:val="32"/>
          <w:szCs w:val="32"/>
        </w:rPr>
        <w:t>。</w:t>
      </w:r>
      <w:r>
        <w:rPr>
          <w:rFonts w:hint="eastAsia" w:eastAsia="楷体_GB2312"/>
          <w:color w:val="1A1A1A" w:themeColor="background1" w:themeShade="1A"/>
          <w:sz w:val="32"/>
          <w:szCs w:val="32"/>
        </w:rPr>
        <w:t>（责任单位：生态环境分局）</w:t>
      </w:r>
    </w:p>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加强饮用水水源地保护</w:t>
      </w:r>
      <w:r>
        <w:rPr>
          <w:rFonts w:eastAsia="楷体_GB2312"/>
          <w:b/>
          <w:bCs/>
          <w:color w:val="1A1A1A" w:themeColor="background1" w:themeShade="1A"/>
          <w:sz w:val="32"/>
          <w:szCs w:val="32"/>
        </w:rPr>
        <w:t>。</w:t>
      </w:r>
      <w:r>
        <w:rPr>
          <w:rFonts w:hint="eastAsia" w:eastAsia="仿宋_GB2312" w:cs="仿宋_GB2312"/>
          <w:color w:val="1A1A1A" w:themeColor="background1" w:themeShade="1A"/>
          <w:sz w:val="32"/>
          <w:szCs w:val="32"/>
        </w:rPr>
        <w:t>深入推进饮用水水源地规范化管理，剔除地质环境影响后，区级城市集中式饮用水水源水质均达到或优于</w:t>
      </w:r>
      <w:r>
        <w:rPr>
          <w:rFonts w:eastAsia="仿宋_GB2312"/>
          <w:color w:val="1A1A1A" w:themeColor="background1" w:themeShade="1A"/>
          <w:sz w:val="32"/>
          <w:szCs w:val="32"/>
        </w:rPr>
        <w:t>Ш</w:t>
      </w:r>
      <w:r>
        <w:rPr>
          <w:rFonts w:hint="eastAsia" w:eastAsia="仿宋_GB2312" w:cs="仿宋_GB2312"/>
          <w:color w:val="1A1A1A" w:themeColor="background1" w:themeShade="1A"/>
          <w:sz w:val="32"/>
          <w:szCs w:val="32"/>
        </w:rPr>
        <w:t>类。加强农村水源地保护，</w:t>
      </w:r>
      <w:r>
        <w:rPr>
          <w:rFonts w:hint="eastAsia" w:eastAsia="仿宋_GB2312"/>
          <w:color w:val="1A1A1A" w:themeColor="background1" w:themeShade="1A"/>
          <w:sz w:val="32"/>
          <w:szCs w:val="32"/>
        </w:rPr>
        <w:t>2025年年底前，</w:t>
      </w:r>
      <w:r>
        <w:rPr>
          <w:rFonts w:hint="eastAsia" w:eastAsia="仿宋_GB2312" w:cs="仿宋_GB2312"/>
          <w:color w:val="1A1A1A" w:themeColor="background1" w:themeShade="1A"/>
          <w:sz w:val="32"/>
          <w:szCs w:val="32"/>
        </w:rPr>
        <w:t>完成</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千吨万人</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农村饮用水水源保护区勘界立标。</w:t>
      </w:r>
      <w:r>
        <w:rPr>
          <w:rFonts w:hint="eastAsia" w:eastAsia="仿宋_GB2312"/>
          <w:color w:val="1A1A1A" w:themeColor="background1" w:themeShade="1A"/>
          <w:sz w:val="32"/>
          <w:szCs w:val="32"/>
        </w:rPr>
        <w:t>加强“千吨万人”农村饮用水水源水质监测，健全部门间监测数据共享机制。加大饮用水水源、供水单位供水和用户水龙头出水等饮用水安全状况信息公开力度。健全集中式饮用水水源地环境管理档案。加强重点水源和城市应急备用水源工程建设。开展水源地新污染物监测和防控研究，探索开展生物综合毒性预警监测试点。提升饮用水水源水质保障水平，2025年年底前，区级城市饮用水水源水质达标率达到100%。</w:t>
      </w:r>
      <w:r>
        <w:rPr>
          <w:rFonts w:hint="eastAsia" w:eastAsia="楷体_GB2312"/>
          <w:color w:val="1A1A1A" w:themeColor="background1" w:themeShade="1A"/>
          <w:sz w:val="32"/>
          <w:szCs w:val="32"/>
        </w:rPr>
        <w:t>（生态环境分局、区水务局、区自然资源局、区卫生健康局等按职责分工负责）</w:t>
      </w:r>
    </w:p>
    <w:p>
      <w:pPr>
        <w:spacing w:line="590" w:lineRule="exact"/>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加强黄河流域水生态保护治理。</w:t>
      </w:r>
      <w:r>
        <w:rPr>
          <w:rFonts w:hint="eastAsia" w:eastAsia="仿宋_GB2312" w:cs="仿宋_GB2312"/>
          <w:color w:val="1A1A1A" w:themeColor="background1" w:themeShade="1A"/>
          <w:sz w:val="32"/>
          <w:szCs w:val="32"/>
        </w:rPr>
        <w:t>出台《济宁市兖州区</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十四五</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推动黄河流域生态保护和高质量发展实施方案》《济宁市兖州区推进黄河流域生态保护和高质量发展</w:t>
      </w:r>
      <w:r>
        <w:rPr>
          <w:rFonts w:eastAsia="仿宋_GB2312"/>
          <w:color w:val="1A1A1A" w:themeColor="background1" w:themeShade="1A"/>
          <w:sz w:val="32"/>
          <w:szCs w:val="32"/>
        </w:rPr>
        <w:t>2022</w:t>
      </w:r>
      <w:r>
        <w:rPr>
          <w:rFonts w:hint="eastAsia" w:eastAsia="仿宋_GB2312" w:cs="仿宋_GB2312"/>
          <w:color w:val="1A1A1A" w:themeColor="background1" w:themeShade="1A"/>
          <w:sz w:val="32"/>
          <w:szCs w:val="32"/>
        </w:rPr>
        <w:t>年工作要点》，统筹推进黄河流域生态保护和高质量发展。</w:t>
      </w:r>
      <w:r>
        <w:rPr>
          <w:rFonts w:hint="eastAsia" w:eastAsia="楷体_GB2312"/>
          <w:color w:val="1A1A1A" w:themeColor="background1" w:themeShade="1A"/>
          <w:sz w:val="32"/>
          <w:szCs w:val="32"/>
        </w:rPr>
        <w:t>（责任单位：区发展改革局）</w:t>
      </w:r>
      <w:r>
        <w:rPr>
          <w:rFonts w:hint="eastAsia" w:eastAsia="仿宋_GB2312" w:cs="仿宋_GB2312"/>
          <w:color w:val="1A1A1A" w:themeColor="background1" w:themeShade="1A"/>
          <w:sz w:val="32"/>
          <w:szCs w:val="32"/>
        </w:rPr>
        <w:t>强化黄河流域</w:t>
      </w:r>
      <w:bookmarkStart w:id="51" w:name="_Hlk115928028"/>
      <w:r>
        <w:rPr>
          <w:rFonts w:hint="eastAsia" w:eastAsia="仿宋_GB2312" w:cs="仿宋_GB2312"/>
          <w:color w:val="1A1A1A" w:themeColor="background1" w:themeShade="1A"/>
          <w:sz w:val="32"/>
          <w:szCs w:val="32"/>
        </w:rPr>
        <w:t>生态保护治理</w:t>
      </w:r>
      <w:bookmarkEnd w:id="51"/>
      <w:r>
        <w:rPr>
          <w:rFonts w:hint="eastAsia" w:eastAsia="仿宋_GB2312" w:cs="仿宋_GB2312"/>
          <w:color w:val="1A1A1A" w:themeColor="background1" w:themeShade="1A"/>
          <w:sz w:val="32"/>
          <w:szCs w:val="32"/>
        </w:rPr>
        <w:t>，全面落实以水定城、以水定地、以水定人、以水定产要求，实施深度节水、控水行动，严控高耗水行业发展。加强城镇污水处理设施及配套管网建设，完成黄河流域排污口整治。</w:t>
      </w:r>
      <w:r>
        <w:rPr>
          <w:rFonts w:hint="eastAsia" w:eastAsia="楷体_GB2312" w:cs="楷体_GB2312"/>
          <w:color w:val="1A1A1A" w:themeColor="background1" w:themeShade="1A"/>
          <w:sz w:val="32"/>
          <w:szCs w:val="32"/>
        </w:rPr>
        <w:t>（生态环境分局、区水务局、区住房城乡建设局、区农业农村局、区发展改革局</w:t>
      </w:r>
      <w:r>
        <w:rPr>
          <w:rFonts w:hint="eastAsia" w:eastAsia="楷体_GB2312"/>
          <w:color w:val="1A1A1A" w:themeColor="background1" w:themeShade="1A"/>
          <w:sz w:val="32"/>
          <w:szCs w:val="32"/>
        </w:rPr>
        <w:t>等按职责分工负责</w:t>
      </w:r>
      <w:r>
        <w:rPr>
          <w:rFonts w:hint="eastAsia" w:eastAsia="楷体_GB2312" w:cs="楷体_GB2312"/>
          <w:color w:val="1A1A1A" w:themeColor="background1" w:themeShade="1A"/>
          <w:sz w:val="32"/>
          <w:szCs w:val="32"/>
        </w:rPr>
        <w:t>）</w:t>
      </w:r>
      <w:r>
        <w:rPr>
          <w:rFonts w:hint="eastAsia" w:eastAsia="仿宋_GB2312" w:cs="仿宋_GB2312"/>
          <w:color w:val="1A1A1A" w:themeColor="background1" w:themeShade="1A"/>
          <w:sz w:val="32"/>
          <w:szCs w:val="32"/>
        </w:rPr>
        <w:t>梳理形成需新建人工湿地清单，加快实施人工湿地建设，推进水生态保护与修复。在河道两侧滩地建设集面源污染拦截、雨水资源涵养、生态修复等功能于一体的缓冲带，到</w:t>
      </w:r>
      <w:r>
        <w:rPr>
          <w:rFonts w:eastAsia="仿宋_GB2312"/>
          <w:color w:val="1A1A1A" w:themeColor="background1" w:themeShade="1A"/>
          <w:sz w:val="32"/>
          <w:szCs w:val="32"/>
        </w:rPr>
        <w:t>2025</w:t>
      </w:r>
      <w:r>
        <w:rPr>
          <w:rFonts w:hint="eastAsia" w:eastAsia="仿宋_GB2312" w:cs="仿宋_GB2312"/>
          <w:color w:val="1A1A1A" w:themeColor="background1" w:themeShade="1A"/>
          <w:sz w:val="32"/>
          <w:szCs w:val="32"/>
        </w:rPr>
        <w:t>年，完成市级要求的缓冲带修复或建设任务。建立人工湿地水质净化工程及缓冲带运营管护长效机制，保障生态保护与修复工程运营效果。</w:t>
      </w:r>
      <w:r>
        <w:rPr>
          <w:rFonts w:hint="eastAsia" w:eastAsia="楷体_GB2312" w:cs="楷体_GB2312"/>
          <w:color w:val="1A1A1A" w:themeColor="background1" w:themeShade="1A"/>
          <w:sz w:val="32"/>
          <w:szCs w:val="32"/>
        </w:rPr>
        <w:t>（生态环境分局、区财政局、区水务局、区住房城乡建设局</w:t>
      </w:r>
      <w:r>
        <w:rPr>
          <w:rFonts w:hint="eastAsia" w:eastAsia="楷体_GB2312"/>
          <w:color w:val="1A1A1A" w:themeColor="background1" w:themeShade="1A"/>
          <w:sz w:val="32"/>
          <w:szCs w:val="32"/>
        </w:rPr>
        <w:t>等按职责分工负责</w:t>
      </w:r>
      <w:r>
        <w:rPr>
          <w:rFonts w:hint="eastAsia" w:eastAsia="楷体_GB2312" w:cs="楷体_GB2312"/>
          <w:color w:val="1A1A1A" w:themeColor="background1" w:themeShade="1A"/>
          <w:sz w:val="32"/>
          <w:szCs w:val="32"/>
        </w:rPr>
        <w:t>）</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52" w:name="_Toc71552492"/>
      <w:bookmarkStart w:id="53" w:name="_Toc116030724"/>
      <w:r>
        <w:rPr>
          <w:rFonts w:eastAsia="楷体_GB2312"/>
          <w:b/>
          <w:color w:val="1A1A1A" w:themeColor="background1" w:themeShade="1A"/>
          <w:sz w:val="32"/>
          <w:szCs w:val="32"/>
        </w:rPr>
        <w:t>第二节</w:t>
      </w:r>
      <w:bookmarkEnd w:id="52"/>
      <w:bookmarkStart w:id="54" w:name="_Toc71552493"/>
      <w:r>
        <w:rPr>
          <w:rFonts w:eastAsia="楷体_GB2312"/>
          <w:b/>
          <w:color w:val="1A1A1A" w:themeColor="background1" w:themeShade="1A"/>
          <w:sz w:val="32"/>
          <w:szCs w:val="32"/>
        </w:rPr>
        <w:t xml:space="preserve">  深化水污染防治</w:t>
      </w:r>
      <w:bookmarkEnd w:id="53"/>
      <w:bookmarkEnd w:id="54"/>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实施入河排污口分类整治。</w:t>
      </w:r>
      <w:r>
        <w:rPr>
          <w:rFonts w:hint="eastAsia" w:eastAsia="仿宋_GB2312"/>
          <w:color w:val="1A1A1A" w:themeColor="background1" w:themeShade="1A"/>
          <w:sz w:val="32"/>
          <w:szCs w:val="32"/>
        </w:rPr>
        <w:t>深入开展县控及以上断面所在河流入河排污（水）口溯源整理及规范化管理工作，逐一明确入河排污（水）口责任主体。制定“一口一策”整治方案，实施入河排污（水）口分类整治。建立排污口整治销号制度，加强日常监督管理。2023年年底前，完成44个入河排污（水）口整治任务。</w:t>
      </w:r>
      <w:r>
        <w:rPr>
          <w:rFonts w:hint="eastAsia" w:eastAsia="楷体_GB2312"/>
          <w:color w:val="1A1A1A" w:themeColor="background1" w:themeShade="1A"/>
          <w:sz w:val="32"/>
          <w:szCs w:val="32"/>
        </w:rPr>
        <w:t>（牵头单位：生态环境分局；配合单位：区水务局、区住房城乡建设局、区农业农村局）</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狠抓工业污染防治。</w:t>
      </w:r>
      <w:r>
        <w:rPr>
          <w:rFonts w:eastAsia="仿宋_GB2312"/>
          <w:color w:val="1A1A1A" w:themeColor="background1" w:themeShade="1A"/>
          <w:sz w:val="32"/>
          <w:szCs w:val="32"/>
        </w:rPr>
        <w:t>严格执行</w:t>
      </w:r>
      <w:r>
        <w:rPr>
          <w:rFonts w:hint="eastAsia" w:eastAsia="仿宋_GB2312"/>
          <w:color w:val="1A1A1A" w:themeColor="background1" w:themeShade="1A"/>
          <w:sz w:val="32"/>
          <w:szCs w:val="32"/>
        </w:rPr>
        <w:t>南四湖流域</w:t>
      </w:r>
      <w:r>
        <w:rPr>
          <w:rFonts w:eastAsia="仿宋_GB2312"/>
          <w:color w:val="1A1A1A" w:themeColor="background1" w:themeShade="1A"/>
          <w:sz w:val="32"/>
          <w:szCs w:val="32"/>
        </w:rPr>
        <w:t>水污染物综合排放标准，加强全盐量、硫酸盐、氟化物等特征污染物治理。推进化工等工业园区雨污分流改造和初期雨水收集处理。加大现有工业园区整治力度，全面推进工业园区污水处理设施建设和污水管网排查整治。鼓励</w:t>
      </w:r>
      <w:r>
        <w:rPr>
          <w:rFonts w:hint="eastAsia" w:eastAsia="仿宋_GB2312"/>
          <w:color w:val="1A1A1A" w:themeColor="background1" w:themeShade="1A"/>
          <w:sz w:val="32"/>
          <w:szCs w:val="32"/>
        </w:rPr>
        <w:t>化工</w:t>
      </w:r>
      <w:r>
        <w:rPr>
          <w:rFonts w:eastAsia="仿宋_GB2312"/>
          <w:color w:val="1A1A1A" w:themeColor="background1" w:themeShade="1A"/>
          <w:sz w:val="32"/>
          <w:szCs w:val="32"/>
        </w:rPr>
        <w:t>园区实施化工企业废水“一企一管、明管输送、实时监测、统一调度”，实现园区集中污水处理设施第一时间锁定超标来水源头，及时有效处理处置。鼓励有条件的园区引进“环保管家”服务，提供定制化、全产业链的第三方环保服务，实现园区污水精细化、专业化管理。</w:t>
      </w:r>
      <w:r>
        <w:rPr>
          <w:rFonts w:hint="eastAsia" w:eastAsia="楷体_GB2312"/>
          <w:color w:val="1A1A1A" w:themeColor="background1" w:themeShade="1A"/>
          <w:sz w:val="32"/>
          <w:szCs w:val="32"/>
        </w:rPr>
        <w:t>（区发展改革局、区工业和信息化局、生态环境分局按职责分工负责）</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加快</w:t>
      </w:r>
      <w:r>
        <w:rPr>
          <w:rFonts w:hint="eastAsia" w:eastAsia="楷体_GB2312"/>
          <w:b/>
          <w:bCs/>
          <w:color w:val="1A1A1A" w:themeColor="background1" w:themeShade="1A"/>
          <w:sz w:val="32"/>
          <w:szCs w:val="32"/>
        </w:rPr>
        <w:t>城镇水污染防治</w:t>
      </w:r>
      <w:r>
        <w:rPr>
          <w:rFonts w:eastAsia="楷体_GB2312"/>
          <w:b/>
          <w:bCs/>
          <w:color w:val="1A1A1A" w:themeColor="background1" w:themeShade="1A"/>
          <w:sz w:val="32"/>
          <w:szCs w:val="32"/>
        </w:rPr>
        <w:t>。</w:t>
      </w:r>
      <w:r>
        <w:rPr>
          <w:rFonts w:hint="eastAsia" w:eastAsia="仿宋_GB2312" w:cs="仿宋_GB2312"/>
          <w:color w:val="1A1A1A" w:themeColor="background1" w:themeShade="1A"/>
          <w:sz w:val="32"/>
          <w:szCs w:val="32"/>
        </w:rPr>
        <w:t>开展城镇生活污水处理设施能力评估，开展差别化精准提标，提升污水处理能力并适度超前。加强建制镇生活污水收集处理设施建设，并实现稳定运行，到</w:t>
      </w:r>
      <w:r>
        <w:rPr>
          <w:rFonts w:eastAsia="仿宋_GB2312"/>
          <w:color w:val="1A1A1A" w:themeColor="background1" w:themeShade="1A"/>
          <w:sz w:val="32"/>
          <w:szCs w:val="32"/>
        </w:rPr>
        <w:t>2023</w:t>
      </w:r>
      <w:r>
        <w:rPr>
          <w:rFonts w:hint="eastAsia" w:eastAsia="仿宋_GB2312" w:cs="仿宋_GB2312"/>
          <w:color w:val="1A1A1A" w:themeColor="background1" w:themeShade="1A"/>
          <w:sz w:val="32"/>
          <w:szCs w:val="32"/>
        </w:rPr>
        <w:t>年，建制镇生活污水处理率达到</w:t>
      </w:r>
      <w:r>
        <w:rPr>
          <w:rFonts w:eastAsia="仿宋_GB2312"/>
          <w:color w:val="1A1A1A" w:themeColor="background1" w:themeShade="1A"/>
          <w:sz w:val="32"/>
          <w:szCs w:val="32"/>
        </w:rPr>
        <w:t>85%</w:t>
      </w:r>
      <w:r>
        <w:rPr>
          <w:rFonts w:hint="eastAsia" w:eastAsia="仿宋_GB2312" w:cs="仿宋_GB2312"/>
          <w:color w:val="1A1A1A" w:themeColor="background1" w:themeShade="1A"/>
          <w:sz w:val="32"/>
          <w:szCs w:val="32"/>
        </w:rPr>
        <w:t>以上。</w:t>
      </w:r>
      <w:r>
        <w:rPr>
          <w:rFonts w:hint="eastAsia" w:eastAsia="楷体_GB2312" w:cs="楷体_GB2312"/>
          <w:color w:val="1A1A1A" w:themeColor="background1" w:themeShade="1A"/>
          <w:sz w:val="32"/>
          <w:szCs w:val="32"/>
        </w:rPr>
        <w:t>（</w:t>
      </w:r>
      <w:r>
        <w:rPr>
          <w:rFonts w:hint="eastAsia" w:eastAsia="楷体_GB2312"/>
          <w:color w:val="1A1A1A" w:themeColor="background1" w:themeShade="1A"/>
          <w:sz w:val="32"/>
          <w:szCs w:val="32"/>
        </w:rPr>
        <w:t>责任单位：区住房城乡建设局</w:t>
      </w:r>
      <w:r>
        <w:rPr>
          <w:rFonts w:hint="eastAsia" w:eastAsia="楷体_GB2312" w:cs="楷体_GB2312"/>
          <w:color w:val="1A1A1A" w:themeColor="background1" w:themeShade="1A"/>
          <w:sz w:val="32"/>
          <w:szCs w:val="32"/>
        </w:rPr>
        <w:t>）</w:t>
      </w:r>
      <w:r>
        <w:rPr>
          <w:rFonts w:hint="eastAsia" w:eastAsia="仿宋_GB2312" w:cs="仿宋_GB2312"/>
          <w:color w:val="1A1A1A" w:themeColor="background1" w:themeShade="1A"/>
          <w:sz w:val="32"/>
          <w:szCs w:val="32"/>
        </w:rPr>
        <w:t>实施</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两个清零、一个提标</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行动。全面开展雨污合流管网排查，科学改造城区</w:t>
      </w:r>
      <w:r>
        <w:rPr>
          <w:rFonts w:eastAsia="仿宋_GB2312"/>
          <w:color w:val="1A1A1A" w:themeColor="background1" w:themeShade="1A"/>
          <w:sz w:val="32"/>
          <w:szCs w:val="32"/>
        </w:rPr>
        <w:t>70</w:t>
      </w:r>
      <w:r>
        <w:rPr>
          <w:rFonts w:hint="eastAsia" w:eastAsia="仿宋_GB2312" w:cs="仿宋_GB2312"/>
          <w:color w:val="1A1A1A" w:themeColor="background1" w:themeShade="1A"/>
          <w:sz w:val="32"/>
          <w:szCs w:val="32"/>
        </w:rPr>
        <w:t>条道路</w:t>
      </w:r>
      <w:r>
        <w:rPr>
          <w:rFonts w:eastAsia="仿宋_GB2312"/>
          <w:color w:val="1A1A1A" w:themeColor="background1" w:themeShade="1A"/>
          <w:sz w:val="32"/>
          <w:szCs w:val="32"/>
        </w:rPr>
        <w:t>61.9</w:t>
      </w:r>
      <w:r>
        <w:rPr>
          <w:rFonts w:hint="eastAsia" w:eastAsia="仿宋_GB2312" w:cs="仿宋_GB2312"/>
          <w:color w:val="1A1A1A" w:themeColor="background1" w:themeShade="1A"/>
          <w:sz w:val="32"/>
          <w:szCs w:val="32"/>
        </w:rPr>
        <w:t>公里雨污合流管网，</w:t>
      </w:r>
      <w:r>
        <w:rPr>
          <w:rFonts w:eastAsia="仿宋_GB2312"/>
          <w:color w:val="1A1A1A" w:themeColor="background1" w:themeShade="1A"/>
          <w:sz w:val="32"/>
          <w:szCs w:val="32"/>
        </w:rPr>
        <w:t>202</w:t>
      </w:r>
      <w:r>
        <w:rPr>
          <w:rFonts w:hint="eastAsia" w:eastAsia="仿宋_GB2312"/>
          <w:color w:val="1A1A1A" w:themeColor="background1" w:themeShade="1A"/>
          <w:sz w:val="32"/>
          <w:szCs w:val="32"/>
        </w:rPr>
        <w:t>3</w:t>
      </w:r>
      <w:r>
        <w:rPr>
          <w:rFonts w:hint="eastAsia" w:eastAsia="仿宋_GB2312" w:cs="仿宋_GB2312"/>
          <w:color w:val="1A1A1A" w:themeColor="background1" w:themeShade="1A"/>
          <w:sz w:val="32"/>
          <w:szCs w:val="32"/>
        </w:rPr>
        <w:t>年年底前实现城区雨污合流道路</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清零</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。全区城市污水处理厂完成提标改造年度任务。</w:t>
      </w:r>
      <w:r>
        <w:rPr>
          <w:rFonts w:hint="eastAsia" w:eastAsia="楷体_GB2312"/>
          <w:color w:val="1A1A1A" w:themeColor="background1" w:themeShade="1A"/>
          <w:sz w:val="32"/>
          <w:szCs w:val="32"/>
        </w:rPr>
        <w:t>（区住房城乡建设局、区综合行政执法局按职责分工负责）</w:t>
      </w:r>
      <w:r>
        <w:rPr>
          <w:rFonts w:hint="eastAsia" w:eastAsia="仿宋_GB2312"/>
          <w:color w:val="1A1A1A" w:themeColor="background1" w:themeShade="1A"/>
          <w:sz w:val="32"/>
          <w:szCs w:val="32"/>
        </w:rPr>
        <w:t>巩固城市建成区黑臭水体治理成果，建立城市建成区黑臭水体清单动态调整机制，及时将反弹的和新发现的黑臭水体纳入清单督促治理。加快建成区黑臭水体治理和评估工作，每季度向社会公开治理进展情况。</w:t>
      </w:r>
      <w:r>
        <w:rPr>
          <w:rFonts w:hint="eastAsia" w:eastAsia="楷体_GB2312"/>
          <w:color w:val="1A1A1A" w:themeColor="background1" w:themeShade="1A"/>
          <w:sz w:val="32"/>
          <w:szCs w:val="32"/>
        </w:rPr>
        <w:t>（区综合行政执法局、区水务局、生态环境分局按职责分工负责）</w:t>
      </w:r>
      <w:r>
        <w:rPr>
          <w:rFonts w:eastAsia="仿宋_GB2312"/>
          <w:color w:val="1A1A1A" w:themeColor="background1" w:themeShade="1A"/>
          <w:sz w:val="32"/>
          <w:szCs w:val="32"/>
        </w:rPr>
        <w:t>推广污泥无害化处理和资源化利用。2025</w:t>
      </w:r>
      <w:r>
        <w:rPr>
          <w:rFonts w:hint="eastAsia" w:eastAsia="仿宋_GB2312"/>
          <w:color w:val="1A1A1A" w:themeColor="background1" w:themeShade="1A"/>
          <w:sz w:val="32"/>
          <w:szCs w:val="32"/>
        </w:rPr>
        <w:t>年</w:t>
      </w:r>
      <w:r>
        <w:rPr>
          <w:rFonts w:eastAsia="仿宋_GB2312"/>
          <w:color w:val="1A1A1A" w:themeColor="background1" w:themeShade="1A"/>
          <w:sz w:val="32"/>
          <w:szCs w:val="32"/>
        </w:rPr>
        <w:t>年底前，城市污泥无害化处置率达到90%以上。</w:t>
      </w:r>
      <w:r>
        <w:rPr>
          <w:rFonts w:hint="eastAsia" w:eastAsia="楷体_GB2312"/>
          <w:color w:val="1A1A1A" w:themeColor="background1" w:themeShade="1A"/>
          <w:sz w:val="32"/>
          <w:szCs w:val="32"/>
        </w:rPr>
        <w:t>（牵头单位：</w:t>
      </w:r>
      <w:bookmarkStart w:id="55" w:name="_Hlk116021070"/>
      <w:r>
        <w:rPr>
          <w:rFonts w:hint="eastAsia" w:eastAsia="楷体_GB2312"/>
          <w:color w:val="1A1A1A" w:themeColor="background1" w:themeShade="1A"/>
          <w:sz w:val="32"/>
          <w:szCs w:val="32"/>
        </w:rPr>
        <w:t>区住房城乡建设局</w:t>
      </w:r>
      <w:bookmarkEnd w:id="55"/>
      <w:r>
        <w:rPr>
          <w:rFonts w:hint="eastAsia" w:eastAsia="楷体_GB2312"/>
          <w:color w:val="1A1A1A" w:themeColor="background1" w:themeShade="1A"/>
          <w:sz w:val="32"/>
          <w:szCs w:val="32"/>
        </w:rPr>
        <w:t>）</w:t>
      </w:r>
    </w:p>
    <w:p>
      <w:pPr>
        <w:pStyle w:val="46"/>
        <w:spacing w:line="360" w:lineRule="auto"/>
        <w:ind w:firstLine="643"/>
        <w:rPr>
          <w:rFonts w:ascii="楷体_GB2312" w:eastAsia="楷体_GB2312"/>
          <w:color w:val="1A1A1A" w:themeColor="background1" w:themeShade="1A"/>
          <w:kern w:val="0"/>
          <w:sz w:val="32"/>
          <w:szCs w:val="32"/>
        </w:rPr>
      </w:pPr>
      <w:r>
        <w:rPr>
          <w:rFonts w:hint="eastAsia" w:eastAsia="楷体_GB2312"/>
          <w:b/>
          <w:bCs/>
          <w:color w:val="1A1A1A" w:themeColor="background1" w:themeShade="1A"/>
          <w:sz w:val="32"/>
          <w:szCs w:val="32"/>
        </w:rPr>
        <w:t>加强面源污染治理。</w:t>
      </w:r>
      <w:r>
        <w:rPr>
          <w:rFonts w:eastAsia="仿宋_GB2312"/>
          <w:color w:val="1A1A1A" w:themeColor="background1" w:themeShade="1A"/>
          <w:sz w:val="32"/>
          <w:szCs w:val="32"/>
        </w:rPr>
        <w:t>推进</w:t>
      </w:r>
      <w:r>
        <w:rPr>
          <w:rFonts w:hint="eastAsia" w:eastAsia="仿宋_GB2312"/>
          <w:color w:val="1A1A1A" w:themeColor="background1" w:themeShade="1A"/>
          <w:sz w:val="32"/>
          <w:szCs w:val="32"/>
        </w:rPr>
        <w:t>沿河</w:t>
      </w:r>
      <w:r>
        <w:rPr>
          <w:rFonts w:eastAsia="仿宋_GB2312"/>
          <w:color w:val="1A1A1A" w:themeColor="background1" w:themeShade="1A"/>
          <w:sz w:val="32"/>
          <w:szCs w:val="32"/>
        </w:rPr>
        <w:t>农业面源污染</w:t>
      </w:r>
      <w:r>
        <w:rPr>
          <w:rFonts w:hint="eastAsia" w:eastAsia="仿宋_GB2312"/>
          <w:color w:val="1A1A1A" w:themeColor="background1" w:themeShade="1A"/>
          <w:sz w:val="32"/>
          <w:szCs w:val="32"/>
        </w:rPr>
        <w:t>综合整治</w:t>
      </w:r>
      <w:r>
        <w:rPr>
          <w:rFonts w:eastAsia="仿宋_GB2312"/>
          <w:color w:val="1A1A1A" w:themeColor="background1" w:themeShade="1A"/>
          <w:sz w:val="32"/>
          <w:szCs w:val="32"/>
        </w:rPr>
        <w:t>。</w:t>
      </w:r>
      <w:r>
        <w:rPr>
          <w:rFonts w:hint="eastAsia" w:eastAsia="仿宋_GB2312"/>
          <w:color w:val="1A1A1A" w:themeColor="background1" w:themeShade="1A"/>
          <w:sz w:val="32"/>
          <w:szCs w:val="32"/>
        </w:rPr>
        <w:t>落实济宁市农业面源污染综合整治实施方案，推进畜禽粪污资源化利用。</w:t>
      </w:r>
      <w:r>
        <w:rPr>
          <w:rFonts w:eastAsia="仿宋_GB2312"/>
          <w:color w:val="1A1A1A" w:themeColor="background1" w:themeShade="1A"/>
          <w:sz w:val="32"/>
          <w:szCs w:val="32"/>
        </w:rPr>
        <w:t>积极创建国家级农业面源污染综合治理示范县。结合河长制，开展汛前沿河垃圾、农作物秸秆、畜禽粪污堆放点清理整治。</w:t>
      </w:r>
      <w:r>
        <w:rPr>
          <w:rFonts w:hint="eastAsia" w:eastAsia="楷体_GB2312"/>
          <w:color w:val="1A1A1A" w:themeColor="background1" w:themeShade="1A"/>
          <w:sz w:val="32"/>
          <w:szCs w:val="32"/>
        </w:rPr>
        <w:t>（区农业农村局、区畜牧兽医事业发展中心、生态环境分局按职责分工负责）</w:t>
      </w:r>
      <w:r>
        <w:rPr>
          <w:rFonts w:hint="eastAsia" w:eastAsia="仿宋_GB2312" w:cs="仿宋_GB2312"/>
          <w:color w:val="1A1A1A" w:themeColor="background1" w:themeShade="1A"/>
          <w:sz w:val="32"/>
          <w:szCs w:val="32"/>
        </w:rPr>
        <w:t>控制城市面源污染。加强洗车、餐饮、洗涤等单位排污管理，对排水管网、检查井、城区河道定期开展清淤疏浚。</w:t>
      </w:r>
      <w:r>
        <w:rPr>
          <w:rFonts w:hint="eastAsia" w:eastAsia="楷体_GB2312"/>
          <w:color w:val="1A1A1A" w:themeColor="background1" w:themeShade="1A"/>
          <w:sz w:val="32"/>
          <w:szCs w:val="32"/>
        </w:rPr>
        <w:t>（责任单位：区综合行政执法局）</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56" w:name="_Toc116030725"/>
      <w:bookmarkStart w:id="57" w:name="_Toc71552494"/>
      <w:r>
        <w:rPr>
          <w:rFonts w:eastAsia="楷体_GB2312"/>
          <w:b/>
          <w:color w:val="1A1A1A" w:themeColor="background1" w:themeShade="1A"/>
          <w:sz w:val="32"/>
          <w:szCs w:val="32"/>
        </w:rPr>
        <w:t>第</w:t>
      </w:r>
      <w:r>
        <w:rPr>
          <w:rFonts w:hint="eastAsia" w:eastAsia="楷体_GB2312"/>
          <w:b/>
          <w:color w:val="1A1A1A" w:themeColor="background1" w:themeShade="1A"/>
          <w:sz w:val="32"/>
          <w:szCs w:val="32"/>
        </w:rPr>
        <w:t>三</w:t>
      </w:r>
      <w:r>
        <w:rPr>
          <w:rFonts w:eastAsia="楷体_GB2312"/>
          <w:b/>
          <w:color w:val="1A1A1A" w:themeColor="background1" w:themeShade="1A"/>
          <w:sz w:val="32"/>
          <w:szCs w:val="32"/>
        </w:rPr>
        <w:t>节  强化生态需水保障</w:t>
      </w:r>
      <w:bookmarkEnd w:id="56"/>
      <w:bookmarkEnd w:id="57"/>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实施节水行动。</w:t>
      </w:r>
      <w:r>
        <w:rPr>
          <w:rFonts w:eastAsia="仿宋_GB2312"/>
          <w:color w:val="1A1A1A" w:themeColor="background1" w:themeShade="1A"/>
          <w:sz w:val="32"/>
          <w:szCs w:val="32"/>
        </w:rPr>
        <w:t>扩大节水灌溉规模，发展节水种植。严格电力、造纸、化工、食品和发酵等高耗水行业用水管理，推进企业和园区串联用水、分质用水、一水多用。严格高耗水行业用水定额管理，洗浴、洗车、游泳馆、洗涤、宾馆等行业，积极推广低耗水、循环用水等节水技术、设备和工艺。加强城镇供水管网检漏和更新改造，推进供水管网分区计量管理。</w:t>
      </w:r>
      <w:r>
        <w:rPr>
          <w:rFonts w:hint="eastAsia" w:eastAsia="仿宋_GB2312" w:cs="仿宋_GB2312"/>
          <w:color w:val="1A1A1A" w:themeColor="background1" w:themeShade="1A"/>
          <w:sz w:val="32"/>
          <w:szCs w:val="32"/>
        </w:rPr>
        <w:t>深化水价机制改革，推行节水奖励制度，进一步提高节水型社会达标县建设水平。</w:t>
      </w:r>
      <w:r>
        <w:rPr>
          <w:rFonts w:eastAsia="仿宋_GB2312"/>
          <w:color w:val="1A1A1A" w:themeColor="background1" w:themeShade="1A"/>
          <w:sz w:val="32"/>
          <w:szCs w:val="32"/>
        </w:rPr>
        <w:t>积极开展节水示范建设，推动节水型企业、校园等各类节水载体建设。</w:t>
      </w:r>
      <w:r>
        <w:rPr>
          <w:rFonts w:hint="eastAsia" w:eastAsia="楷体_GB2312"/>
          <w:color w:val="1A1A1A" w:themeColor="background1" w:themeShade="1A"/>
          <w:sz w:val="32"/>
          <w:szCs w:val="32"/>
        </w:rPr>
        <w:t>（区发展改革局、区住房城乡建设局、区水务局、区工业和信息化局、区农业农村局</w:t>
      </w:r>
      <w:r>
        <w:rPr>
          <w:rFonts w:hint="eastAsia" w:ascii="楷体_GB2312" w:eastAsia="楷体_GB2312" w:cs="楷体_GB2312"/>
          <w:color w:val="1A1A1A" w:themeColor="background1" w:themeShade="1A"/>
          <w:sz w:val="32"/>
          <w:szCs w:val="32"/>
        </w:rPr>
        <w:t>、区财政局</w:t>
      </w:r>
      <w:r>
        <w:rPr>
          <w:rFonts w:hint="eastAsia" w:eastAsia="楷体_GB2312"/>
          <w:color w:val="1A1A1A" w:themeColor="background1" w:themeShade="1A"/>
          <w:sz w:val="32"/>
          <w:szCs w:val="32"/>
        </w:rPr>
        <w:t>等按职责分工负责）</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有效利用非常规水源。</w:t>
      </w:r>
      <w:r>
        <w:rPr>
          <w:rFonts w:eastAsia="仿宋_GB2312"/>
          <w:color w:val="1A1A1A" w:themeColor="background1" w:themeShade="1A"/>
          <w:sz w:val="32"/>
          <w:szCs w:val="32"/>
        </w:rPr>
        <w:t>加强再生水、雨水等非常规水多元、梯级和安全利用，将非常规水纳入水资源统一配置，逐步提高非常规水利用比例。鼓励在重要排污口下游、支流入干流等流域关键节点，因地制宜建设人工湿地水质净化等生态设施，将处理达标后的尾水和微污染河水进一步净化改善后，作为区域内生态、生产和生活补充用水。2025年</w:t>
      </w:r>
      <w:r>
        <w:rPr>
          <w:rFonts w:hint="eastAsia" w:eastAsia="仿宋_GB2312"/>
          <w:color w:val="1A1A1A" w:themeColor="background1" w:themeShade="1A"/>
          <w:sz w:val="32"/>
          <w:szCs w:val="32"/>
        </w:rPr>
        <w:t>年</w:t>
      </w:r>
      <w:r>
        <w:rPr>
          <w:rFonts w:eastAsia="仿宋_GB2312"/>
          <w:color w:val="1A1A1A" w:themeColor="background1" w:themeShade="1A"/>
          <w:sz w:val="32"/>
          <w:szCs w:val="32"/>
        </w:rPr>
        <w:t>底前，城市再生水利用率达到</w:t>
      </w:r>
      <w:r>
        <w:rPr>
          <w:rFonts w:hint="eastAsia" w:eastAsia="仿宋_GB2312"/>
          <w:color w:val="1A1A1A" w:themeColor="background1" w:themeShade="1A"/>
          <w:sz w:val="32"/>
          <w:szCs w:val="32"/>
        </w:rPr>
        <w:t>市下达的任务目标</w:t>
      </w:r>
      <w:r>
        <w:rPr>
          <w:rFonts w:eastAsia="仿宋_GB2312"/>
          <w:color w:val="1A1A1A" w:themeColor="background1" w:themeShade="1A"/>
          <w:sz w:val="32"/>
          <w:szCs w:val="32"/>
        </w:rPr>
        <w:t>。推动海绵城市建设，提高雨水资源化利用率。</w:t>
      </w:r>
      <w:r>
        <w:rPr>
          <w:rFonts w:hint="eastAsia" w:eastAsia="楷体_GB2312"/>
          <w:color w:val="1A1A1A" w:themeColor="background1" w:themeShade="1A"/>
          <w:sz w:val="32"/>
          <w:szCs w:val="32"/>
        </w:rPr>
        <w:t>（区发展改革局、区工业和信息化局、区水务局、区住房城乡建设局、生态环境分局等按职责分工负责）</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保障河湖生态流量。</w:t>
      </w:r>
      <w:r>
        <w:rPr>
          <w:rFonts w:eastAsia="仿宋_GB2312"/>
          <w:color w:val="1A1A1A" w:themeColor="background1" w:themeShade="1A"/>
          <w:sz w:val="32"/>
          <w:szCs w:val="32"/>
        </w:rPr>
        <w:t>推进河湖水系连通，以恢复河流生态功能为核心，采取合理的疏导、沟通、引排、调度等措施，建立或改善河湖水体之间的水力联系，打造河湖共生的生态水网。积极争取水系联通及水美乡村建设试点，恢复农村河湖生态功能。</w:t>
      </w:r>
      <w:r>
        <w:rPr>
          <w:rFonts w:hint="eastAsia" w:eastAsia="仿宋_GB2312"/>
          <w:color w:val="1A1A1A" w:themeColor="background1" w:themeShade="1A"/>
          <w:sz w:val="32"/>
          <w:szCs w:val="32"/>
        </w:rPr>
        <w:t>加快确定重点河湖生态流量，强化河湖生态流量管控。加快河湖重要控制断面监测站点建设，将生态流量监测纳入水资源监控体系，建立重要河湖生态流量监测预警和信息发布机制。2022年年底前，纳入市级名录的首批重点河湖生态流量保障目标基本确定并开展管理工作，生态流量监管体系初步建立。2025年年底前，全面落实生态流量管理措施，纳入市级名录的第二批重点河湖生态流量保障目标基本确定并开展管理工作，生态流量保障程度显著提升，生态流量监管体系基本建立，泗河等列入全国生态流量保障重点河湖名录中的河流生态流量保障程度显著提升。探索开展生态流量适应性管理，推进生态流量与经济社会发展用水的协同协调管理。</w:t>
      </w:r>
      <w:bookmarkStart w:id="58" w:name="_Toc64972390"/>
      <w:r>
        <w:rPr>
          <w:rFonts w:hint="eastAsia" w:eastAsia="楷体_GB2312"/>
          <w:color w:val="1A1A1A" w:themeColor="background1" w:themeShade="1A"/>
          <w:sz w:val="32"/>
          <w:szCs w:val="32"/>
        </w:rPr>
        <w:t>（责任单位：区水务局）</w:t>
      </w:r>
    </w:p>
    <w:tbl>
      <w:tblPr>
        <w:tblStyle w:val="2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4" w:hRule="atLeast"/>
          <w:jc w:val="center"/>
        </w:trPr>
        <w:tc>
          <w:tcPr>
            <w:tcW w:w="8920" w:type="dxa"/>
            <w:vAlign w:val="center"/>
          </w:tcPr>
          <w:p>
            <w:pPr>
              <w:widowControl/>
              <w:spacing w:line="360" w:lineRule="auto"/>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专栏</w:t>
            </w:r>
            <w:r>
              <w:rPr>
                <w:rFonts w:eastAsia="仿宋_GB2312"/>
                <w:color w:val="1A1A1A" w:themeColor="background1" w:themeShade="1A"/>
                <w:sz w:val="24"/>
                <w:szCs w:val="24"/>
              </w:rPr>
              <w:t>4</w:t>
            </w:r>
            <w:r>
              <w:rPr>
                <w:rFonts w:hint="eastAsia" w:eastAsia="仿宋_GB2312"/>
                <w:color w:val="1A1A1A" w:themeColor="background1" w:themeShade="1A"/>
                <w:sz w:val="24"/>
                <w:szCs w:val="24"/>
              </w:rPr>
              <w:t>：水生态环境质量改善重点工程</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1.河道生态</w:t>
            </w:r>
            <w:r>
              <w:rPr>
                <w:rFonts w:eastAsia="仿宋_GB2312"/>
                <w:color w:val="1A1A1A" w:themeColor="background1" w:themeShade="1A"/>
                <w:sz w:val="24"/>
                <w:szCs w:val="24"/>
              </w:rPr>
              <w:t>修复</w:t>
            </w:r>
            <w:r>
              <w:rPr>
                <w:rFonts w:hint="eastAsia" w:eastAsia="仿宋_GB2312"/>
                <w:color w:val="1A1A1A" w:themeColor="background1" w:themeShade="1A"/>
                <w:sz w:val="24"/>
                <w:szCs w:val="24"/>
              </w:rPr>
              <w:t>工程。实施</w:t>
            </w:r>
            <w:r>
              <w:rPr>
                <w:rFonts w:hint="eastAsia" w:ascii="微软雅黑" w:hAnsi="微软雅黑" w:eastAsia="微软雅黑" w:cs="微软雅黑"/>
                <w:color w:val="1A1A1A" w:themeColor="background1" w:themeShade="1A"/>
                <w:sz w:val="24"/>
                <w:szCs w:val="24"/>
              </w:rPr>
              <w:t>洸</w:t>
            </w:r>
            <w:r>
              <w:rPr>
                <w:rFonts w:hint="eastAsia" w:ascii="仿宋_GB2312" w:hAnsi="仿宋_GB2312" w:eastAsia="仿宋_GB2312" w:cs="仿宋_GB2312"/>
                <w:color w:val="1A1A1A" w:themeColor="background1" w:themeShade="1A"/>
                <w:sz w:val="24"/>
                <w:szCs w:val="24"/>
              </w:rPr>
              <w:t>府河治理项目</w:t>
            </w:r>
            <w:r>
              <w:rPr>
                <w:rFonts w:hint="eastAsia" w:eastAsia="仿宋_GB2312"/>
                <w:color w:val="1A1A1A" w:themeColor="background1" w:themeShade="1A"/>
                <w:sz w:val="24"/>
                <w:szCs w:val="24"/>
              </w:rPr>
              <w:t>，该项目主要处理对象为大禹污水处理厂出水，设计规模为30000m</w:t>
            </w:r>
            <w:r>
              <w:rPr>
                <w:rFonts w:hint="eastAsia" w:eastAsia="仿宋_GB2312"/>
                <w:color w:val="1A1A1A" w:themeColor="background1" w:themeShade="1A"/>
                <w:sz w:val="24"/>
                <w:szCs w:val="24"/>
                <w:vertAlign w:val="superscript"/>
              </w:rPr>
              <w:t>3</w:t>
            </w:r>
            <w:r>
              <w:rPr>
                <w:rFonts w:hint="eastAsia" w:eastAsia="仿宋_GB2312"/>
                <w:color w:val="1A1A1A" w:themeColor="background1" w:themeShade="1A"/>
                <w:sz w:val="24"/>
                <w:szCs w:val="24"/>
              </w:rPr>
              <w:t>/d。新建提水站、稳定塘、表流湿地，潜流湿地、进出水闸、引水渠等，铺设输水管道、新建维修道路、景观绿地，改善周边环境。计划投资金额80000万元。</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2.中水回用工程。实施颜店新城污水处理厂中水净化生态湿地工程项目，项目占地约94亩，处理规模l万m</w:t>
            </w:r>
            <w:r>
              <w:rPr>
                <w:rFonts w:hint="eastAsia" w:eastAsia="仿宋_GB2312"/>
                <w:color w:val="1A1A1A" w:themeColor="background1" w:themeShade="1A"/>
                <w:sz w:val="24"/>
                <w:szCs w:val="24"/>
                <w:vertAlign w:val="superscript"/>
              </w:rPr>
              <w:t>2</w:t>
            </w:r>
            <w:r>
              <w:rPr>
                <w:rFonts w:hint="eastAsia" w:eastAsia="仿宋_GB2312"/>
                <w:color w:val="1A1A1A" w:themeColor="background1" w:themeShade="1A"/>
                <w:sz w:val="24"/>
                <w:szCs w:val="24"/>
              </w:rPr>
              <w:t>/d，湿地有效面积42000平方米，采取潜流+表流的处理工艺将颜店污水处理厂经过处理后按《城镇污水处理厂污染物排放标准》（GB18918-2002）一级A标准的中水再处理。</w:t>
            </w:r>
          </w:p>
          <w:p>
            <w:pPr>
              <w:widowControl/>
              <w:spacing w:line="360" w:lineRule="auto"/>
              <w:ind w:firstLine="480" w:firstLineChars="200"/>
              <w:rPr>
                <w:rFonts w:eastAsia="仿宋_GB2312"/>
                <w:color w:val="1A1A1A" w:themeColor="background1" w:themeShade="1A"/>
                <w:sz w:val="24"/>
                <w:szCs w:val="24"/>
              </w:rPr>
            </w:pPr>
            <w:r>
              <w:rPr>
                <w:rFonts w:eastAsia="仿宋_GB2312"/>
                <w:color w:val="1A1A1A" w:themeColor="background1" w:themeShade="1A"/>
                <w:sz w:val="24"/>
                <w:szCs w:val="24"/>
              </w:rPr>
              <w:t>3.</w:t>
            </w:r>
            <w:r>
              <w:rPr>
                <w:rFonts w:hint="eastAsia" w:eastAsia="仿宋_GB2312"/>
                <w:color w:val="1A1A1A" w:themeColor="background1" w:themeShade="1A"/>
                <w:sz w:val="24"/>
                <w:szCs w:val="24"/>
              </w:rPr>
              <w:t>湿地</w:t>
            </w:r>
            <w:r>
              <w:rPr>
                <w:rFonts w:eastAsia="仿宋_GB2312"/>
                <w:color w:val="1A1A1A" w:themeColor="background1" w:themeShade="1A"/>
                <w:sz w:val="24"/>
                <w:szCs w:val="24"/>
              </w:rPr>
              <w:t>建设</w:t>
            </w:r>
            <w:r>
              <w:rPr>
                <w:rFonts w:hint="eastAsia" w:eastAsia="仿宋_GB2312"/>
                <w:color w:val="1A1A1A" w:themeColor="background1" w:themeShade="1A"/>
                <w:sz w:val="24"/>
                <w:szCs w:val="24"/>
              </w:rPr>
              <w:t>工程</w:t>
            </w:r>
            <w:r>
              <w:rPr>
                <w:rFonts w:eastAsia="仿宋_GB2312"/>
                <w:color w:val="1A1A1A" w:themeColor="background1" w:themeShade="1A"/>
                <w:sz w:val="24"/>
                <w:szCs w:val="24"/>
              </w:rPr>
              <w:t>。</w:t>
            </w:r>
            <w:r>
              <w:rPr>
                <w:rFonts w:hint="eastAsia" w:eastAsia="仿宋_GB2312"/>
                <w:color w:val="1A1A1A" w:themeColor="background1" w:themeShade="1A"/>
                <w:sz w:val="24"/>
                <w:szCs w:val="24"/>
              </w:rPr>
              <w:t>实施花海彩田湿地改造工程。花海彩田湿地工程项目全长约1.37公里，宽度约250米，规划面积约35.36万平方米。包括人工湿地、花海彩田、道路及附属配套工程。</w:t>
            </w:r>
          </w:p>
          <w:p>
            <w:pPr>
              <w:widowControl/>
              <w:spacing w:line="360" w:lineRule="auto"/>
              <w:ind w:firstLine="480" w:firstLineChars="200"/>
              <w:rPr>
                <w:rFonts w:ascii="方正仿宋简体" w:hAnsi="文星仿宋" w:eastAsia="方正仿宋简体" w:cs="方正仿宋简体"/>
                <w:b/>
                <w:color w:val="1A1A1A" w:themeColor="background1" w:themeShade="1A"/>
                <w:sz w:val="24"/>
                <w:szCs w:val="24"/>
              </w:rPr>
            </w:pPr>
            <w:r>
              <w:rPr>
                <w:rFonts w:hint="eastAsia" w:eastAsia="仿宋_GB2312"/>
                <w:color w:val="1A1A1A" w:themeColor="background1" w:themeShade="1A"/>
                <w:sz w:val="24"/>
                <w:szCs w:val="24"/>
              </w:rPr>
              <w:t>4.城镇环境基础</w:t>
            </w:r>
            <w:r>
              <w:rPr>
                <w:rFonts w:eastAsia="仿宋_GB2312"/>
                <w:color w:val="1A1A1A" w:themeColor="background1" w:themeShade="1A"/>
                <w:sz w:val="24"/>
                <w:szCs w:val="24"/>
              </w:rPr>
              <w:t>设施建设工程。</w:t>
            </w:r>
            <w:r>
              <w:rPr>
                <w:rFonts w:hint="eastAsia" w:eastAsia="仿宋_GB2312"/>
                <w:color w:val="1A1A1A" w:themeColor="background1" w:themeShade="1A"/>
                <w:sz w:val="24"/>
                <w:szCs w:val="24"/>
              </w:rPr>
              <w:t>实施济宁市城区合流制管网改造工程，改造雨污合流管网108.7公里。实施3座城市生活污水处理厂进水提质出水提标工程</w:t>
            </w:r>
            <w:r>
              <w:rPr>
                <w:rFonts w:eastAsia="仿宋_GB2312"/>
                <w:color w:val="1A1A1A" w:themeColor="background1" w:themeShade="1A"/>
                <w:sz w:val="24"/>
                <w:szCs w:val="24"/>
              </w:rPr>
              <w:t>，</w:t>
            </w:r>
            <w:r>
              <w:rPr>
                <w:rFonts w:hint="eastAsia" w:eastAsia="仿宋_GB2312"/>
                <w:color w:val="1A1A1A" w:themeColor="background1" w:themeShade="1A"/>
                <w:sz w:val="24"/>
                <w:szCs w:val="24"/>
              </w:rPr>
              <w:t>2021年，3座城市污水处理厂外排水化学需氧量、氨氮指标达到地表水Ⅲ类；2022年，外排水化学总磷指标达到地表水Ⅲ类；2023年，外排水全部指标达到地表水Ⅲ类。</w:t>
            </w:r>
          </w:p>
        </w:tc>
      </w:tr>
    </w:tbl>
    <w:p>
      <w:pPr>
        <w:adjustRightInd w:val="0"/>
        <w:spacing w:before="312" w:beforeLines="100" w:after="312" w:afterLines="100"/>
        <w:jc w:val="center"/>
        <w:textAlignment w:val="baseline"/>
        <w:outlineLvl w:val="0"/>
        <w:rPr>
          <w:rFonts w:eastAsia="黑体"/>
          <w:b/>
          <w:color w:val="1A1A1A" w:themeColor="background1" w:themeShade="1A"/>
          <w:sz w:val="32"/>
          <w:szCs w:val="32"/>
        </w:rPr>
      </w:pPr>
      <w:bookmarkStart w:id="59" w:name="_Toc116030726"/>
      <w:r>
        <w:rPr>
          <w:rFonts w:eastAsia="黑体"/>
          <w:b/>
          <w:color w:val="1A1A1A" w:themeColor="background1" w:themeShade="1A"/>
          <w:sz w:val="32"/>
          <w:szCs w:val="32"/>
        </w:rPr>
        <w:t xml:space="preserve">第七章  </w:t>
      </w:r>
      <w:bookmarkEnd w:id="58"/>
      <w:r>
        <w:rPr>
          <w:rFonts w:eastAsia="黑体"/>
          <w:b/>
          <w:color w:val="1A1A1A" w:themeColor="background1" w:themeShade="1A"/>
          <w:sz w:val="32"/>
          <w:szCs w:val="32"/>
        </w:rPr>
        <w:t>实施系统防治  推进土壤、地下水和农村环境保护</w:t>
      </w:r>
      <w:bookmarkEnd w:id="59"/>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60" w:name="_Toc64972391"/>
      <w:bookmarkStart w:id="61" w:name="_Toc116030727"/>
      <w:bookmarkStart w:id="62" w:name="_Toc71531739"/>
      <w:r>
        <w:rPr>
          <w:rFonts w:eastAsia="楷体_GB2312"/>
          <w:b/>
          <w:color w:val="1A1A1A" w:themeColor="background1" w:themeShade="1A"/>
          <w:sz w:val="32"/>
          <w:szCs w:val="32"/>
        </w:rPr>
        <w:t xml:space="preserve">第一节  </w:t>
      </w:r>
      <w:bookmarkEnd w:id="60"/>
      <w:r>
        <w:rPr>
          <w:rFonts w:eastAsia="楷体_GB2312"/>
          <w:b/>
          <w:color w:val="1A1A1A" w:themeColor="background1" w:themeShade="1A"/>
          <w:sz w:val="32"/>
          <w:szCs w:val="32"/>
        </w:rPr>
        <w:t>强化土壤和地下水污染源系统防控</w:t>
      </w:r>
      <w:bookmarkEnd w:id="61"/>
      <w:bookmarkEnd w:id="62"/>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加强空间布局管控。</w:t>
      </w:r>
      <w:r>
        <w:rPr>
          <w:rFonts w:eastAsia="仿宋_GB2312"/>
          <w:color w:val="1A1A1A" w:themeColor="background1" w:themeShade="1A"/>
          <w:sz w:val="32"/>
          <w:szCs w:val="32"/>
        </w:rPr>
        <w:t>将土壤和地下水环境管理要求纳入国土空间规划，守住土壤环境风险防控底线，加强生态环境分区管控，根据土壤、地下水污染状况和风险合理规划土地用途。永久基本农田集中区域禁止规划建设可能造成土壤污染的建设项目。</w:t>
      </w:r>
      <w:r>
        <w:rPr>
          <w:rFonts w:hint="eastAsia" w:eastAsia="仿宋_GB2312"/>
          <w:color w:val="1A1A1A" w:themeColor="background1" w:themeShade="1A"/>
          <w:sz w:val="32"/>
          <w:szCs w:val="32"/>
        </w:rPr>
        <w:t>禁止在居民区和学校、医院、疗养院、养老院等单位周边新建、改建、扩建可能造成土壤污染的建设项目。新（改、扩）建建设项目涉及有毒有害物质可能造成土壤污染的，提出并落实土壤和地下水污染防治要求。科学划定地下水污染防治重点区，探索地下水污染防治重点区管控模式与配套政策</w:t>
      </w:r>
      <w:r>
        <w:rPr>
          <w:rFonts w:eastAsia="仿宋_GB2312"/>
          <w:color w:val="1A1A1A" w:themeColor="background1" w:themeShade="1A"/>
          <w:sz w:val="32"/>
          <w:szCs w:val="32"/>
        </w:rPr>
        <w:t>。</w:t>
      </w:r>
      <w:r>
        <w:rPr>
          <w:rFonts w:hint="eastAsia" w:eastAsia="楷体_GB2312"/>
          <w:color w:val="1A1A1A" w:themeColor="background1" w:themeShade="1A"/>
          <w:sz w:val="32"/>
          <w:szCs w:val="32"/>
        </w:rPr>
        <w:t>（牵头单位：区自然资源局、生态环境分局；配合单位：区农业农村局、区水务局）</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加强耕地污染源头控制。</w:t>
      </w:r>
      <w:r>
        <w:rPr>
          <w:rFonts w:eastAsia="仿宋_GB2312"/>
          <w:color w:val="1A1A1A" w:themeColor="background1" w:themeShade="1A"/>
          <w:sz w:val="32"/>
          <w:szCs w:val="32"/>
        </w:rPr>
        <w:t>解决一批影响土壤环境质量的水、大气、固体废物等突出污染问题。</w:t>
      </w:r>
      <w:r>
        <w:rPr>
          <w:rFonts w:hint="eastAsia" w:eastAsia="仿宋_GB2312"/>
          <w:color w:val="1A1A1A" w:themeColor="background1" w:themeShade="1A"/>
          <w:sz w:val="32"/>
          <w:szCs w:val="32"/>
        </w:rPr>
        <w:t>严格重金属污染防控，持续推进耕地周边涉镉等重金属行业企业排查整治。</w:t>
      </w:r>
      <w:bookmarkStart w:id="63" w:name="_Hlk66111258"/>
      <w:r>
        <w:rPr>
          <w:rFonts w:hint="eastAsia" w:eastAsia="楷体_GB2312"/>
          <w:color w:val="1A1A1A" w:themeColor="background1" w:themeShade="1A"/>
          <w:sz w:val="32"/>
          <w:szCs w:val="32"/>
        </w:rPr>
        <w:t>（生态环境分局、区农业农村局按职责分工负责）</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防范工矿企业新增土壤污染</w:t>
      </w:r>
      <w:bookmarkEnd w:id="63"/>
      <w:r>
        <w:rPr>
          <w:rFonts w:eastAsia="楷体_GB2312"/>
          <w:b/>
          <w:bCs/>
          <w:color w:val="1A1A1A" w:themeColor="background1" w:themeShade="1A"/>
          <w:sz w:val="32"/>
          <w:szCs w:val="32"/>
        </w:rPr>
        <w:t>。</w:t>
      </w:r>
      <w:r>
        <w:rPr>
          <w:rFonts w:eastAsia="仿宋_GB2312"/>
          <w:color w:val="1A1A1A" w:themeColor="background1" w:themeShade="1A"/>
          <w:sz w:val="32"/>
          <w:szCs w:val="32"/>
        </w:rPr>
        <w:t>结合重点行业企业用地调查和地下水污染状况调查成果，完善土壤污染重点监管单位名录，探索建立地下水重点污染源清单，并在排污许可证中载明土壤污染防治要求</w:t>
      </w:r>
      <w:r>
        <w:rPr>
          <w:rFonts w:hint="eastAsia" w:eastAsia="仿宋_GB2312"/>
          <w:color w:val="1A1A1A" w:themeColor="background1" w:themeShade="1A"/>
          <w:sz w:val="32"/>
          <w:szCs w:val="32"/>
        </w:rPr>
        <w:t>，探索建立地下水重点污染源清单。</w:t>
      </w:r>
      <w:r>
        <w:rPr>
          <w:rFonts w:hint="eastAsia" w:eastAsia="仿宋_GB2312" w:cs="仿宋_GB2312"/>
          <w:color w:val="1A1A1A" w:themeColor="background1" w:themeShade="1A"/>
          <w:sz w:val="32"/>
          <w:szCs w:val="32"/>
        </w:rPr>
        <w:t>加强土壤污染重点监管单位环境监管。按市级土壤污染重点监管单位名录，督促土壤污染重点监管单位严格落实法定义务。2</w:t>
      </w:r>
      <w:r>
        <w:rPr>
          <w:rFonts w:eastAsia="仿宋_GB2312" w:cs="仿宋_GB2312"/>
          <w:color w:val="1A1A1A" w:themeColor="background1" w:themeShade="1A"/>
          <w:sz w:val="32"/>
          <w:szCs w:val="32"/>
        </w:rPr>
        <w:t>022</w:t>
      </w:r>
      <w:r>
        <w:rPr>
          <w:rFonts w:hint="eastAsia" w:eastAsia="仿宋_GB2312" w:cs="仿宋_GB2312"/>
          <w:color w:val="1A1A1A" w:themeColor="background1" w:themeShade="1A"/>
          <w:sz w:val="32"/>
          <w:szCs w:val="32"/>
        </w:rPr>
        <w:t>年</w:t>
      </w:r>
      <w:r>
        <w:rPr>
          <w:rFonts w:eastAsia="仿宋_GB2312"/>
          <w:color w:val="1A1A1A" w:themeColor="background1" w:themeShade="1A"/>
          <w:sz w:val="32"/>
          <w:szCs w:val="32"/>
        </w:rPr>
        <w:t>11</w:t>
      </w:r>
      <w:r>
        <w:rPr>
          <w:rFonts w:hint="eastAsia" w:eastAsia="仿宋_GB2312" w:cs="仿宋_GB2312"/>
          <w:color w:val="1A1A1A" w:themeColor="background1" w:themeShade="1A"/>
          <w:sz w:val="32"/>
          <w:szCs w:val="32"/>
        </w:rPr>
        <w:t>月底前，新增重点监管单位完成隐患排查并落实整改。</w:t>
      </w:r>
      <w:r>
        <w:rPr>
          <w:rFonts w:hint="eastAsia" w:eastAsia="仿宋_GB2312"/>
          <w:color w:val="1A1A1A" w:themeColor="background1" w:themeShade="1A"/>
          <w:sz w:val="32"/>
          <w:szCs w:val="32"/>
        </w:rPr>
        <w:t>鼓励土壤重点监管单位实施提标改造。加强土壤及地下水环境监管，定期对土壤污染重点监管单位和地下水重点污染源周边土壤、地下水开展监测。督促企业定期开展土壤及地下水环境自行监测。落实污染隐患排查制度，2025年年底前，至少完成一轮排查整改</w:t>
      </w:r>
      <w:r>
        <w:rPr>
          <w:rFonts w:eastAsia="仿宋_GB2312"/>
          <w:color w:val="1A1A1A" w:themeColor="background1" w:themeShade="1A"/>
          <w:sz w:val="32"/>
          <w:szCs w:val="32"/>
        </w:rPr>
        <w:t>。</w:t>
      </w:r>
      <w:r>
        <w:rPr>
          <w:rFonts w:hint="eastAsia" w:eastAsia="楷体_GB2312"/>
          <w:color w:val="1A1A1A" w:themeColor="background1" w:themeShade="1A"/>
          <w:sz w:val="32"/>
          <w:szCs w:val="32"/>
        </w:rPr>
        <w:t>（牵头单位：生态环境分局；配合单位：区工业和信息化局、区水务局、区自然资源局）</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64" w:name="_Toc64972392"/>
      <w:bookmarkStart w:id="65" w:name="_Toc71531740"/>
      <w:bookmarkStart w:id="66" w:name="_Toc116030728"/>
      <w:r>
        <w:rPr>
          <w:rFonts w:eastAsia="楷体_GB2312"/>
          <w:b/>
          <w:color w:val="1A1A1A" w:themeColor="background1" w:themeShade="1A"/>
          <w:sz w:val="32"/>
          <w:szCs w:val="32"/>
        </w:rPr>
        <w:t>第二节  推进土壤安全利用</w:t>
      </w:r>
      <w:bookmarkEnd w:id="64"/>
      <w:bookmarkEnd w:id="65"/>
      <w:bookmarkEnd w:id="66"/>
    </w:p>
    <w:p>
      <w:pPr>
        <w:pStyle w:val="46"/>
        <w:spacing w:line="360" w:lineRule="auto"/>
        <w:ind w:firstLine="643"/>
        <w:rPr>
          <w:rFonts w:eastAsia="楷体_GB2312"/>
          <w:color w:val="1A1A1A" w:themeColor="background1" w:themeShade="1A"/>
          <w:sz w:val="32"/>
          <w:szCs w:val="32"/>
        </w:rPr>
      </w:pPr>
      <w:bookmarkStart w:id="67" w:name="_Toc64972393"/>
      <w:r>
        <w:rPr>
          <w:rFonts w:eastAsia="楷体_GB2312"/>
          <w:b/>
          <w:bCs/>
          <w:color w:val="1A1A1A" w:themeColor="background1" w:themeShade="1A"/>
          <w:sz w:val="32"/>
          <w:szCs w:val="32"/>
        </w:rPr>
        <w:t>持续推进农用地安全利用。</w:t>
      </w:r>
      <w:r>
        <w:rPr>
          <w:rFonts w:hint="eastAsia" w:eastAsia="仿宋_GB2312" w:cs="仿宋_GB2312"/>
          <w:color w:val="1A1A1A" w:themeColor="background1" w:themeShade="1A"/>
          <w:sz w:val="32"/>
          <w:szCs w:val="32"/>
          <w:shd w:val="clear" w:color="auto" w:fill="FFFFFF"/>
        </w:rPr>
        <w:t>实施农用地土壤镉等重金属污染源头防治行动，持续推进涉镉等重金属重点行业企业排查整治。将符合条件的优先保护类耕地划为永久基本农田。对安全利用类耕地，因地制宜制定安全利用实施方案，落实安全利用措施，进行安全利用率测算。拟开垦为耕地的地块开展土壤污染状况调查，及时划定新增耕地土壤环境质量类别，实施分类管理，加强重点监测。严格落实粮食收购和销售出库质量安全检验制度和追溯制度，加强粮食收储和流通环节监管，杜绝超标粮食进入口粮市场。到</w:t>
      </w:r>
      <w:r>
        <w:rPr>
          <w:rFonts w:eastAsia="仿宋_GB2312"/>
          <w:color w:val="1A1A1A" w:themeColor="background1" w:themeShade="1A"/>
          <w:sz w:val="32"/>
          <w:szCs w:val="32"/>
          <w:shd w:val="clear" w:color="auto" w:fill="FFFFFF"/>
        </w:rPr>
        <w:t>2025</w:t>
      </w:r>
      <w:r>
        <w:rPr>
          <w:rFonts w:hint="eastAsia" w:eastAsia="仿宋_GB2312" w:cs="仿宋_GB2312"/>
          <w:color w:val="1A1A1A" w:themeColor="background1" w:themeShade="1A"/>
          <w:sz w:val="32"/>
          <w:szCs w:val="32"/>
          <w:shd w:val="clear" w:color="auto" w:fill="FFFFFF"/>
        </w:rPr>
        <w:t>年，受污染耕地安全利用率达到</w:t>
      </w:r>
      <w:r>
        <w:rPr>
          <w:rFonts w:eastAsia="仿宋_GB2312"/>
          <w:color w:val="1A1A1A" w:themeColor="background1" w:themeShade="1A"/>
          <w:sz w:val="32"/>
          <w:szCs w:val="32"/>
          <w:shd w:val="clear" w:color="auto" w:fill="FFFFFF"/>
        </w:rPr>
        <w:t>93%</w:t>
      </w:r>
      <w:r>
        <w:rPr>
          <w:rFonts w:hint="eastAsia" w:eastAsia="仿宋_GB2312" w:cs="仿宋_GB2312"/>
          <w:color w:val="1A1A1A" w:themeColor="background1" w:themeShade="1A"/>
          <w:sz w:val="32"/>
          <w:szCs w:val="32"/>
          <w:shd w:val="clear" w:color="auto" w:fill="FFFFFF"/>
        </w:rPr>
        <w:t>以上。</w:t>
      </w:r>
      <w:r>
        <w:rPr>
          <w:rFonts w:hint="eastAsia" w:eastAsia="楷体_GB2312"/>
          <w:color w:val="1A1A1A" w:themeColor="background1" w:themeShade="1A"/>
          <w:sz w:val="32"/>
          <w:szCs w:val="32"/>
        </w:rPr>
        <w:t>（</w:t>
      </w:r>
      <w:bookmarkStart w:id="68" w:name="_Hlk115860370"/>
      <w:r>
        <w:rPr>
          <w:rFonts w:hint="eastAsia" w:eastAsia="楷体_GB2312"/>
          <w:color w:val="1A1A1A" w:themeColor="background1" w:themeShade="1A"/>
          <w:sz w:val="32"/>
          <w:szCs w:val="32"/>
        </w:rPr>
        <w:t>区</w:t>
      </w:r>
      <w:bookmarkEnd w:id="68"/>
      <w:r>
        <w:rPr>
          <w:rFonts w:hint="eastAsia" w:eastAsia="楷体_GB2312"/>
          <w:color w:val="1A1A1A" w:themeColor="background1" w:themeShade="1A"/>
          <w:sz w:val="32"/>
          <w:szCs w:val="32"/>
        </w:rPr>
        <w:t>农业农村局、区自然资源局、生态环境分局、区市场监管局等按职责分工负责）</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有序推进建设用地风险管控和修复。</w:t>
      </w:r>
      <w:r>
        <w:rPr>
          <w:rFonts w:hint="eastAsia" w:eastAsia="仿宋_GB2312" w:cs="仿宋_GB2312"/>
          <w:color w:val="1A1A1A" w:themeColor="background1" w:themeShade="1A"/>
          <w:sz w:val="32"/>
          <w:szCs w:val="32"/>
          <w:shd w:val="clear" w:color="auto" w:fill="FFFFFF"/>
        </w:rPr>
        <w:t>完成一轮土壤污染重点监管单位和化工园区的隐患排查和改造提升。</w:t>
      </w:r>
      <w:r>
        <w:rPr>
          <w:rFonts w:hint="eastAsia" w:eastAsia="仿宋_GB2312" w:cs="仿宋_GB2312"/>
          <w:color w:val="1A1A1A" w:themeColor="background1" w:themeShade="1A"/>
          <w:sz w:val="32"/>
          <w:szCs w:val="32"/>
        </w:rPr>
        <w:t>深化重点行业企业土壤污染状况调查。</w:t>
      </w:r>
      <w:r>
        <w:rPr>
          <w:rFonts w:hint="eastAsia" w:eastAsia="仿宋_GB2312"/>
          <w:color w:val="1A1A1A" w:themeColor="background1" w:themeShade="1A"/>
          <w:sz w:val="32"/>
          <w:szCs w:val="32"/>
          <w:shd w:val="clear" w:color="auto" w:fill="FFFFFF"/>
        </w:rPr>
        <w:t>按照省生态环境厅确定的典型行业企业名单，完成地块及周边土壤污染状况调查</w:t>
      </w:r>
      <w:r>
        <w:rPr>
          <w:rFonts w:hint="eastAsia" w:eastAsia="仿宋_GB2312" w:cs="仿宋_GB2312"/>
          <w:color w:val="1A1A1A" w:themeColor="background1" w:themeShade="1A"/>
          <w:sz w:val="32"/>
          <w:szCs w:val="32"/>
          <w:shd w:val="clear" w:color="auto" w:fill="FFFFFF"/>
        </w:rPr>
        <w:t>。</w:t>
      </w:r>
      <w:r>
        <w:rPr>
          <w:rFonts w:hint="eastAsia" w:eastAsia="楷体_GB2312"/>
          <w:color w:val="1A1A1A" w:themeColor="background1" w:themeShade="1A"/>
          <w:sz w:val="32"/>
          <w:szCs w:val="32"/>
        </w:rPr>
        <w:t>（生态环境分局、区自然资源局按职责分工负责）</w:t>
      </w:r>
      <w:r>
        <w:rPr>
          <w:rFonts w:hint="eastAsia" w:eastAsia="仿宋_GB2312" w:cs="仿宋_GB2312"/>
          <w:color w:val="1A1A1A" w:themeColor="background1" w:themeShade="1A"/>
          <w:sz w:val="32"/>
          <w:szCs w:val="32"/>
          <w:shd w:val="clear" w:color="auto" w:fill="FFFFFF"/>
        </w:rPr>
        <w:t>严格建设用地土壤污染风险管控。完善部门联动机制，以用途变更为“一住两公”的地块为重点，加强土壤污染风险管控。将注销、撤销排污许可证的企业及时纳入土壤环境监管范围，防止腾退地块游离于监管之外。未依法开展或尚未完成土壤污染状况调查评估的土壤污染风险不明地块，杜绝进入用地程序。对未达到土壤污染风险评估报告确定的风险管控、修复目标的建设用地地块，禁止开工建设任何与风险管控、修复无关的项目。从严管控农药、化工等行业的重度污染地块规划用途，确需开发利用的，鼓励用于拓展生态空间。</w:t>
      </w:r>
      <w:r>
        <w:rPr>
          <w:rFonts w:eastAsia="仿宋_GB2312"/>
          <w:color w:val="1A1A1A" w:themeColor="background1" w:themeShade="1A"/>
          <w:sz w:val="32"/>
          <w:szCs w:val="32"/>
        </w:rPr>
        <w:t>推广绿色修复理念，加强污染地块风险管控和修复过程二次污染防控。健全实施风险管控、修复活动地块的过程监管和后期管理机制。2025年</w:t>
      </w:r>
      <w:r>
        <w:rPr>
          <w:rFonts w:hint="eastAsia" w:eastAsia="仿宋_GB2312"/>
          <w:color w:val="1A1A1A" w:themeColor="background1" w:themeShade="1A"/>
          <w:sz w:val="32"/>
          <w:szCs w:val="32"/>
        </w:rPr>
        <w:t>年</w:t>
      </w:r>
      <w:r>
        <w:rPr>
          <w:rFonts w:eastAsia="仿宋_GB2312"/>
          <w:color w:val="1A1A1A" w:themeColor="background1" w:themeShade="1A"/>
          <w:sz w:val="32"/>
          <w:szCs w:val="32"/>
        </w:rPr>
        <w:t>底前，</w:t>
      </w:r>
      <w:r>
        <w:rPr>
          <w:rFonts w:hint="eastAsia" w:eastAsia="仿宋_GB2312"/>
          <w:color w:val="1A1A1A" w:themeColor="background1" w:themeShade="1A"/>
          <w:sz w:val="32"/>
          <w:szCs w:val="32"/>
        </w:rPr>
        <w:t>重点建设用地安全利用有效保障</w:t>
      </w:r>
      <w:r>
        <w:rPr>
          <w:rFonts w:eastAsia="仿宋_GB2312"/>
          <w:color w:val="1A1A1A" w:themeColor="background1" w:themeShade="1A"/>
          <w:sz w:val="32"/>
          <w:szCs w:val="32"/>
        </w:rPr>
        <w:t>。</w:t>
      </w:r>
      <w:r>
        <w:rPr>
          <w:rFonts w:hint="eastAsia" w:eastAsia="楷体_GB2312"/>
          <w:color w:val="1A1A1A" w:themeColor="background1" w:themeShade="1A"/>
          <w:sz w:val="32"/>
          <w:szCs w:val="32"/>
        </w:rPr>
        <w:t>（区自然资源局、区行政审批服务局、生态环境分局等按职责分工负责）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69" w:name="_Toc116030729"/>
      <w:bookmarkStart w:id="70" w:name="_Toc71531741"/>
      <w:r>
        <w:rPr>
          <w:rFonts w:eastAsia="楷体_GB2312"/>
          <w:b/>
          <w:color w:val="1A1A1A" w:themeColor="background1" w:themeShade="1A"/>
          <w:sz w:val="32"/>
          <w:szCs w:val="32"/>
        </w:rPr>
        <w:t xml:space="preserve">第三节  </w:t>
      </w:r>
      <w:bookmarkEnd w:id="67"/>
      <w:r>
        <w:rPr>
          <w:rFonts w:eastAsia="楷体_GB2312"/>
          <w:b/>
          <w:color w:val="1A1A1A" w:themeColor="background1" w:themeShade="1A"/>
          <w:sz w:val="32"/>
          <w:szCs w:val="32"/>
        </w:rPr>
        <w:t>加强地下水环境监管</w:t>
      </w:r>
      <w:bookmarkEnd w:id="69"/>
      <w:bookmarkEnd w:id="70"/>
    </w:p>
    <w:p>
      <w:pPr>
        <w:spacing w:line="360" w:lineRule="auto"/>
        <w:ind w:firstLine="642" w:firstLineChars="200"/>
        <w:rPr>
          <w:rFonts w:eastAsia="楷体_GB2312"/>
          <w:color w:val="1A1A1A" w:themeColor="background1" w:themeShade="1A"/>
          <w:sz w:val="32"/>
          <w:szCs w:val="32"/>
        </w:rPr>
      </w:pPr>
      <w:r>
        <w:rPr>
          <w:rFonts w:eastAsia="楷体_GB2312"/>
          <w:b/>
          <w:bCs/>
          <w:color w:val="1A1A1A" w:themeColor="background1" w:themeShade="1A"/>
          <w:sz w:val="32"/>
          <w:szCs w:val="32"/>
        </w:rPr>
        <w:t>推动地下水环境分区管理。</w:t>
      </w:r>
      <w:r>
        <w:rPr>
          <w:rFonts w:eastAsia="仿宋_GB2312"/>
          <w:color w:val="1A1A1A" w:themeColor="background1" w:themeShade="1A"/>
          <w:sz w:val="32"/>
          <w:szCs w:val="32"/>
        </w:rPr>
        <w:t>以饮用水水源保护为核心，开展地下水型饮用水水源补给区及供水单位周边区域环境状况和污染风险调查评估，建立完善地下水型饮用水水源补给区内优先管控污染源清单。</w:t>
      </w:r>
      <w:r>
        <w:rPr>
          <w:rFonts w:hint="eastAsia" w:eastAsia="仿宋_GB2312"/>
          <w:color w:val="1A1A1A" w:themeColor="background1" w:themeShade="1A"/>
          <w:sz w:val="32"/>
          <w:szCs w:val="32"/>
        </w:rPr>
        <w:t>非背景地质导致未达到水质目标要求或地下水质量为V类的，制定地下水质量达标方案或保持（改善）方案</w:t>
      </w:r>
      <w:r>
        <w:rPr>
          <w:rFonts w:eastAsia="仿宋_GB2312"/>
          <w:color w:val="1A1A1A" w:themeColor="background1" w:themeShade="1A"/>
          <w:sz w:val="32"/>
          <w:szCs w:val="32"/>
        </w:rPr>
        <w:t>。</w:t>
      </w:r>
      <w:r>
        <w:rPr>
          <w:rFonts w:hint="eastAsia" w:eastAsia="楷体_GB2312"/>
          <w:color w:val="1A1A1A" w:themeColor="background1" w:themeShade="1A"/>
          <w:sz w:val="32"/>
          <w:szCs w:val="32"/>
        </w:rPr>
        <w:t>（牵头单位：生态环境分局；配合单位：区水务局、区自然资源局）</w:t>
      </w:r>
    </w:p>
    <w:p>
      <w:pPr>
        <w:spacing w:line="590" w:lineRule="exact"/>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强化地下水污染协同防治。</w:t>
      </w:r>
      <w:r>
        <w:rPr>
          <w:rFonts w:hint="eastAsia" w:eastAsia="仿宋_GB2312" w:cs="仿宋_GB2312"/>
          <w:color w:val="1A1A1A" w:themeColor="background1" w:themeShade="1A"/>
          <w:sz w:val="32"/>
          <w:szCs w:val="32"/>
        </w:rPr>
        <w:t>开展地下水环境质量状况调查评估。按照要求，配合济宁市生态环境局完成化工园区地下水环境状况调查评估和国控考核点位及周边地下水环境状况调查评估。（</w:t>
      </w:r>
      <w:r>
        <w:rPr>
          <w:rFonts w:hint="eastAsia" w:eastAsia="楷体_GB2312"/>
          <w:color w:val="1A1A1A" w:themeColor="background1" w:themeShade="1A"/>
          <w:sz w:val="32"/>
          <w:szCs w:val="32"/>
        </w:rPr>
        <w:t>责任单位：生态环境分局</w:t>
      </w:r>
      <w:r>
        <w:rPr>
          <w:rFonts w:hint="eastAsia" w:eastAsia="仿宋_GB2312" w:cs="仿宋_GB2312"/>
          <w:color w:val="1A1A1A" w:themeColor="background1" w:themeShade="1A"/>
          <w:sz w:val="32"/>
          <w:szCs w:val="32"/>
        </w:rPr>
        <w:t>）推进地下水污染防治试验区建设。根据《济宁市地下水污染防治试验区建设方案》，配合推进地下水污染防治试验区建设。地下水国控考核点位水质保持稳定。</w:t>
      </w:r>
      <w:r>
        <w:rPr>
          <w:rFonts w:hint="eastAsia" w:eastAsia="楷体_GB2312"/>
          <w:color w:val="1A1A1A" w:themeColor="background1" w:themeShade="1A"/>
          <w:sz w:val="32"/>
          <w:szCs w:val="32"/>
        </w:rPr>
        <w:t>（生态环境分局、区财政局按职责分工负责）</w:t>
      </w:r>
      <w:r>
        <w:rPr>
          <w:rFonts w:eastAsia="仿宋_GB2312"/>
          <w:color w:val="1A1A1A" w:themeColor="background1" w:themeShade="1A"/>
          <w:sz w:val="32"/>
          <w:szCs w:val="32"/>
        </w:rPr>
        <w:t>化工类工业聚集区编制“一区一策”地下水污染整治方案并组织实施。强化生活垃圾填埋场等地下水污染风险管控。探索地下水治理修复模式，开展土壤和地下水环境风险协同防治，开展地下水超采和地面沉降综合治理。</w:t>
      </w:r>
      <w:r>
        <w:rPr>
          <w:rFonts w:hint="eastAsia" w:eastAsia="楷体_GB2312"/>
          <w:color w:val="1A1A1A" w:themeColor="background1" w:themeShade="1A"/>
          <w:sz w:val="32"/>
          <w:szCs w:val="32"/>
        </w:rPr>
        <w:t>（生态环境分局、区水务局、区自然资源局、区综合行政执法局、区工业和信息化局等按职责分工负责）</w:t>
      </w:r>
      <w:r>
        <w:rPr>
          <w:rFonts w:hint="eastAsia" w:eastAsia="仿宋_GB2312"/>
          <w:color w:val="1A1A1A" w:themeColor="background1" w:themeShade="1A"/>
          <w:sz w:val="32"/>
          <w:szCs w:val="32"/>
        </w:rPr>
        <w:t>开展非法开采地下水专项清理整顿。加大地下水超采治理力度，推动地下水压采和水源转换，严禁地下水超量开采。严厉打击非法开采地下水行为，强化部门协调和责任落实。</w:t>
      </w:r>
      <w:r>
        <w:rPr>
          <w:rFonts w:hint="eastAsia" w:eastAsia="楷体_GB2312"/>
          <w:color w:val="1A1A1A" w:themeColor="background1" w:themeShade="1A"/>
          <w:sz w:val="32"/>
          <w:szCs w:val="32"/>
        </w:rPr>
        <w:t>（区水务局、生态环境分局、区自然资源局、区行政审批服务局等按职责分工负责）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71" w:name="_Toc116030730"/>
      <w:r>
        <w:rPr>
          <w:rFonts w:eastAsia="楷体_GB2312"/>
          <w:b/>
          <w:color w:val="1A1A1A" w:themeColor="background1" w:themeShade="1A"/>
          <w:sz w:val="32"/>
          <w:szCs w:val="32"/>
        </w:rPr>
        <w:t>第四节  改善农村生态环境</w:t>
      </w:r>
      <w:bookmarkEnd w:id="71"/>
    </w:p>
    <w:p>
      <w:pPr>
        <w:spacing w:line="360" w:lineRule="auto"/>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扎实开展农村环境综合整治</w:t>
      </w:r>
      <w:r>
        <w:rPr>
          <w:rFonts w:eastAsia="楷体_GB2312"/>
          <w:b/>
          <w:bCs/>
          <w:color w:val="1A1A1A" w:themeColor="background1" w:themeShade="1A"/>
          <w:sz w:val="32"/>
          <w:szCs w:val="32"/>
        </w:rPr>
        <w:t>。</w:t>
      </w:r>
      <w:r>
        <w:rPr>
          <w:rFonts w:hint="eastAsia" w:eastAsia="仿宋_GB2312" w:cs="仿宋_GB2312"/>
          <w:color w:val="1A1A1A" w:themeColor="background1" w:themeShade="1A"/>
          <w:spacing w:val="-6"/>
          <w:sz w:val="32"/>
          <w:szCs w:val="32"/>
        </w:rPr>
        <w:t>推进农村改厕、生活污水、黑臭水体和生活垃圾治理工作质量提升，</w:t>
      </w:r>
      <w:r>
        <w:rPr>
          <w:rFonts w:eastAsia="仿宋_GB2312"/>
          <w:color w:val="1A1A1A" w:themeColor="background1" w:themeShade="1A"/>
          <w:spacing w:val="-6"/>
          <w:sz w:val="32"/>
          <w:szCs w:val="32"/>
        </w:rPr>
        <w:t>2022</w:t>
      </w:r>
      <w:r>
        <w:rPr>
          <w:rFonts w:hint="eastAsia" w:eastAsia="仿宋_GB2312" w:cs="仿宋_GB2312"/>
          <w:color w:val="1A1A1A" w:themeColor="background1" w:themeShade="1A"/>
          <w:spacing w:val="-6"/>
          <w:sz w:val="32"/>
          <w:szCs w:val="32"/>
        </w:rPr>
        <w:t>年，完成</w:t>
      </w:r>
      <w:r>
        <w:rPr>
          <w:rFonts w:eastAsia="仿宋_GB2312"/>
          <w:color w:val="1A1A1A" w:themeColor="background1" w:themeShade="1A"/>
          <w:spacing w:val="-6"/>
          <w:sz w:val="32"/>
          <w:szCs w:val="32"/>
        </w:rPr>
        <w:t>72</w:t>
      </w:r>
      <w:r>
        <w:rPr>
          <w:rFonts w:hint="eastAsia" w:eastAsia="仿宋_GB2312" w:cs="仿宋_GB2312"/>
          <w:color w:val="1A1A1A" w:themeColor="background1" w:themeShade="1A"/>
          <w:spacing w:val="-6"/>
          <w:sz w:val="32"/>
          <w:szCs w:val="32"/>
        </w:rPr>
        <w:t>个涉农村生活污水治理，</w:t>
      </w:r>
      <w:r>
        <w:rPr>
          <w:rFonts w:eastAsia="仿宋_GB2312"/>
          <w:color w:val="1A1A1A" w:themeColor="background1" w:themeShade="1A"/>
          <w:spacing w:val="-6"/>
          <w:sz w:val="32"/>
          <w:szCs w:val="32"/>
        </w:rPr>
        <w:t>3</w:t>
      </w:r>
      <w:r>
        <w:rPr>
          <w:rFonts w:hint="eastAsia" w:eastAsia="仿宋_GB2312" w:cs="仿宋_GB2312"/>
          <w:color w:val="1A1A1A" w:themeColor="background1" w:themeShade="1A"/>
          <w:spacing w:val="-6"/>
          <w:sz w:val="32"/>
          <w:szCs w:val="32"/>
        </w:rPr>
        <w:t>处农村黑臭水体治</w:t>
      </w:r>
      <w:r>
        <w:rPr>
          <w:rFonts w:hint="eastAsia" w:eastAsia="仿宋_GB2312" w:cs="仿宋_GB2312"/>
          <w:color w:val="1A1A1A" w:themeColor="background1" w:themeShade="1A"/>
          <w:sz w:val="32"/>
          <w:szCs w:val="32"/>
        </w:rPr>
        <w:t>理，开展</w:t>
      </w:r>
      <w:r>
        <w:rPr>
          <w:rFonts w:eastAsia="仿宋_GB2312"/>
          <w:color w:val="1A1A1A" w:themeColor="background1" w:themeShade="1A"/>
          <w:sz w:val="32"/>
          <w:szCs w:val="32"/>
        </w:rPr>
        <w:t>4</w:t>
      </w:r>
      <w:r>
        <w:rPr>
          <w:rFonts w:hint="eastAsia" w:eastAsia="仿宋_GB2312" w:cs="仿宋_GB2312"/>
          <w:color w:val="1A1A1A" w:themeColor="background1" w:themeShade="1A"/>
          <w:sz w:val="32"/>
          <w:szCs w:val="32"/>
        </w:rPr>
        <w:t>个省级美丽乡村示范村</w:t>
      </w:r>
      <w:r>
        <w:rPr>
          <w:rFonts w:hint="eastAsia" w:eastAsia="仿宋_GB2312" w:cs="仿宋_GB2312"/>
          <w:color w:val="1A1A1A" w:themeColor="background1" w:themeShade="1A"/>
          <w:spacing w:val="-6"/>
          <w:sz w:val="32"/>
          <w:szCs w:val="32"/>
        </w:rPr>
        <w:t>和</w:t>
      </w:r>
      <w:r>
        <w:rPr>
          <w:rFonts w:eastAsia="仿宋_GB2312"/>
          <w:color w:val="1A1A1A" w:themeColor="background1" w:themeShade="1A"/>
          <w:spacing w:val="-6"/>
          <w:sz w:val="32"/>
          <w:szCs w:val="32"/>
        </w:rPr>
        <w:t>13</w:t>
      </w:r>
      <w:r>
        <w:rPr>
          <w:rFonts w:hint="eastAsia" w:eastAsia="仿宋_GB2312" w:cs="仿宋_GB2312"/>
          <w:color w:val="1A1A1A" w:themeColor="background1" w:themeShade="1A"/>
          <w:spacing w:val="-6"/>
          <w:sz w:val="32"/>
          <w:szCs w:val="32"/>
        </w:rPr>
        <w:t>个市级美丽乡村示范村创建；加大畜禽养殖污染防治，规模化畜禽粪污综合利用率达到</w:t>
      </w:r>
      <w:r>
        <w:rPr>
          <w:rFonts w:eastAsia="仿宋_GB2312"/>
          <w:color w:val="1A1A1A" w:themeColor="background1" w:themeShade="1A"/>
          <w:spacing w:val="-6"/>
          <w:sz w:val="32"/>
          <w:szCs w:val="32"/>
        </w:rPr>
        <w:t>90%</w:t>
      </w:r>
      <w:r>
        <w:rPr>
          <w:rFonts w:hint="eastAsia" w:eastAsia="仿宋_GB2312" w:cs="仿宋_GB2312"/>
          <w:color w:val="1A1A1A" w:themeColor="background1" w:themeShade="1A"/>
          <w:spacing w:val="-6"/>
          <w:sz w:val="32"/>
          <w:szCs w:val="32"/>
        </w:rPr>
        <w:t>以上；支持发展养殖合作社，规模化养殖比重达到</w:t>
      </w:r>
      <w:r>
        <w:rPr>
          <w:rFonts w:eastAsia="仿宋_GB2312"/>
          <w:color w:val="1A1A1A" w:themeColor="background1" w:themeShade="1A"/>
          <w:spacing w:val="-6"/>
          <w:sz w:val="32"/>
          <w:szCs w:val="32"/>
        </w:rPr>
        <w:t>8</w:t>
      </w:r>
      <w:r>
        <w:rPr>
          <w:rFonts w:eastAsia="仿宋_GB2312"/>
          <w:color w:val="1A1A1A" w:themeColor="background1" w:themeShade="1A"/>
          <w:sz w:val="32"/>
          <w:szCs w:val="32"/>
        </w:rPr>
        <w:t>5%</w:t>
      </w:r>
      <w:r>
        <w:rPr>
          <w:rFonts w:hint="eastAsia" w:eastAsia="仿宋_GB2312" w:cs="仿宋_GB2312"/>
          <w:color w:val="1A1A1A" w:themeColor="background1" w:themeShade="1A"/>
          <w:sz w:val="32"/>
          <w:szCs w:val="32"/>
        </w:rPr>
        <w:t>以上；持续加强秸秆禁烧管控工作；减少农药使用量，全区农药使用量较</w:t>
      </w:r>
      <w:r>
        <w:rPr>
          <w:rFonts w:eastAsia="仿宋_GB2312"/>
          <w:color w:val="1A1A1A" w:themeColor="background1" w:themeShade="1A"/>
          <w:sz w:val="32"/>
          <w:szCs w:val="32"/>
        </w:rPr>
        <w:t>2020</w:t>
      </w:r>
      <w:r>
        <w:rPr>
          <w:rFonts w:hint="eastAsia" w:eastAsia="仿宋_GB2312" w:cs="仿宋_GB2312"/>
          <w:color w:val="1A1A1A" w:themeColor="background1" w:themeShade="1A"/>
          <w:sz w:val="32"/>
          <w:szCs w:val="32"/>
        </w:rPr>
        <w:t>年减少</w:t>
      </w:r>
      <w:r>
        <w:rPr>
          <w:rFonts w:eastAsia="仿宋_GB2312"/>
          <w:color w:val="1A1A1A" w:themeColor="background1" w:themeShade="1A"/>
          <w:sz w:val="32"/>
          <w:szCs w:val="32"/>
        </w:rPr>
        <w:t>4%</w:t>
      </w:r>
      <w:r>
        <w:rPr>
          <w:rFonts w:hint="eastAsia" w:eastAsia="仿宋_GB2312" w:cs="仿宋_GB2312"/>
          <w:color w:val="1A1A1A" w:themeColor="background1" w:themeShade="1A"/>
          <w:sz w:val="32"/>
          <w:szCs w:val="32"/>
        </w:rPr>
        <w:t>。</w:t>
      </w:r>
      <w:r>
        <w:rPr>
          <w:rFonts w:hint="eastAsia" w:eastAsia="楷体_GB2312"/>
          <w:color w:val="1A1A1A" w:themeColor="background1" w:themeShade="1A"/>
          <w:sz w:val="32"/>
          <w:szCs w:val="32"/>
        </w:rPr>
        <w:t>（生态环境分局、区住房城乡建设局、区农业农村局、区水务局、区畜牧兽医事业发展中心等按职责分工负责）</w:t>
      </w:r>
      <w:r>
        <w:rPr>
          <w:rFonts w:eastAsia="仿宋_GB2312"/>
          <w:color w:val="1A1A1A" w:themeColor="background1" w:themeShade="1A"/>
          <w:sz w:val="32"/>
          <w:szCs w:val="32"/>
        </w:rPr>
        <w:t>深入开展村庄清洁和绿化行动，实现村庄公共空间及庭院房屋、村庄周边干净整洁。鼓励有条件地区结合农村环境整治，推动村民共建共治共享，</w:t>
      </w:r>
      <w:r>
        <w:rPr>
          <w:rFonts w:hint="eastAsia" w:eastAsia="仿宋_GB2312"/>
          <w:color w:val="1A1A1A" w:themeColor="background1" w:themeShade="1A"/>
          <w:sz w:val="32"/>
          <w:szCs w:val="32"/>
        </w:rPr>
        <w:t>加大生态文明建设示范区和“绿水青山就是金山银山”实践创新基地创建力度，</w:t>
      </w:r>
      <w:r>
        <w:rPr>
          <w:rFonts w:eastAsia="仿宋_GB2312"/>
          <w:color w:val="1A1A1A" w:themeColor="background1" w:themeShade="1A"/>
          <w:sz w:val="32"/>
          <w:szCs w:val="32"/>
        </w:rPr>
        <w:t>深化美丽乡村建设，开展美丽宜居村庄和美丽庭院示范创建活动。</w:t>
      </w:r>
      <w:r>
        <w:rPr>
          <w:rFonts w:hint="eastAsia" w:eastAsia="楷体_GB2312"/>
          <w:color w:val="1A1A1A" w:themeColor="background1" w:themeShade="1A"/>
          <w:sz w:val="32"/>
          <w:szCs w:val="32"/>
        </w:rPr>
        <w:t>（区农业农村局、</w:t>
      </w:r>
      <w:r>
        <w:rPr>
          <w:rFonts w:hint="eastAsia" w:eastAsia="楷体_GB2312" w:cs="楷体_GB2312"/>
          <w:color w:val="1A1A1A" w:themeColor="background1" w:themeShade="1A"/>
          <w:sz w:val="32"/>
          <w:szCs w:val="32"/>
        </w:rPr>
        <w:t>区住房城乡建设局、区自然资源局</w:t>
      </w:r>
      <w:r>
        <w:rPr>
          <w:rFonts w:hint="eastAsia" w:eastAsia="楷体_GB2312"/>
          <w:color w:val="1A1A1A" w:themeColor="background1" w:themeShade="1A"/>
          <w:sz w:val="32"/>
          <w:szCs w:val="32"/>
        </w:rPr>
        <w:t>、生态环境分局按职责分工负责）</w:t>
      </w:r>
    </w:p>
    <w:p>
      <w:pPr>
        <w:spacing w:line="590" w:lineRule="exact"/>
        <w:ind w:firstLine="642" w:firstLineChars="200"/>
        <w:rPr>
          <w:rFonts w:eastAsia="楷体_GB2312"/>
          <w:color w:val="1A1A1A" w:themeColor="background1" w:themeShade="1A"/>
          <w:sz w:val="32"/>
          <w:szCs w:val="32"/>
        </w:rPr>
      </w:pPr>
      <w:bookmarkStart w:id="72" w:name="_Toc64972396"/>
      <w:r>
        <w:rPr>
          <w:rFonts w:eastAsia="楷体_GB2312"/>
          <w:b/>
          <w:bCs/>
          <w:color w:val="1A1A1A" w:themeColor="background1" w:themeShade="1A"/>
          <w:sz w:val="32"/>
          <w:szCs w:val="32"/>
        </w:rPr>
        <w:t>推进农村生活污水治理</w:t>
      </w:r>
      <w:bookmarkEnd w:id="72"/>
      <w:r>
        <w:rPr>
          <w:rFonts w:eastAsia="楷体_GB2312"/>
          <w:b/>
          <w:bCs/>
          <w:color w:val="1A1A1A" w:themeColor="background1" w:themeShade="1A"/>
          <w:sz w:val="32"/>
          <w:szCs w:val="32"/>
        </w:rPr>
        <w:t>。</w:t>
      </w:r>
      <w:r>
        <w:rPr>
          <w:rFonts w:eastAsia="仿宋_GB2312"/>
          <w:color w:val="1A1A1A" w:themeColor="background1" w:themeShade="1A"/>
          <w:sz w:val="32"/>
          <w:szCs w:val="32"/>
        </w:rPr>
        <w:t>统筹规划实施农村生活污水治理，因地制宜选取污水处理或资源化利用模式，推进农村生活污水治理。推进城镇污水处理设施和服务向周边农村延伸。巩固提升农村厕所革命成果，因地制宜推进农村厕所革命与生活污水治理有效衔接。2023年</w:t>
      </w:r>
      <w:r>
        <w:rPr>
          <w:rFonts w:hint="eastAsia" w:eastAsia="仿宋_GB2312"/>
          <w:color w:val="1A1A1A" w:themeColor="background1" w:themeShade="1A"/>
          <w:sz w:val="32"/>
          <w:szCs w:val="32"/>
        </w:rPr>
        <w:t>年</w:t>
      </w:r>
      <w:r>
        <w:rPr>
          <w:rFonts w:eastAsia="仿宋_GB2312"/>
          <w:color w:val="1A1A1A" w:themeColor="background1" w:themeShade="1A"/>
          <w:sz w:val="32"/>
          <w:szCs w:val="32"/>
        </w:rPr>
        <w:t>底前，</w:t>
      </w:r>
      <w:r>
        <w:rPr>
          <w:rFonts w:hint="eastAsia" w:eastAsia="仿宋_GB2312"/>
          <w:color w:val="1A1A1A" w:themeColor="background1" w:themeShade="1A"/>
          <w:sz w:val="32"/>
          <w:szCs w:val="32"/>
        </w:rPr>
        <w:t>所有行政村全部完成</w:t>
      </w:r>
      <w:r>
        <w:rPr>
          <w:rFonts w:eastAsia="仿宋_GB2312"/>
          <w:color w:val="1A1A1A" w:themeColor="background1" w:themeShade="1A"/>
          <w:sz w:val="32"/>
          <w:szCs w:val="32"/>
        </w:rPr>
        <w:t>农村生活污水治理任务。</w:t>
      </w:r>
      <w:r>
        <w:rPr>
          <w:rFonts w:hint="eastAsia" w:eastAsia="仿宋_GB2312"/>
          <w:color w:val="1A1A1A" w:themeColor="background1" w:themeShade="1A"/>
          <w:sz w:val="32"/>
          <w:szCs w:val="32"/>
        </w:rPr>
        <w:t>建立农村生活污水处理设施运行维护管理制度和水质监测制度，政府统筹安排运行维护专项资金，明确设施责任主体，确保稳定运行，对出水不达标的农村生活污水处理设施进行升级改造。</w:t>
      </w:r>
      <w:r>
        <w:rPr>
          <w:rFonts w:hint="eastAsia" w:eastAsia="楷体_GB2312"/>
          <w:color w:val="1A1A1A" w:themeColor="background1" w:themeShade="1A"/>
          <w:sz w:val="32"/>
          <w:szCs w:val="32"/>
        </w:rPr>
        <w:t>（责任单位：区住房城乡建设局）</w:t>
      </w:r>
    </w:p>
    <w:p>
      <w:pPr>
        <w:spacing w:line="360" w:lineRule="auto"/>
        <w:ind w:firstLine="642" w:firstLineChars="200"/>
        <w:rPr>
          <w:rFonts w:eastAsia="楷体_GB2312"/>
          <w:color w:val="1A1A1A" w:themeColor="background1" w:themeShade="1A"/>
          <w:sz w:val="32"/>
          <w:szCs w:val="32"/>
        </w:rPr>
      </w:pPr>
      <w:bookmarkStart w:id="73" w:name="_Toc64972397"/>
      <w:r>
        <w:rPr>
          <w:rFonts w:eastAsia="楷体_GB2312"/>
          <w:b/>
          <w:bCs/>
          <w:color w:val="1A1A1A" w:themeColor="background1" w:themeShade="1A"/>
          <w:sz w:val="32"/>
          <w:szCs w:val="32"/>
        </w:rPr>
        <w:t>实施农村黑臭水体治理</w:t>
      </w:r>
      <w:bookmarkEnd w:id="73"/>
      <w:r>
        <w:rPr>
          <w:rFonts w:eastAsia="楷体_GB2312"/>
          <w:b/>
          <w:bCs/>
          <w:color w:val="1A1A1A" w:themeColor="background1" w:themeShade="1A"/>
          <w:sz w:val="32"/>
          <w:szCs w:val="32"/>
        </w:rPr>
        <w:t>。</w:t>
      </w:r>
      <w:r>
        <w:rPr>
          <w:rFonts w:eastAsia="仿宋_GB2312"/>
          <w:color w:val="1A1A1A" w:themeColor="background1" w:themeShade="1A"/>
          <w:sz w:val="32"/>
          <w:szCs w:val="32"/>
        </w:rPr>
        <w:t>2022</w:t>
      </w:r>
      <w:r>
        <w:rPr>
          <w:rFonts w:hint="eastAsia" w:eastAsia="仿宋_GB2312"/>
          <w:color w:val="1A1A1A" w:themeColor="background1" w:themeShade="1A"/>
          <w:sz w:val="32"/>
          <w:szCs w:val="32"/>
        </w:rPr>
        <w:t>年年底前，完成现有</w:t>
      </w:r>
      <w:r>
        <w:rPr>
          <w:rFonts w:eastAsia="仿宋_GB2312"/>
          <w:color w:val="1A1A1A" w:themeColor="background1" w:themeShade="1A"/>
          <w:sz w:val="32"/>
          <w:szCs w:val="32"/>
        </w:rPr>
        <w:t>3</w:t>
      </w:r>
      <w:r>
        <w:rPr>
          <w:rFonts w:hint="eastAsia" w:eastAsia="仿宋_GB2312"/>
          <w:color w:val="1A1A1A" w:themeColor="background1" w:themeShade="1A"/>
          <w:sz w:val="32"/>
          <w:szCs w:val="32"/>
        </w:rPr>
        <w:t>处农村黑臭水体治理。巩固农村黑臭水体治理成果，持续开展排查整治工作，确保实现农村黑臭水体动态清零</w:t>
      </w:r>
      <w:r>
        <w:rPr>
          <w:rFonts w:eastAsia="仿宋_GB2312"/>
          <w:color w:val="1A1A1A" w:themeColor="background1" w:themeShade="1A"/>
          <w:sz w:val="32"/>
          <w:szCs w:val="32"/>
        </w:rPr>
        <w:t>。落实污染治理属地责任，实现河长制体系向村级延伸，使农村黑臭水体得到有效治理和长效管护。进一步加强地面监测，形成农村黑臭水体常态化动态监管机制，对于新发现的农村黑臭水体及时纳入清单管理。</w:t>
      </w:r>
      <w:r>
        <w:rPr>
          <w:rFonts w:hint="eastAsia" w:eastAsia="楷体_GB2312"/>
          <w:color w:val="1A1A1A" w:themeColor="background1" w:themeShade="1A"/>
          <w:sz w:val="32"/>
          <w:szCs w:val="32"/>
        </w:rPr>
        <w:t>（责任单位：区住房城乡建设局）</w:t>
      </w:r>
    </w:p>
    <w:p>
      <w:pPr>
        <w:spacing w:line="360" w:lineRule="auto"/>
        <w:ind w:firstLine="642" w:firstLineChars="200"/>
        <w:rPr>
          <w:rFonts w:eastAsia="楷体_GB2312"/>
          <w:color w:val="1A1A1A" w:themeColor="background1" w:themeShade="1A"/>
          <w:sz w:val="32"/>
          <w:szCs w:val="32"/>
        </w:rPr>
      </w:pPr>
      <w:r>
        <w:rPr>
          <w:rFonts w:eastAsia="楷体_GB2312"/>
          <w:b/>
          <w:bCs/>
          <w:color w:val="1A1A1A" w:themeColor="background1" w:themeShade="1A"/>
          <w:sz w:val="32"/>
          <w:szCs w:val="32"/>
        </w:rPr>
        <w:t>强化养殖业污染治理。</w:t>
      </w:r>
      <w:r>
        <w:rPr>
          <w:rFonts w:eastAsia="仿宋_GB2312"/>
          <w:color w:val="1A1A1A" w:themeColor="background1" w:themeShade="1A"/>
          <w:sz w:val="32"/>
          <w:szCs w:val="32"/>
        </w:rPr>
        <w:t>2025年</w:t>
      </w:r>
      <w:r>
        <w:rPr>
          <w:rFonts w:hint="eastAsia" w:eastAsia="仿宋_GB2312"/>
          <w:color w:val="1A1A1A" w:themeColor="background1" w:themeShade="1A"/>
          <w:sz w:val="32"/>
          <w:szCs w:val="32"/>
        </w:rPr>
        <w:t>年</w:t>
      </w:r>
      <w:r>
        <w:rPr>
          <w:rFonts w:eastAsia="仿宋_GB2312"/>
          <w:color w:val="1A1A1A" w:themeColor="background1" w:themeShade="1A"/>
          <w:sz w:val="32"/>
          <w:szCs w:val="32"/>
        </w:rPr>
        <w:t>底前，规模畜禽养殖场全部配套粪污处理设施，</w:t>
      </w:r>
      <w:r>
        <w:rPr>
          <w:rFonts w:hint="eastAsia" w:eastAsia="仿宋_GB2312"/>
          <w:color w:val="1A1A1A" w:themeColor="background1" w:themeShade="1A"/>
          <w:sz w:val="32"/>
          <w:szCs w:val="32"/>
        </w:rPr>
        <w:t>畜禽粪污综合利用率稳定在92%以上</w:t>
      </w:r>
      <w:r>
        <w:rPr>
          <w:rFonts w:eastAsia="仿宋_GB2312"/>
          <w:color w:val="1A1A1A" w:themeColor="background1" w:themeShade="1A"/>
          <w:sz w:val="32"/>
          <w:szCs w:val="32"/>
        </w:rPr>
        <w:t>。合理布局水产养殖生产，推进水产绿色健康养殖，严格水产养殖投入品管理，扩大生态健康养殖规模</w:t>
      </w:r>
      <w:r>
        <w:rPr>
          <w:rFonts w:hint="eastAsia" w:eastAsia="仿宋_GB2312"/>
          <w:color w:val="1A1A1A" w:themeColor="background1" w:themeShade="1A"/>
          <w:sz w:val="32"/>
          <w:szCs w:val="32"/>
        </w:rPr>
        <w:t>。</w:t>
      </w:r>
      <w:r>
        <w:rPr>
          <w:rFonts w:hint="eastAsia" w:eastAsia="楷体_GB2312"/>
          <w:color w:val="1A1A1A" w:themeColor="background1" w:themeShade="1A"/>
          <w:sz w:val="32"/>
          <w:szCs w:val="32"/>
        </w:rPr>
        <w:t>（牵头单位：区农业农村局、生态环境分局；配合单位：区市场监管局）</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加强种植业污染防治。</w:t>
      </w:r>
      <w:r>
        <w:rPr>
          <w:rFonts w:eastAsia="仿宋_GB2312"/>
          <w:color w:val="1A1A1A" w:themeColor="background1" w:themeShade="1A"/>
          <w:sz w:val="32"/>
          <w:szCs w:val="32"/>
        </w:rPr>
        <w:t>强化秸秆禁烧工作，健全完善“地市督导、县区组织、</w:t>
      </w:r>
      <w:r>
        <w:rPr>
          <w:rFonts w:hint="eastAsia" w:eastAsia="仿宋_GB2312"/>
          <w:color w:val="1A1A1A" w:themeColor="background1" w:themeShade="1A"/>
          <w:sz w:val="32"/>
          <w:szCs w:val="32"/>
        </w:rPr>
        <w:t>镇街</w:t>
      </w:r>
      <w:r>
        <w:rPr>
          <w:rFonts w:eastAsia="仿宋_GB2312"/>
          <w:color w:val="1A1A1A" w:themeColor="background1" w:themeShade="1A"/>
          <w:sz w:val="32"/>
          <w:szCs w:val="32"/>
        </w:rPr>
        <w:t>落实、村居参与”的工作网络，压实地方工作责任。</w:t>
      </w:r>
      <w:r>
        <w:rPr>
          <w:rFonts w:hint="eastAsia" w:eastAsia="仿宋_GB2312"/>
          <w:color w:val="1A1A1A" w:themeColor="background1" w:themeShade="1A"/>
          <w:sz w:val="32"/>
          <w:szCs w:val="32"/>
        </w:rPr>
        <w:t>开展</w:t>
      </w:r>
      <w:r>
        <w:rPr>
          <w:rFonts w:eastAsia="仿宋_GB2312"/>
          <w:color w:val="1A1A1A" w:themeColor="background1" w:themeShade="1A"/>
          <w:sz w:val="32"/>
          <w:szCs w:val="32"/>
        </w:rPr>
        <w:t>重点时段、重点区域露天焚烧污染整治工作。实行“人防＋技防”工作模式，综合运用禁烧高清视频监控和红外报警、高空</w:t>
      </w:r>
      <w:r>
        <w:rPr>
          <w:rFonts w:hint="eastAsia" w:ascii="微软雅黑" w:hAnsi="微软雅黑" w:eastAsia="微软雅黑" w:cs="微软雅黑"/>
          <w:color w:val="1A1A1A" w:themeColor="background1" w:themeShade="1A"/>
          <w:sz w:val="32"/>
          <w:szCs w:val="32"/>
        </w:rPr>
        <w:t>瞭</w:t>
      </w:r>
      <w:r>
        <w:rPr>
          <w:rFonts w:hint="eastAsia" w:ascii="仿宋_GB2312" w:hAnsi="仿宋_GB2312" w:eastAsia="仿宋_GB2312" w:cs="仿宋_GB2312"/>
          <w:color w:val="1A1A1A" w:themeColor="background1" w:themeShade="1A"/>
          <w:sz w:val="32"/>
          <w:szCs w:val="32"/>
        </w:rPr>
        <w:t>望</w:t>
      </w:r>
      <w:r>
        <w:rPr>
          <w:rFonts w:eastAsia="仿宋_GB2312"/>
          <w:color w:val="1A1A1A" w:themeColor="background1" w:themeShade="1A"/>
          <w:sz w:val="32"/>
          <w:szCs w:val="32"/>
        </w:rPr>
        <w:t>等手段，加强对村边地头等重点区域和夜间18时至次日6时等重点时段露天焚烧管控；建立优化露天焚烧工作快速反应机制，通过对火点进行识别，实现“两个第一”，即网格员可通过电脑、手机端第一时间发现火点位置，第一时间达到现场进行处置；严格落实地方禁烧监管目标责任考核和奖惩制度，提高秸秆禁烧工作力度和效能；禁止在城市建成区内焚烧落叶、树枝、枯草等产生烟尘的物质和沥青、油毡、橡胶、塑料、皮革、垃圾等产生有毒有害气体的物质。推进秸秆全量化综合利用，落实秸秆还田离田支持政策。2025</w:t>
      </w:r>
      <w:r>
        <w:rPr>
          <w:rFonts w:hint="eastAsia" w:eastAsia="仿宋_GB2312"/>
          <w:color w:val="1A1A1A" w:themeColor="background1" w:themeShade="1A"/>
          <w:sz w:val="32"/>
          <w:szCs w:val="32"/>
        </w:rPr>
        <w:t>年</w:t>
      </w:r>
      <w:r>
        <w:rPr>
          <w:rFonts w:eastAsia="仿宋_GB2312"/>
          <w:color w:val="1A1A1A" w:themeColor="background1" w:themeShade="1A"/>
          <w:sz w:val="32"/>
          <w:szCs w:val="32"/>
        </w:rPr>
        <w:t>年底前，</w:t>
      </w:r>
      <w:r>
        <w:rPr>
          <w:rFonts w:hint="eastAsia" w:eastAsia="仿宋_GB2312"/>
          <w:color w:val="1A1A1A" w:themeColor="background1" w:themeShade="1A"/>
          <w:sz w:val="32"/>
          <w:szCs w:val="32"/>
        </w:rPr>
        <w:t>农作物</w:t>
      </w:r>
      <w:r>
        <w:rPr>
          <w:rFonts w:eastAsia="仿宋_GB2312"/>
          <w:color w:val="1A1A1A" w:themeColor="background1" w:themeShade="1A"/>
          <w:sz w:val="32"/>
          <w:szCs w:val="32"/>
        </w:rPr>
        <w:t>秸秆综合利用率</w:t>
      </w:r>
      <w:r>
        <w:rPr>
          <w:rFonts w:hint="eastAsia" w:eastAsia="仿宋_GB2312"/>
          <w:color w:val="1A1A1A" w:themeColor="background1" w:themeShade="1A"/>
          <w:sz w:val="32"/>
          <w:szCs w:val="32"/>
        </w:rPr>
        <w:t>稳定在96%以上。统筹推进废旧农膜回收工作，健全完善农药包装废弃物回收利用体系和长效机制</w:t>
      </w:r>
      <w:r>
        <w:rPr>
          <w:rFonts w:eastAsia="仿宋_GB2312"/>
          <w:color w:val="1A1A1A" w:themeColor="background1" w:themeShade="1A"/>
          <w:sz w:val="32"/>
          <w:szCs w:val="32"/>
        </w:rPr>
        <w:t>。</w:t>
      </w:r>
      <w:r>
        <w:rPr>
          <w:rFonts w:hint="eastAsia" w:eastAsia="仿宋_GB2312"/>
          <w:color w:val="1A1A1A" w:themeColor="background1" w:themeShade="1A"/>
          <w:sz w:val="32"/>
          <w:szCs w:val="32"/>
        </w:rPr>
        <w:t>到</w:t>
      </w:r>
      <w:r>
        <w:rPr>
          <w:rFonts w:eastAsia="仿宋_GB2312"/>
          <w:color w:val="1A1A1A" w:themeColor="background1" w:themeShade="1A"/>
          <w:sz w:val="32"/>
          <w:szCs w:val="32"/>
        </w:rPr>
        <w:t>2023</w:t>
      </w:r>
      <w:r>
        <w:rPr>
          <w:rFonts w:hint="eastAsia" w:eastAsia="仿宋_GB2312"/>
          <w:color w:val="1A1A1A" w:themeColor="background1" w:themeShade="1A"/>
          <w:sz w:val="32"/>
          <w:szCs w:val="32"/>
        </w:rPr>
        <w:t>年，农药包装废弃物和农膜得到有效回收或无害化处理。</w:t>
      </w:r>
      <w:r>
        <w:rPr>
          <w:rFonts w:hint="eastAsia" w:eastAsia="楷体_GB2312"/>
          <w:color w:val="1A1A1A" w:themeColor="background1" w:themeShade="1A"/>
          <w:sz w:val="32"/>
          <w:szCs w:val="32"/>
        </w:rPr>
        <w:t>（区农业农村局、区综合行政执法局按职责分工负责）</w:t>
      </w:r>
    </w:p>
    <w:tbl>
      <w:tblPr>
        <w:tblStyle w:val="2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8920" w:type="dxa"/>
            <w:vAlign w:val="center"/>
          </w:tcPr>
          <w:p>
            <w:pPr>
              <w:widowControl/>
              <w:spacing w:line="360" w:lineRule="auto"/>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专栏</w:t>
            </w:r>
            <w:r>
              <w:rPr>
                <w:rFonts w:eastAsia="仿宋_GB2312"/>
                <w:color w:val="1A1A1A" w:themeColor="background1" w:themeShade="1A"/>
                <w:sz w:val="24"/>
                <w:szCs w:val="24"/>
              </w:rPr>
              <w:t>5</w:t>
            </w:r>
            <w:r>
              <w:rPr>
                <w:rFonts w:hint="eastAsia" w:eastAsia="仿宋_GB2312"/>
                <w:color w:val="1A1A1A" w:themeColor="background1" w:themeShade="1A"/>
                <w:sz w:val="24"/>
                <w:szCs w:val="24"/>
              </w:rPr>
              <w:t>：农村环境</w:t>
            </w:r>
            <w:r>
              <w:rPr>
                <w:rFonts w:eastAsia="仿宋_GB2312"/>
                <w:color w:val="1A1A1A" w:themeColor="background1" w:themeShade="1A"/>
                <w:sz w:val="24"/>
                <w:szCs w:val="24"/>
              </w:rPr>
              <w:t>保护</w:t>
            </w:r>
            <w:r>
              <w:rPr>
                <w:rFonts w:hint="eastAsia" w:eastAsia="仿宋_GB2312"/>
                <w:color w:val="1A1A1A" w:themeColor="background1" w:themeShade="1A"/>
                <w:sz w:val="24"/>
                <w:szCs w:val="24"/>
              </w:rPr>
              <w:t>重点工程</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实施小孟镇南门村污水处理设施及管网建设改造项目，新建处理能力为450吨/日污水处理设施一座；建设改造污水管网2公里。实施小孟镇太平村污水处理设施及管网建设改造项目，新建处理能力为25吨/日污水处理设施一座，建设改造污水管网1公里。</w:t>
            </w:r>
          </w:p>
        </w:tc>
      </w:tr>
    </w:tbl>
    <w:p>
      <w:pPr>
        <w:adjustRightInd w:val="0"/>
        <w:spacing w:before="312" w:beforeLines="100" w:after="312" w:afterLines="100"/>
        <w:jc w:val="center"/>
        <w:textAlignment w:val="baseline"/>
        <w:outlineLvl w:val="0"/>
        <w:rPr>
          <w:rFonts w:eastAsia="黑体"/>
          <w:b/>
          <w:color w:val="1A1A1A" w:themeColor="background1" w:themeShade="1A"/>
          <w:sz w:val="32"/>
          <w:szCs w:val="32"/>
        </w:rPr>
      </w:pPr>
      <w:bookmarkStart w:id="74" w:name="_Toc71552506"/>
      <w:bookmarkStart w:id="75" w:name="_Toc116030731"/>
      <w:bookmarkStart w:id="76" w:name="_Toc68990856"/>
      <w:bookmarkStart w:id="77" w:name="_Hlk56525996"/>
      <w:r>
        <w:rPr>
          <w:rFonts w:eastAsia="黑体"/>
          <w:b/>
          <w:color w:val="1A1A1A" w:themeColor="background1" w:themeShade="1A"/>
          <w:sz w:val="32"/>
          <w:szCs w:val="32"/>
        </w:rPr>
        <w:t xml:space="preserve">第八章  </w:t>
      </w:r>
      <w:bookmarkEnd w:id="74"/>
      <w:r>
        <w:rPr>
          <w:rFonts w:hint="eastAsia" w:eastAsia="黑体"/>
          <w:b/>
          <w:color w:val="1A1A1A" w:themeColor="background1" w:themeShade="1A"/>
          <w:sz w:val="32"/>
          <w:szCs w:val="32"/>
        </w:rPr>
        <w:t>统筹保护修复  提升生态系统质量和稳定性</w:t>
      </w:r>
      <w:bookmarkEnd w:id="75"/>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78" w:name="_Toc116030732"/>
      <w:bookmarkStart w:id="79" w:name="_Toc76480087"/>
      <w:r>
        <w:rPr>
          <w:rFonts w:eastAsia="楷体_GB2312"/>
          <w:b/>
          <w:color w:val="1A1A1A" w:themeColor="background1" w:themeShade="1A"/>
          <w:sz w:val="32"/>
          <w:szCs w:val="32"/>
        </w:rPr>
        <w:t>第一节  守住自然生态安全底线</w:t>
      </w:r>
      <w:bookmarkEnd w:id="78"/>
      <w:bookmarkEnd w:id="79"/>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加快推进生态保护红线评估调整。</w:t>
      </w:r>
      <w:r>
        <w:rPr>
          <w:rFonts w:eastAsia="仿宋_GB2312"/>
          <w:color w:val="1A1A1A" w:themeColor="background1" w:themeShade="1A"/>
          <w:sz w:val="32"/>
          <w:szCs w:val="32"/>
        </w:rPr>
        <w:t>依据第三次国土调查结果，统筹生态保护红线、永久基本农田、城镇开发边界三条控制线，衔接土地利用规划、城乡规划、交通、水利、河湖岸线保护利用等相关规划，</w:t>
      </w:r>
      <w:r>
        <w:rPr>
          <w:rFonts w:hint="eastAsia" w:eastAsia="仿宋_GB2312"/>
          <w:color w:val="1A1A1A" w:themeColor="background1" w:themeShade="1A"/>
          <w:sz w:val="32"/>
          <w:szCs w:val="32"/>
        </w:rPr>
        <w:t>将不存在矛盾冲突的生态功能极重要、生态环境极敏感脆弱区域纳入生态保护红线，完成生态保护红线评估调整工作</w:t>
      </w:r>
      <w:r>
        <w:rPr>
          <w:rFonts w:eastAsia="仿宋_GB2312"/>
          <w:color w:val="1A1A1A" w:themeColor="background1" w:themeShade="1A"/>
          <w:sz w:val="32"/>
          <w:szCs w:val="32"/>
        </w:rPr>
        <w:t>。</w:t>
      </w:r>
      <w:r>
        <w:rPr>
          <w:rFonts w:hint="eastAsia" w:eastAsia="楷体_GB2312"/>
          <w:color w:val="1A1A1A" w:themeColor="background1" w:themeShade="1A"/>
          <w:sz w:val="32"/>
          <w:szCs w:val="32"/>
        </w:rPr>
        <w:t>（区自然资源局、生态环境分局按职责分工负责）</w:t>
      </w:r>
    </w:p>
    <w:p>
      <w:pPr>
        <w:pStyle w:val="46"/>
        <w:spacing w:line="360" w:lineRule="auto"/>
        <w:ind w:firstLine="643"/>
        <w:rPr>
          <w:rFonts w:eastAsia="仿宋_GB2312"/>
          <w:color w:val="1A1A1A" w:themeColor="background1" w:themeShade="1A"/>
          <w:sz w:val="32"/>
          <w:szCs w:val="32"/>
        </w:rPr>
      </w:pPr>
      <w:r>
        <w:rPr>
          <w:rFonts w:eastAsia="楷体_GB2312"/>
          <w:b/>
          <w:bCs/>
          <w:color w:val="1A1A1A" w:themeColor="background1" w:themeShade="1A"/>
          <w:sz w:val="32"/>
          <w:szCs w:val="32"/>
        </w:rPr>
        <w:t>强化生态保护执法监管。</w:t>
      </w:r>
      <w:r>
        <w:rPr>
          <w:rFonts w:hint="eastAsia" w:eastAsia="仿宋_GB2312"/>
          <w:color w:val="1A1A1A" w:themeColor="background1" w:themeShade="1A"/>
          <w:sz w:val="32"/>
          <w:szCs w:val="32"/>
        </w:rPr>
        <w:t>落实分级协同的生态监管评估机制。落实山东省生态保护红线生态环境监管办法，及时核实、查处国家、省级和市级推送的遥感监测问题线索并监督保护修复情况。依法组织开展生态保护红线监督执法，对发现的问题及时通报，由相关部门依据职责依法依规处理。加强部门协同，完善执法信息移交、反馈机制。定期对生态保护红线的保护修复成效进行评估。落实生态环境损害赔偿制度，加大案件办理力度，确保赔偿到位、修复有效。加大对挤占生态空间和损害重要生态系统行为的惩处力度，对违反生态保护管控要求，造成生态破坏的单位和个人，依法追究责任。</w:t>
      </w:r>
      <w:r>
        <w:rPr>
          <w:rFonts w:hint="eastAsia" w:eastAsia="楷体_GB2312"/>
          <w:color w:val="1A1A1A" w:themeColor="background1" w:themeShade="1A"/>
          <w:sz w:val="32"/>
          <w:szCs w:val="32"/>
        </w:rPr>
        <w:t>（牵头单位：生态环境分局；配合单位：区自然资源局、区水务局、区农业农村局）</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80" w:name="_Toc76480088"/>
      <w:bookmarkStart w:id="81" w:name="_Toc116030733"/>
      <w:r>
        <w:rPr>
          <w:rFonts w:eastAsia="楷体_GB2312"/>
          <w:b/>
          <w:color w:val="1A1A1A" w:themeColor="background1" w:themeShade="1A"/>
          <w:sz w:val="32"/>
          <w:szCs w:val="32"/>
        </w:rPr>
        <w:t>第二节  加强生态系统保护与修复</w:t>
      </w:r>
      <w:bookmarkEnd w:id="80"/>
      <w:bookmarkEnd w:id="81"/>
    </w:p>
    <w:p>
      <w:pPr>
        <w:pStyle w:val="46"/>
        <w:spacing w:line="360" w:lineRule="auto"/>
        <w:ind w:firstLine="643"/>
        <w:rPr>
          <w:rFonts w:eastAsia="仿宋_GB2312" w:cs="仿宋_GB2312"/>
          <w:color w:val="1A1A1A" w:themeColor="background1" w:themeShade="1A"/>
          <w:sz w:val="32"/>
          <w:szCs w:val="32"/>
          <w:shd w:val="clear" w:color="auto" w:fill="FFFFFF"/>
        </w:rPr>
      </w:pPr>
      <w:r>
        <w:rPr>
          <w:rFonts w:eastAsia="楷体_GB2312"/>
          <w:b/>
          <w:bCs/>
          <w:color w:val="1A1A1A" w:themeColor="background1" w:themeShade="1A"/>
          <w:sz w:val="32"/>
          <w:szCs w:val="32"/>
        </w:rPr>
        <w:t>统筹山水林田湖草</w:t>
      </w:r>
      <w:r>
        <w:rPr>
          <w:rFonts w:hint="eastAsia" w:eastAsia="楷体_GB2312"/>
          <w:b/>
          <w:bCs/>
          <w:color w:val="1A1A1A" w:themeColor="background1" w:themeShade="1A"/>
          <w:sz w:val="32"/>
          <w:szCs w:val="32"/>
        </w:rPr>
        <w:t>沙</w:t>
      </w:r>
      <w:r>
        <w:rPr>
          <w:rFonts w:eastAsia="楷体_GB2312"/>
          <w:b/>
          <w:bCs/>
          <w:color w:val="1A1A1A" w:themeColor="background1" w:themeShade="1A"/>
          <w:sz w:val="32"/>
          <w:szCs w:val="32"/>
        </w:rPr>
        <w:t>系统治理。</w:t>
      </w:r>
      <w:r>
        <w:rPr>
          <w:rFonts w:hint="eastAsia" w:eastAsia="仿宋_GB2312"/>
          <w:color w:val="1A1A1A" w:themeColor="background1" w:themeShade="1A"/>
          <w:sz w:val="32"/>
          <w:szCs w:val="32"/>
        </w:rPr>
        <w:t>实施重要生态系统保护和修复工程、山水林田湖草沙一体化保护和修复工程。加快构建集防洪、供水、生态等多功能于一体的现代水网。推行河流休养生息。深化河长制、林长制、田长制改革。科学推进水土流失综合治理，到</w:t>
      </w:r>
      <w:r>
        <w:rPr>
          <w:rFonts w:eastAsia="仿宋_GB2312"/>
          <w:color w:val="1A1A1A" w:themeColor="background1" w:themeShade="1A"/>
          <w:sz w:val="32"/>
          <w:szCs w:val="32"/>
        </w:rPr>
        <w:t>2025</w:t>
      </w:r>
      <w:r>
        <w:rPr>
          <w:rFonts w:hint="eastAsia" w:eastAsia="仿宋_GB2312"/>
          <w:color w:val="1A1A1A" w:themeColor="background1" w:themeShade="1A"/>
          <w:sz w:val="32"/>
          <w:szCs w:val="32"/>
        </w:rPr>
        <w:t>年，全区新增水土流失综合治理面积</w:t>
      </w:r>
      <w:r>
        <w:rPr>
          <w:rFonts w:eastAsia="仿宋_GB2312"/>
          <w:color w:val="1A1A1A" w:themeColor="background1" w:themeShade="1A"/>
          <w:sz w:val="32"/>
          <w:szCs w:val="32"/>
        </w:rPr>
        <w:t>2</w:t>
      </w:r>
      <w:r>
        <w:rPr>
          <w:rFonts w:hint="eastAsia" w:eastAsia="仿宋_GB2312"/>
          <w:color w:val="1A1A1A" w:themeColor="background1" w:themeShade="1A"/>
          <w:sz w:val="32"/>
          <w:szCs w:val="32"/>
        </w:rPr>
        <w:t>平方公里。深入推进城市增绿和绿化品质提升，科学规划布局城市绿环绿廊绿楔绿道和城市通风廊道。按照居民出行“</w:t>
      </w:r>
      <w:r>
        <w:rPr>
          <w:rFonts w:eastAsia="仿宋_GB2312"/>
          <w:color w:val="1A1A1A" w:themeColor="background1" w:themeShade="1A"/>
          <w:sz w:val="32"/>
          <w:szCs w:val="32"/>
        </w:rPr>
        <w:t>300</w:t>
      </w:r>
      <w:r>
        <w:rPr>
          <w:rFonts w:hint="eastAsia" w:eastAsia="仿宋_GB2312"/>
          <w:color w:val="1A1A1A" w:themeColor="background1" w:themeShade="1A"/>
          <w:sz w:val="32"/>
          <w:szCs w:val="32"/>
        </w:rPr>
        <w:t>米见绿，</w:t>
      </w:r>
      <w:r>
        <w:rPr>
          <w:rFonts w:eastAsia="仿宋_GB2312"/>
          <w:color w:val="1A1A1A" w:themeColor="background1" w:themeShade="1A"/>
          <w:sz w:val="32"/>
          <w:szCs w:val="32"/>
        </w:rPr>
        <w:t>500</w:t>
      </w:r>
      <w:r>
        <w:rPr>
          <w:rFonts w:hint="eastAsia" w:eastAsia="仿宋_GB2312"/>
          <w:color w:val="1A1A1A" w:themeColor="background1" w:themeShade="1A"/>
          <w:sz w:val="32"/>
          <w:szCs w:val="32"/>
        </w:rPr>
        <w:t>米见园”的要求，构建多层次城市公园体系，建成“三季有花、四季常绿”的公园城市。到</w:t>
      </w:r>
      <w:r>
        <w:rPr>
          <w:rFonts w:eastAsia="仿宋_GB2312"/>
          <w:color w:val="1A1A1A" w:themeColor="background1" w:themeShade="1A"/>
          <w:sz w:val="32"/>
          <w:szCs w:val="32"/>
        </w:rPr>
        <w:t>2025</w:t>
      </w:r>
      <w:r>
        <w:rPr>
          <w:rFonts w:hint="eastAsia" w:eastAsia="仿宋_GB2312"/>
          <w:color w:val="1A1A1A" w:themeColor="background1" w:themeShade="1A"/>
          <w:sz w:val="32"/>
          <w:szCs w:val="32"/>
        </w:rPr>
        <w:t>年，城区绿地率达到</w:t>
      </w:r>
      <w:r>
        <w:rPr>
          <w:rFonts w:eastAsia="仿宋_GB2312"/>
          <w:color w:val="1A1A1A" w:themeColor="background1" w:themeShade="1A"/>
          <w:sz w:val="32"/>
          <w:szCs w:val="32"/>
        </w:rPr>
        <w:t>47%</w:t>
      </w:r>
      <w:r>
        <w:rPr>
          <w:rFonts w:hint="eastAsia" w:eastAsia="仿宋_GB2312"/>
          <w:color w:val="1A1A1A" w:themeColor="background1" w:themeShade="1A"/>
          <w:sz w:val="32"/>
          <w:szCs w:val="32"/>
        </w:rPr>
        <w:t>以上，人均公园绿地面积达到</w:t>
      </w:r>
      <w:r>
        <w:rPr>
          <w:rFonts w:eastAsia="仿宋_GB2312"/>
          <w:color w:val="1A1A1A" w:themeColor="background1" w:themeShade="1A"/>
          <w:sz w:val="32"/>
          <w:szCs w:val="32"/>
        </w:rPr>
        <w:t>17</w:t>
      </w:r>
      <w:r>
        <w:rPr>
          <w:rFonts w:hint="eastAsia" w:eastAsia="仿宋_GB2312"/>
          <w:color w:val="1A1A1A" w:themeColor="background1" w:themeShade="1A"/>
          <w:sz w:val="32"/>
          <w:szCs w:val="32"/>
        </w:rPr>
        <w:t>平方米。</w:t>
      </w:r>
      <w:r>
        <w:rPr>
          <w:rFonts w:hint="eastAsia" w:eastAsia="楷体_GB2312"/>
          <w:color w:val="1A1A1A" w:themeColor="background1" w:themeShade="1A"/>
          <w:sz w:val="32"/>
          <w:szCs w:val="32"/>
        </w:rPr>
        <w:t>（区自然资源局、区水务局、区综合行政执法局按职责分工负责）</w:t>
      </w:r>
      <w:r>
        <w:rPr>
          <w:rFonts w:hint="eastAsia" w:eastAsia="仿宋_GB2312"/>
          <w:color w:val="1A1A1A" w:themeColor="background1" w:themeShade="1A"/>
          <w:sz w:val="32"/>
          <w:szCs w:val="32"/>
        </w:rPr>
        <w:t>强化河湖生态修复。实施河湖菹草等水生植物综合整治，定期打捞收割，减少菹草腐烂对河湖水质影响。提前谋划</w:t>
      </w:r>
      <w:r>
        <w:rPr>
          <w:rFonts w:eastAsia="仿宋_GB2312"/>
          <w:color w:val="1A1A1A" w:themeColor="background1" w:themeShade="1A"/>
          <w:sz w:val="32"/>
          <w:szCs w:val="32"/>
        </w:rPr>
        <w:t>3</w:t>
      </w:r>
      <w:r>
        <w:rPr>
          <w:rFonts w:hint="eastAsia" w:eastAsia="仿宋_GB2312"/>
          <w:color w:val="1A1A1A" w:themeColor="background1" w:themeShade="1A"/>
          <w:sz w:val="32"/>
          <w:szCs w:val="32"/>
        </w:rPr>
        <w:t>处人工湿地水质净化工程，健全人工湿地运维资金保障机制。开展增殖放流，科学投放滤食性、草食性鱼类，放流鲢鱼、鳙鱼、草鱼等优质鱼苗。</w:t>
      </w:r>
      <w:r>
        <w:rPr>
          <w:rFonts w:hint="eastAsia" w:ascii="楷体_GB2312" w:eastAsia="楷体_GB2312" w:cs="楷体_GB2312"/>
          <w:color w:val="1A1A1A" w:themeColor="background1" w:themeShade="1A"/>
          <w:sz w:val="32"/>
          <w:szCs w:val="32"/>
        </w:rPr>
        <w:t>（区水务区、区综合行政执法局、生态环境分局、区农业农村局、区财政局、颜店新城建设管理服务中心、新兖镇政府等按职责分工负责）</w:t>
      </w:r>
      <w:bookmarkStart w:id="82" w:name="_Hlk115878589"/>
      <w:r>
        <w:rPr>
          <w:rFonts w:hint="eastAsia" w:eastAsia="仿宋_GB2312"/>
          <w:color w:val="1A1A1A" w:themeColor="background1" w:themeShade="1A"/>
          <w:sz w:val="32"/>
          <w:szCs w:val="32"/>
        </w:rPr>
        <w:t>加快采煤塌陷地整治。依据治理任务目标，结合塌陷地分布、现状更新调查、治理进展情况，全区到</w:t>
      </w:r>
      <w:r>
        <w:rPr>
          <w:rFonts w:eastAsia="仿宋_GB2312"/>
          <w:color w:val="1A1A1A" w:themeColor="background1" w:themeShade="1A"/>
          <w:sz w:val="32"/>
          <w:szCs w:val="32"/>
        </w:rPr>
        <w:t>2022</w:t>
      </w:r>
      <w:r>
        <w:rPr>
          <w:rFonts w:hint="eastAsia" w:eastAsia="仿宋_GB2312"/>
          <w:color w:val="1A1A1A" w:themeColor="background1" w:themeShade="1A"/>
          <w:sz w:val="32"/>
          <w:szCs w:val="32"/>
        </w:rPr>
        <w:t>年年底前稳沉和历史遗留塌陷地治理率达到</w:t>
      </w:r>
      <w:r>
        <w:rPr>
          <w:rFonts w:eastAsia="仿宋_GB2312"/>
          <w:color w:val="1A1A1A" w:themeColor="background1" w:themeShade="1A"/>
          <w:sz w:val="32"/>
          <w:szCs w:val="32"/>
        </w:rPr>
        <w:t>100%</w:t>
      </w:r>
      <w:r>
        <w:rPr>
          <w:rFonts w:hint="eastAsia" w:eastAsia="仿宋_GB2312"/>
          <w:color w:val="1A1A1A" w:themeColor="background1" w:themeShade="1A"/>
          <w:sz w:val="32"/>
          <w:szCs w:val="32"/>
        </w:rPr>
        <w:t>。根据能源发展规划和安全生产以及新旧动能转换要求，制定煤炭企业限采、缓采、减采措施，不断减少采煤塌陷地的形成，全区新增塌陷地面积年均减少</w:t>
      </w:r>
      <w:r>
        <w:rPr>
          <w:rFonts w:eastAsia="仿宋_GB2312"/>
          <w:color w:val="1A1A1A" w:themeColor="background1" w:themeShade="1A"/>
          <w:sz w:val="32"/>
          <w:szCs w:val="32"/>
        </w:rPr>
        <w:t>6.6%</w:t>
      </w:r>
      <w:r>
        <w:rPr>
          <w:rFonts w:hint="eastAsia" w:eastAsia="仿宋_GB2312"/>
          <w:color w:val="1A1A1A" w:themeColor="background1" w:themeShade="1A"/>
          <w:sz w:val="32"/>
          <w:szCs w:val="32"/>
        </w:rPr>
        <w:t>。</w:t>
      </w:r>
      <w:r>
        <w:rPr>
          <w:rFonts w:hint="eastAsia" w:eastAsia="楷体_GB2312"/>
          <w:color w:val="1A1A1A" w:themeColor="background1" w:themeShade="1A"/>
          <w:sz w:val="32"/>
          <w:szCs w:val="32"/>
        </w:rPr>
        <w:t>（区自然资源局、区发展改革局按职责分工负责）</w:t>
      </w:r>
    </w:p>
    <w:bookmarkEnd w:id="82"/>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开展生态保护修复成效自评估</w:t>
      </w:r>
      <w:r>
        <w:rPr>
          <w:rFonts w:eastAsia="楷体_GB2312"/>
          <w:b/>
          <w:bCs/>
          <w:color w:val="1A1A1A" w:themeColor="background1" w:themeShade="1A"/>
          <w:sz w:val="32"/>
          <w:szCs w:val="32"/>
        </w:rPr>
        <w:t>。</w:t>
      </w:r>
      <w:r>
        <w:rPr>
          <w:rFonts w:eastAsia="仿宋_GB2312"/>
          <w:color w:val="1A1A1A" w:themeColor="background1" w:themeShade="1A"/>
          <w:sz w:val="32"/>
          <w:szCs w:val="32"/>
        </w:rPr>
        <w:t>定期组织开展生态保护修复工程实施成效自评估，工程实施主体在实施修复全过程中，开展生态质量、环境质量变化情况监测。</w:t>
      </w:r>
      <w:r>
        <w:rPr>
          <w:rFonts w:hint="eastAsia" w:eastAsia="楷体_GB2312"/>
          <w:color w:val="1A1A1A" w:themeColor="background1" w:themeShade="1A"/>
          <w:sz w:val="32"/>
          <w:szCs w:val="32"/>
        </w:rPr>
        <w:t>（生态环境分局、</w:t>
      </w:r>
      <w:bookmarkStart w:id="83" w:name="_Hlk115880836"/>
      <w:r>
        <w:rPr>
          <w:rFonts w:hint="eastAsia" w:eastAsia="楷体_GB2312"/>
          <w:color w:val="1A1A1A" w:themeColor="background1" w:themeShade="1A"/>
          <w:sz w:val="32"/>
          <w:szCs w:val="32"/>
        </w:rPr>
        <w:t>区</w:t>
      </w:r>
      <w:bookmarkEnd w:id="83"/>
      <w:r>
        <w:rPr>
          <w:rFonts w:hint="eastAsia" w:eastAsia="楷体_GB2312"/>
          <w:color w:val="1A1A1A" w:themeColor="background1" w:themeShade="1A"/>
          <w:sz w:val="32"/>
          <w:szCs w:val="32"/>
        </w:rPr>
        <w:t>自然资源局按职责分工负责）</w:t>
      </w:r>
    </w:p>
    <w:p>
      <w:pPr>
        <w:spacing w:line="590" w:lineRule="exact"/>
        <w:ind w:firstLine="642" w:firstLineChars="200"/>
        <w:rPr>
          <w:rFonts w:ascii="楷体_GB2312" w:eastAsia="楷体_GB2312"/>
          <w:color w:val="1A1A1A" w:themeColor="background1" w:themeShade="1A"/>
          <w:sz w:val="32"/>
          <w:szCs w:val="32"/>
        </w:rPr>
      </w:pPr>
      <w:r>
        <w:rPr>
          <w:rFonts w:hint="eastAsia" w:eastAsia="楷体_GB2312"/>
          <w:b/>
          <w:bCs/>
          <w:color w:val="1A1A1A" w:themeColor="background1" w:themeShade="1A"/>
          <w:sz w:val="32"/>
          <w:szCs w:val="32"/>
        </w:rPr>
        <w:t>推动生态质量指数提升。</w:t>
      </w:r>
      <w:r>
        <w:rPr>
          <w:rFonts w:hint="eastAsia" w:eastAsia="仿宋_GB2312" w:cs="仿宋_GB2312"/>
          <w:color w:val="1A1A1A" w:themeColor="background1" w:themeShade="1A"/>
          <w:sz w:val="32"/>
          <w:szCs w:val="32"/>
        </w:rPr>
        <w:t>加强评价办法的学习研究，全面做好生态环境质量指数（</w:t>
      </w:r>
      <w:r>
        <w:rPr>
          <w:rFonts w:eastAsia="仿宋_GB2312"/>
          <w:color w:val="1A1A1A" w:themeColor="background1" w:themeShade="1A"/>
          <w:sz w:val="32"/>
          <w:szCs w:val="32"/>
        </w:rPr>
        <w:t>EQI</w:t>
      </w:r>
      <w:r>
        <w:rPr>
          <w:rFonts w:hint="eastAsia" w:eastAsia="仿宋_GB2312" w:cs="仿宋_GB2312"/>
          <w:color w:val="1A1A1A" w:themeColor="background1" w:themeShade="1A"/>
          <w:sz w:val="32"/>
          <w:szCs w:val="32"/>
        </w:rPr>
        <w:t>）指标相关工作，提升全区生态系统质量和稳定性。</w:t>
      </w:r>
      <w:r>
        <w:rPr>
          <w:rFonts w:hint="eastAsia" w:ascii="楷体_GB2312" w:eastAsia="楷体_GB2312" w:cs="楷体_GB2312"/>
          <w:color w:val="1A1A1A" w:themeColor="background1" w:themeShade="1A"/>
          <w:sz w:val="32"/>
          <w:szCs w:val="32"/>
        </w:rPr>
        <w:t>（生态环境分局、区自然资源局、区水务局、区农业农村局、区住房城乡建设局、区综合行政执法局等</w:t>
      </w:r>
      <w:r>
        <w:rPr>
          <w:rFonts w:hint="eastAsia" w:eastAsia="楷体_GB2312"/>
          <w:color w:val="1A1A1A" w:themeColor="background1" w:themeShade="1A"/>
          <w:sz w:val="32"/>
          <w:szCs w:val="32"/>
        </w:rPr>
        <w:t>按职责分工负责</w:t>
      </w:r>
      <w:r>
        <w:rPr>
          <w:rFonts w:hint="eastAsia" w:ascii="楷体_GB2312" w:eastAsia="楷体_GB2312" w:cs="楷体_GB2312"/>
          <w:color w:val="1A1A1A" w:themeColor="background1" w:themeShade="1A"/>
          <w:sz w:val="32"/>
          <w:szCs w:val="32"/>
        </w:rPr>
        <w:t>）</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84" w:name="_Toc116030734"/>
      <w:r>
        <w:rPr>
          <w:rFonts w:eastAsia="楷体_GB2312"/>
          <w:b/>
          <w:color w:val="1A1A1A" w:themeColor="background1" w:themeShade="1A"/>
          <w:sz w:val="32"/>
          <w:szCs w:val="32"/>
        </w:rPr>
        <w:t>第</w:t>
      </w:r>
      <w:r>
        <w:rPr>
          <w:rFonts w:hint="eastAsia" w:eastAsia="楷体_GB2312"/>
          <w:b/>
          <w:color w:val="1A1A1A" w:themeColor="background1" w:themeShade="1A"/>
          <w:sz w:val="32"/>
          <w:szCs w:val="32"/>
        </w:rPr>
        <w:t>三</w:t>
      </w:r>
      <w:r>
        <w:rPr>
          <w:rFonts w:eastAsia="楷体_GB2312"/>
          <w:b/>
          <w:color w:val="1A1A1A" w:themeColor="background1" w:themeShade="1A"/>
          <w:sz w:val="32"/>
          <w:szCs w:val="32"/>
        </w:rPr>
        <w:t xml:space="preserve">节  </w:t>
      </w:r>
      <w:r>
        <w:rPr>
          <w:rFonts w:hint="eastAsia" w:eastAsia="楷体_GB2312"/>
          <w:b/>
          <w:color w:val="1A1A1A" w:themeColor="background1" w:themeShade="1A"/>
          <w:sz w:val="32"/>
          <w:szCs w:val="32"/>
        </w:rPr>
        <w:t>加强生物多样性保护</w:t>
      </w:r>
      <w:bookmarkEnd w:id="84"/>
    </w:p>
    <w:p>
      <w:pPr>
        <w:spacing w:line="590" w:lineRule="exact"/>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提升生物多样性保护水平。</w:t>
      </w:r>
      <w:r>
        <w:rPr>
          <w:rFonts w:hint="eastAsia" w:eastAsia="仿宋_GB2312"/>
          <w:color w:val="1A1A1A" w:themeColor="background1" w:themeShade="1A"/>
          <w:sz w:val="32"/>
          <w:szCs w:val="32"/>
        </w:rPr>
        <w:t>开展野生动植物资源调查。</w:t>
      </w:r>
      <w:r>
        <w:rPr>
          <w:rFonts w:hint="eastAsia" w:eastAsia="仿宋_GB2312" w:cs="仿宋_GB2312"/>
          <w:color w:val="1A1A1A" w:themeColor="background1" w:themeShade="1A"/>
          <w:sz w:val="32"/>
          <w:szCs w:val="32"/>
        </w:rPr>
        <w:t>加大珍惜濒危野生动植物保护拯救力度，严厉打击非法猎捕、交易、食用野生动物行为。</w:t>
      </w:r>
      <w:r>
        <w:rPr>
          <w:rFonts w:hint="eastAsia" w:eastAsia="仿宋_GB2312"/>
          <w:color w:val="1A1A1A" w:themeColor="background1" w:themeShade="1A"/>
          <w:sz w:val="32"/>
          <w:szCs w:val="32"/>
        </w:rPr>
        <w:t>加强生物多样性保护与生物安全宣传教育。统筹就地保护和迁地保护，加强国家重点保护和珍稀濒危野生动植物及栖息地、原生境的保护修复，连通重要物种迁徙扩散生态廊道，构筑生物多样性保护网络。实施濒危野生动植物抢救性保护，实施珍稀濒危和极小种群物种抢救性保护，恢复提升重要保护物种、指示性物种野外物种种群数量。</w:t>
      </w:r>
      <w:r>
        <w:rPr>
          <w:rFonts w:hint="eastAsia" w:eastAsia="楷体_GB2312"/>
          <w:color w:val="1A1A1A" w:themeColor="background1" w:themeShade="1A"/>
          <w:sz w:val="32"/>
          <w:szCs w:val="32"/>
        </w:rPr>
        <w:t>（区自然资源局、生态环境分局、区水务局、区农业农村局、</w:t>
      </w:r>
      <w:bookmarkStart w:id="85" w:name="_Hlk115880912"/>
      <w:r>
        <w:rPr>
          <w:rFonts w:hint="eastAsia" w:eastAsia="楷体_GB2312"/>
          <w:color w:val="1A1A1A" w:themeColor="background1" w:themeShade="1A"/>
          <w:sz w:val="32"/>
          <w:szCs w:val="32"/>
        </w:rPr>
        <w:t>区</w:t>
      </w:r>
      <w:bookmarkEnd w:id="85"/>
      <w:r>
        <w:rPr>
          <w:rFonts w:hint="eastAsia" w:eastAsia="楷体_GB2312"/>
          <w:color w:val="1A1A1A" w:themeColor="background1" w:themeShade="1A"/>
          <w:sz w:val="32"/>
          <w:szCs w:val="32"/>
        </w:rPr>
        <w:t>市场监管局等按职责分工负责）</w:t>
      </w:r>
      <w:r>
        <w:rPr>
          <w:rFonts w:hint="eastAsia" w:eastAsia="仿宋_GB2312" w:cs="仿宋_GB2312"/>
          <w:color w:val="1A1A1A" w:themeColor="background1" w:themeShade="1A"/>
          <w:sz w:val="32"/>
          <w:szCs w:val="32"/>
        </w:rPr>
        <w:t>持续开展</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放鱼养水</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等增殖放流活动，科学投放滤食性、草食性鱼类，放养草鱼、鲢鱼等各类优质鱼苗。</w:t>
      </w:r>
      <w:r>
        <w:rPr>
          <w:rFonts w:hint="eastAsia" w:eastAsia="楷体_GB2312"/>
          <w:color w:val="1A1A1A" w:themeColor="background1" w:themeShade="1A"/>
          <w:sz w:val="32"/>
          <w:szCs w:val="32"/>
        </w:rPr>
        <w:t>（责任单位：区农业农村局）</w:t>
      </w:r>
    </w:p>
    <w:p>
      <w:pPr>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加强生物安全管理</w:t>
      </w:r>
      <w:r>
        <w:rPr>
          <w:rFonts w:eastAsia="楷体_GB2312"/>
          <w:b/>
          <w:bCs/>
          <w:color w:val="1A1A1A" w:themeColor="background1" w:themeShade="1A"/>
          <w:sz w:val="32"/>
          <w:szCs w:val="32"/>
        </w:rPr>
        <w:t>。</w:t>
      </w:r>
      <w:r>
        <w:rPr>
          <w:rFonts w:hint="eastAsia" w:eastAsia="仿宋_GB2312" w:cs="仿宋_GB2312"/>
          <w:color w:val="1A1A1A" w:themeColor="background1" w:themeShade="1A"/>
          <w:sz w:val="32"/>
          <w:szCs w:val="32"/>
        </w:rPr>
        <w:t>加强对外来入侵物种科普宣传、实地排查和清除防治等工作，严格外来入侵物种防控。</w:t>
      </w:r>
      <w:r>
        <w:rPr>
          <w:rFonts w:hint="eastAsia" w:eastAsia="仿宋_GB2312"/>
          <w:color w:val="1A1A1A" w:themeColor="background1" w:themeShade="1A"/>
          <w:sz w:val="32"/>
          <w:szCs w:val="32"/>
        </w:rPr>
        <w:t>完善监测和预警体系，持续开展自然生态系统外来入侵物种调查、监测和预警。加强松材线虫、悬铃木方翅网蝽、美国白蛾、苹果绵蚜、日本松干蚧、刺槐叶瘿蚊等外来入侵物种管控。加强对生物多样性保护优先区域等重点区域外来入侵物种防控工作的监督，落实生物安全法。</w:t>
      </w:r>
      <w:r>
        <w:rPr>
          <w:rFonts w:hint="eastAsia" w:eastAsia="楷体_GB2312"/>
          <w:color w:val="1A1A1A" w:themeColor="background1" w:themeShade="1A"/>
          <w:sz w:val="32"/>
          <w:szCs w:val="32"/>
        </w:rPr>
        <w:t>（区农业农村局、区自然资源局、区教育和体育局、区科技局、区财政局、生态环境分局、区住房城乡建设局等按职责分工负责）</w:t>
      </w:r>
    </w:p>
    <w:tbl>
      <w:tblPr>
        <w:tblStyle w:val="2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920" w:type="dxa"/>
            <w:vAlign w:val="center"/>
          </w:tcPr>
          <w:p>
            <w:pPr>
              <w:widowControl/>
              <w:spacing w:line="360" w:lineRule="auto"/>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专栏</w:t>
            </w:r>
            <w:r>
              <w:rPr>
                <w:rFonts w:eastAsia="仿宋_GB2312"/>
                <w:color w:val="1A1A1A" w:themeColor="background1" w:themeShade="1A"/>
                <w:sz w:val="24"/>
                <w:szCs w:val="24"/>
              </w:rPr>
              <w:t>6</w:t>
            </w:r>
            <w:r>
              <w:rPr>
                <w:rFonts w:hint="eastAsia" w:eastAsia="仿宋_GB2312"/>
                <w:color w:val="1A1A1A" w:themeColor="background1" w:themeShade="1A"/>
                <w:sz w:val="24"/>
                <w:szCs w:val="24"/>
              </w:rPr>
              <w:t>：生态保护与修复重点工程</w:t>
            </w:r>
          </w:p>
          <w:p>
            <w:pPr>
              <w:widowControl/>
              <w:spacing w:line="360" w:lineRule="auto"/>
              <w:ind w:firstLine="480" w:firstLineChars="200"/>
              <w:rPr>
                <w:rFonts w:ascii="方正仿宋简体" w:hAnsi="文星仿宋" w:eastAsia="方正仿宋简体" w:cs="方正仿宋简体"/>
                <w:b/>
                <w:color w:val="1A1A1A" w:themeColor="background1" w:themeShade="1A"/>
                <w:sz w:val="24"/>
                <w:szCs w:val="24"/>
              </w:rPr>
            </w:pPr>
            <w:r>
              <w:rPr>
                <w:rFonts w:hint="eastAsia" w:eastAsia="仿宋_GB2312"/>
                <w:color w:val="1A1A1A" w:themeColor="background1" w:themeShade="1A"/>
                <w:sz w:val="24"/>
                <w:szCs w:val="24"/>
              </w:rPr>
              <w:t>生态系统保护修复工程。加强生态系统保护和修复，实施山水林田湖草沙一体化保护和修复工程，实施国土绿化工程，实施采煤塌陷地治理工程。</w:t>
            </w:r>
          </w:p>
        </w:tc>
      </w:tr>
    </w:tbl>
    <w:p>
      <w:pPr>
        <w:adjustRightInd w:val="0"/>
        <w:spacing w:before="312" w:beforeLines="100" w:after="312" w:afterLines="100"/>
        <w:jc w:val="center"/>
        <w:textAlignment w:val="baseline"/>
        <w:outlineLvl w:val="0"/>
        <w:rPr>
          <w:rFonts w:eastAsia="黑体"/>
          <w:b/>
          <w:color w:val="1A1A1A" w:themeColor="background1" w:themeShade="1A"/>
          <w:sz w:val="32"/>
          <w:szCs w:val="32"/>
        </w:rPr>
      </w:pPr>
      <w:bookmarkStart w:id="86" w:name="_Toc116030735"/>
      <w:r>
        <w:rPr>
          <w:rFonts w:eastAsia="黑体"/>
          <w:b/>
          <w:color w:val="1A1A1A" w:themeColor="background1" w:themeShade="1A"/>
          <w:sz w:val="32"/>
          <w:szCs w:val="32"/>
        </w:rPr>
        <w:t xml:space="preserve">第九章  </w:t>
      </w:r>
      <w:r>
        <w:rPr>
          <w:rFonts w:hint="eastAsia" w:eastAsia="黑体"/>
          <w:b/>
          <w:color w:val="1A1A1A" w:themeColor="background1" w:themeShade="1A"/>
          <w:sz w:val="32"/>
          <w:szCs w:val="32"/>
        </w:rPr>
        <w:t>强化风险防控  严守环境安全底线</w:t>
      </w:r>
      <w:bookmarkEnd w:id="86"/>
    </w:p>
    <w:p>
      <w:pPr>
        <w:adjustRightInd w:val="0"/>
        <w:spacing w:before="156" w:beforeLines="50" w:after="156" w:afterLines="50"/>
        <w:ind w:firstLine="643"/>
        <w:jc w:val="center"/>
        <w:textAlignment w:val="baseline"/>
        <w:outlineLvl w:val="1"/>
        <w:rPr>
          <w:rFonts w:eastAsia="楷体_GB2312"/>
          <w:b/>
          <w:color w:val="1A1A1A" w:themeColor="background1" w:themeShade="1A"/>
          <w:sz w:val="32"/>
          <w:szCs w:val="32"/>
        </w:rPr>
      </w:pPr>
      <w:bookmarkStart w:id="87" w:name="_Toc71531749"/>
      <w:bookmarkStart w:id="88" w:name="_Toc116030736"/>
      <w:r>
        <w:rPr>
          <w:rFonts w:eastAsia="楷体_GB2312"/>
          <w:b/>
          <w:color w:val="1A1A1A" w:themeColor="background1" w:themeShade="1A"/>
          <w:sz w:val="32"/>
          <w:szCs w:val="32"/>
        </w:rPr>
        <w:t xml:space="preserve">第一节  </w:t>
      </w:r>
      <w:bookmarkEnd w:id="87"/>
      <w:r>
        <w:rPr>
          <w:rFonts w:hint="eastAsia" w:eastAsia="楷体_GB2312"/>
          <w:b/>
          <w:color w:val="1A1A1A" w:themeColor="background1" w:themeShade="1A"/>
          <w:sz w:val="32"/>
          <w:szCs w:val="32"/>
        </w:rPr>
        <w:t>完善环境风险防控机制</w:t>
      </w:r>
      <w:bookmarkEnd w:id="88"/>
    </w:p>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加强隐患排查和风险评估</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以涉危险废物、危险化学品、重金属企业和化工园区以及集中式饮用水水源地等为重点，开展环境风险隐患排查和风险评估，及时更新重点环境风险源、敏感目标、环境应急能力及环境应急预案等基础数据库。</w:t>
      </w:r>
      <w:r>
        <w:rPr>
          <w:rFonts w:hint="eastAsia" w:eastAsia="仿宋_GB2312" w:cs="仿宋_GB2312"/>
          <w:color w:val="1A1A1A" w:themeColor="background1" w:themeShade="1A"/>
          <w:sz w:val="32"/>
          <w:szCs w:val="32"/>
        </w:rPr>
        <w:t>突出重大时间节点和重要时期，紧盯重点产废企业、危化品等高风险领域，加大隐患排查力度，保障生态环境安全。</w:t>
      </w:r>
      <w:r>
        <w:rPr>
          <w:rFonts w:hint="eastAsia" w:eastAsia="仿宋_GB2312"/>
          <w:color w:val="1A1A1A" w:themeColor="background1" w:themeShade="1A"/>
          <w:sz w:val="32"/>
          <w:szCs w:val="32"/>
        </w:rPr>
        <w:t>落实企业突发环境事件风险评估制度，推进突发环境事件风险分类分级管理。</w:t>
      </w:r>
      <w:bookmarkStart w:id="89" w:name="_Hlk115882345"/>
      <w:r>
        <w:rPr>
          <w:rFonts w:hint="eastAsia" w:eastAsia="楷体_GB2312"/>
          <w:color w:val="1A1A1A" w:themeColor="background1" w:themeShade="1A"/>
          <w:sz w:val="32"/>
          <w:szCs w:val="32"/>
        </w:rPr>
        <w:t>（牵头单位：生态环境分局；配合单位：区水务局、区应急管理局、区交通运输局）</w:t>
      </w:r>
      <w:bookmarkEnd w:id="89"/>
    </w:p>
    <w:p>
      <w:pPr>
        <w:pStyle w:val="46"/>
        <w:spacing w:line="360" w:lineRule="auto"/>
        <w:ind w:firstLine="643"/>
        <w:rPr>
          <w:rFonts w:eastAsia="仿宋_GB2312"/>
          <w:color w:val="1A1A1A" w:themeColor="background1" w:themeShade="1A"/>
          <w:sz w:val="32"/>
          <w:szCs w:val="32"/>
        </w:rPr>
      </w:pPr>
      <w:r>
        <w:rPr>
          <w:rFonts w:hint="eastAsia" w:eastAsia="楷体_GB2312"/>
          <w:b/>
          <w:bCs/>
          <w:color w:val="1A1A1A" w:themeColor="background1" w:themeShade="1A"/>
          <w:sz w:val="32"/>
          <w:szCs w:val="32"/>
        </w:rPr>
        <w:t>严格环境风险预警管理</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建立健全由风险源、风险源聚集区河流下游临近断面、出境河流断面组成的环境风险预警监测网络，开展分级定期监测，严格落实报告制度，及时发现和有效处置水环境风险隐患。协同推进重点区域流域生态环境污染综合防治、风险防控与生态恢复，建设生态环境综合整治和风险防控示范工程。加强危险废物产生、收集、贮存、转运、利用处置全过程监控，及时发现和防范苗头性风险。强化化工园区环境风险防控，化工园区完成环境风险预警体系建设。</w:t>
      </w:r>
      <w:r>
        <w:rPr>
          <w:rFonts w:hint="eastAsia" w:eastAsia="楷体_GB2312"/>
          <w:color w:val="1A1A1A" w:themeColor="background1" w:themeShade="1A"/>
          <w:sz w:val="32"/>
          <w:szCs w:val="32"/>
        </w:rPr>
        <w:t>（牵头单位：生态环境分局；配合单位：区水务局、区应急管理局、区交通运输局）</w:t>
      </w:r>
    </w:p>
    <w:p>
      <w:pPr>
        <w:spacing w:line="570" w:lineRule="exact"/>
        <w:ind w:firstLine="642" w:firstLineChars="200"/>
        <w:rPr>
          <w:rFonts w:ascii="楷体_GB2312" w:eastAsia="楷体_GB2312"/>
          <w:color w:val="1A1A1A" w:themeColor="background1" w:themeShade="1A"/>
          <w:sz w:val="32"/>
          <w:szCs w:val="32"/>
        </w:rPr>
      </w:pPr>
      <w:r>
        <w:rPr>
          <w:rFonts w:hint="eastAsia" w:eastAsia="楷体_GB2312"/>
          <w:b/>
          <w:bCs/>
          <w:color w:val="1A1A1A" w:themeColor="background1" w:themeShade="1A"/>
          <w:sz w:val="32"/>
          <w:szCs w:val="32"/>
        </w:rPr>
        <w:t>强化生态环境应急管理</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坚持分级负责、属地为主、部门协同的环境应急责任原则，以化工园区为重点，健全防范化解突发生态环境事件风险和应急准备责任体系，严格落实企业主体责任。按照相关技术文件和管理手册，提升应急能力、规范应急准备与响应，分类分级开展基层环境应急人员轮训。实施企业环境应急预案电子化备案，实现涉危涉重企业电子化备案全覆盖，2022年年底前完成区政府突发环境事件应急预案修编。推动重点流域上下游突发水环境事件专项预案编制。完善多层级环境应急专家管理体系。加强应急装备配置，定期开展应急演练，增强实战能力。</w:t>
      </w:r>
      <w:r>
        <w:rPr>
          <w:rFonts w:hint="eastAsia" w:eastAsia="楷体_GB2312"/>
          <w:color w:val="1A1A1A" w:themeColor="background1" w:themeShade="1A"/>
          <w:sz w:val="32"/>
          <w:szCs w:val="32"/>
        </w:rPr>
        <w:t>（牵头单位：生态环境分局；配合单位：区水务局、区应急管理局）</w:t>
      </w:r>
      <w:r>
        <w:rPr>
          <w:rFonts w:hint="eastAsia" w:eastAsia="仿宋_GB2312"/>
          <w:color w:val="1A1A1A" w:themeColor="background1" w:themeShade="1A"/>
          <w:sz w:val="32"/>
          <w:szCs w:val="32"/>
        </w:rPr>
        <w:t>妥善处置突发环境事件。发生突发环境事件或安全生产、交通事故等可能造成次生环境影响的事件时，加强信息报告沟通，强化工作协调配合，及时、快速、稳妥地开展现场处置，及时消除环境和社会影响。</w:t>
      </w:r>
      <w:r>
        <w:rPr>
          <w:rFonts w:hint="eastAsia" w:ascii="楷体_GB2312" w:eastAsia="楷体_GB2312" w:cs="楷体_GB2312"/>
          <w:color w:val="1A1A1A" w:themeColor="background1" w:themeShade="1A"/>
          <w:sz w:val="32"/>
          <w:szCs w:val="32"/>
        </w:rPr>
        <w:t>（生态环境分局、区应急局、公安分局、区交通运输局、区水务局、区委网信办等按职责分工负责）</w:t>
      </w:r>
    </w:p>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强化生态环境与健康管理</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持续开展公民环境与健康素养提升活动。探索构建生态环境健康风险监测网络。推动开展生态环境健康风险识别与排查，建立生态环境健康风险源企业基础数据库，研究绘制生态环境健康风险分布地图。探索开展区域生态环境与健康调查评估。逐步将环境健康风险纳入生态环境管理制度。加强生物安全、室内环境健康等领域环境与健康科学研究。</w:t>
      </w:r>
      <w:r>
        <w:rPr>
          <w:rFonts w:hint="eastAsia" w:eastAsia="楷体_GB2312"/>
          <w:color w:val="1A1A1A" w:themeColor="background1" w:themeShade="1A"/>
          <w:sz w:val="32"/>
          <w:szCs w:val="32"/>
        </w:rPr>
        <w:t>（生态环境分局、区卫生健康局等按职责分工负责）</w:t>
      </w:r>
    </w:p>
    <w:p>
      <w:pPr>
        <w:adjustRightInd w:val="0"/>
        <w:spacing w:before="156" w:beforeLines="50" w:after="156" w:afterLines="50"/>
        <w:ind w:firstLine="643"/>
        <w:jc w:val="center"/>
        <w:textAlignment w:val="baseline"/>
        <w:outlineLvl w:val="1"/>
        <w:rPr>
          <w:rFonts w:eastAsia="楷体_GB2312"/>
          <w:b/>
          <w:color w:val="1A1A1A" w:themeColor="background1" w:themeShade="1A"/>
          <w:sz w:val="32"/>
          <w:szCs w:val="32"/>
        </w:rPr>
      </w:pPr>
      <w:bookmarkStart w:id="90" w:name="_Toc116030737"/>
      <w:r>
        <w:rPr>
          <w:rFonts w:eastAsia="楷体_GB2312"/>
          <w:b/>
          <w:color w:val="1A1A1A" w:themeColor="background1" w:themeShade="1A"/>
          <w:sz w:val="32"/>
          <w:szCs w:val="32"/>
        </w:rPr>
        <w:t>第</w:t>
      </w:r>
      <w:r>
        <w:rPr>
          <w:rFonts w:hint="eastAsia" w:eastAsia="楷体_GB2312"/>
          <w:b/>
          <w:color w:val="1A1A1A" w:themeColor="background1" w:themeShade="1A"/>
          <w:sz w:val="32"/>
          <w:szCs w:val="32"/>
        </w:rPr>
        <w:t>二</w:t>
      </w:r>
      <w:r>
        <w:rPr>
          <w:rFonts w:eastAsia="楷体_GB2312"/>
          <w:b/>
          <w:color w:val="1A1A1A" w:themeColor="background1" w:themeShade="1A"/>
          <w:sz w:val="32"/>
          <w:szCs w:val="32"/>
        </w:rPr>
        <w:t xml:space="preserve">节  </w:t>
      </w:r>
      <w:r>
        <w:rPr>
          <w:rFonts w:hint="eastAsia" w:eastAsia="楷体_GB2312"/>
          <w:b/>
          <w:color w:val="1A1A1A" w:themeColor="background1" w:themeShade="1A"/>
          <w:sz w:val="32"/>
          <w:szCs w:val="32"/>
        </w:rPr>
        <w:t>加强危险废物医疗废物环境管理</w:t>
      </w:r>
      <w:bookmarkEnd w:id="90"/>
    </w:p>
    <w:p>
      <w:pPr>
        <w:pStyle w:val="46"/>
        <w:spacing w:line="360" w:lineRule="auto"/>
        <w:ind w:firstLine="643"/>
        <w:rPr>
          <w:rFonts w:eastAsia="仿宋_GB2312"/>
          <w:color w:val="1A1A1A" w:themeColor="background1" w:themeShade="1A"/>
          <w:sz w:val="32"/>
          <w:szCs w:val="32"/>
        </w:rPr>
      </w:pPr>
      <w:r>
        <w:rPr>
          <w:rFonts w:hint="eastAsia" w:eastAsia="楷体_GB2312"/>
          <w:b/>
          <w:bCs/>
          <w:color w:val="1A1A1A" w:themeColor="background1" w:themeShade="1A"/>
          <w:sz w:val="32"/>
          <w:szCs w:val="32"/>
        </w:rPr>
        <w:t>优化提升危险废物收集与利用处置能力</w:t>
      </w:r>
      <w:r>
        <w:rPr>
          <w:rFonts w:eastAsia="楷体_GB2312"/>
          <w:b/>
          <w:bCs/>
          <w:color w:val="1A1A1A" w:themeColor="background1" w:themeShade="1A"/>
          <w:sz w:val="32"/>
          <w:szCs w:val="32"/>
        </w:rPr>
        <w:t>。</w:t>
      </w:r>
      <w:r>
        <w:rPr>
          <w:rFonts w:eastAsia="仿宋_GB2312"/>
          <w:color w:val="1A1A1A" w:themeColor="background1" w:themeShade="1A"/>
          <w:sz w:val="32"/>
          <w:szCs w:val="32"/>
        </w:rPr>
        <w:t>对产废企业开展拉网式、起底式调查，全面摸清危险废物产生、贮存和利用处置以及环境管理现状。</w:t>
      </w:r>
      <w:r>
        <w:rPr>
          <w:rFonts w:hint="eastAsia" w:eastAsia="仿宋_GB2312"/>
          <w:color w:val="1A1A1A" w:themeColor="background1" w:themeShade="1A"/>
          <w:sz w:val="32"/>
          <w:szCs w:val="32"/>
        </w:rPr>
        <w:t>支持危险废物专业收集转运和利用处置单位建设区域性收集网点和贮存设施，开展小微企业、科研机构、学校等产生的危险废物有偿收集转运服务。开展工业园区危险废物集中收集贮存试点。推进企业、园区危险废物自行利用处置能力和水平提升，鼓励化工园区等配套建设危险废物集中贮存、预处理和处置设施。支持大型企业集团内部共享危险废物利用处置设施。</w:t>
      </w:r>
      <w:r>
        <w:rPr>
          <w:rFonts w:hint="eastAsia" w:eastAsia="楷体_GB2312"/>
          <w:color w:val="1A1A1A" w:themeColor="background1" w:themeShade="1A"/>
          <w:sz w:val="32"/>
          <w:szCs w:val="32"/>
        </w:rPr>
        <w:t>（责任单位：生态环境分局）</w:t>
      </w:r>
    </w:p>
    <w:p>
      <w:pPr>
        <w:pStyle w:val="46"/>
        <w:spacing w:line="360" w:lineRule="auto"/>
        <w:ind w:firstLine="643"/>
        <w:rPr>
          <w:rFonts w:eastAsia="仿宋_GB2312"/>
          <w:color w:val="1A1A1A" w:themeColor="background1" w:themeShade="1A"/>
          <w:sz w:val="32"/>
          <w:szCs w:val="32"/>
        </w:rPr>
      </w:pPr>
      <w:r>
        <w:rPr>
          <w:rFonts w:eastAsia="楷体_GB2312"/>
          <w:b/>
          <w:bCs/>
          <w:color w:val="1A1A1A" w:themeColor="background1" w:themeShade="1A"/>
          <w:sz w:val="32"/>
          <w:szCs w:val="32"/>
        </w:rPr>
        <w:t>提升医疗废物处置与应急能力。</w:t>
      </w:r>
      <w:r>
        <w:rPr>
          <w:rFonts w:eastAsia="仿宋_GB2312"/>
          <w:color w:val="1A1A1A" w:themeColor="background1" w:themeShade="1A"/>
          <w:sz w:val="32"/>
          <w:szCs w:val="32"/>
        </w:rPr>
        <w:t>统筹城乡医疗废物处置，</w:t>
      </w:r>
      <w:r>
        <w:rPr>
          <w:rFonts w:hint="eastAsia" w:eastAsia="仿宋_GB2312"/>
          <w:color w:val="1A1A1A" w:themeColor="background1" w:themeShade="1A"/>
          <w:sz w:val="32"/>
          <w:szCs w:val="32"/>
        </w:rPr>
        <w:t>进一步</w:t>
      </w:r>
      <w:r>
        <w:rPr>
          <w:rFonts w:eastAsia="仿宋_GB2312"/>
          <w:color w:val="1A1A1A" w:themeColor="background1" w:themeShade="1A"/>
          <w:sz w:val="32"/>
          <w:szCs w:val="32"/>
        </w:rPr>
        <w:t>完善医疗废物收集转运处置体系并覆盖农村地区，实现医疗废物应收尽收、全面覆盖。加强医疗废物分类管理，做好源头分类。</w:t>
      </w:r>
      <w:r>
        <w:rPr>
          <w:rFonts w:hint="eastAsia" w:eastAsia="仿宋_GB2312"/>
          <w:color w:val="1A1A1A" w:themeColor="background1" w:themeShade="1A"/>
          <w:sz w:val="32"/>
          <w:szCs w:val="32"/>
        </w:rPr>
        <w:t>推进医疗废物收集、运送、贮存、处置等全过程监控和信息化追溯。统筹新建、在建和现有危险废物焚烧设施以及其他协同处置设施等资源，建立医疗废物协同应急处置设施清单，完善处置物资储备体系，优化提升重大疫情医疗废物应急处置保障能力。</w:t>
      </w:r>
      <w:r>
        <w:rPr>
          <w:rFonts w:hint="eastAsia" w:eastAsia="仿宋_GB2312" w:cs="仿宋_GB2312"/>
          <w:color w:val="1A1A1A" w:themeColor="background1" w:themeShade="1A"/>
          <w:sz w:val="32"/>
          <w:szCs w:val="32"/>
        </w:rPr>
        <w:t>持续抓好医疗卫生机构疫情常态化监管，确保医疗废物和医疗废水及时有效安全处置。</w:t>
      </w:r>
      <w:r>
        <w:rPr>
          <w:rFonts w:hint="eastAsia" w:eastAsia="楷体_GB2312"/>
          <w:color w:val="1A1A1A" w:themeColor="background1" w:themeShade="1A"/>
          <w:sz w:val="32"/>
          <w:szCs w:val="32"/>
        </w:rPr>
        <w:t>（牵头单位：</w:t>
      </w:r>
      <w:bookmarkStart w:id="91" w:name="_Hlk115883238"/>
      <w:r>
        <w:rPr>
          <w:rFonts w:hint="eastAsia" w:eastAsia="楷体_GB2312"/>
          <w:color w:val="1A1A1A" w:themeColor="background1" w:themeShade="1A"/>
          <w:sz w:val="32"/>
          <w:szCs w:val="32"/>
        </w:rPr>
        <w:t>区</w:t>
      </w:r>
      <w:bookmarkEnd w:id="91"/>
      <w:r>
        <w:rPr>
          <w:rFonts w:hint="eastAsia" w:eastAsia="楷体_GB2312"/>
          <w:color w:val="1A1A1A" w:themeColor="background1" w:themeShade="1A"/>
          <w:sz w:val="32"/>
          <w:szCs w:val="32"/>
        </w:rPr>
        <w:t>卫生健康局；配合单位：生态环境分局）</w:t>
      </w:r>
    </w:p>
    <w:p>
      <w:pPr>
        <w:spacing w:line="570" w:lineRule="exact"/>
        <w:ind w:firstLine="642" w:firstLineChars="200"/>
        <w:rPr>
          <w:rFonts w:eastAsia="楷体_GB2312"/>
          <w:color w:val="1A1A1A" w:themeColor="background1" w:themeShade="1A"/>
          <w:sz w:val="32"/>
          <w:szCs w:val="32"/>
        </w:rPr>
      </w:pPr>
      <w:r>
        <w:rPr>
          <w:rFonts w:eastAsia="楷体_GB2312"/>
          <w:b/>
          <w:bCs/>
          <w:color w:val="1A1A1A" w:themeColor="background1" w:themeShade="1A"/>
          <w:sz w:val="32"/>
          <w:szCs w:val="32"/>
        </w:rPr>
        <w:t>强化危险废物全过程环境监管。</w:t>
      </w:r>
      <w:r>
        <w:rPr>
          <w:rFonts w:eastAsia="仿宋_GB2312"/>
          <w:color w:val="1A1A1A" w:themeColor="background1" w:themeShade="1A"/>
          <w:sz w:val="32"/>
          <w:szCs w:val="32"/>
        </w:rPr>
        <w:t>建立完善危险废物环境重点监管单位清单。</w:t>
      </w:r>
      <w:r>
        <w:rPr>
          <w:rFonts w:hint="eastAsia" w:eastAsia="仿宋_GB2312" w:cs="仿宋_GB2312"/>
          <w:color w:val="1A1A1A" w:themeColor="background1" w:themeShade="1A"/>
          <w:spacing w:val="-6"/>
          <w:sz w:val="32"/>
          <w:szCs w:val="32"/>
        </w:rPr>
        <w:t>完善危险废物监管体制机制。按照市生态环境局《关于贯彻落实危险废物分级分类管理的通知》，探索分行业、分类别按照不同标准实施差异化管理机制。继续推行重点企业视频监控。</w:t>
      </w:r>
      <w:r>
        <w:rPr>
          <w:rFonts w:hint="eastAsia" w:eastAsia="仿宋_GB2312" w:cs="仿宋_GB2312"/>
          <w:color w:val="1A1A1A" w:themeColor="background1" w:themeShade="1A"/>
          <w:sz w:val="32"/>
          <w:szCs w:val="32"/>
        </w:rPr>
        <w:t>依托市危废信息化监管系统</w:t>
      </w:r>
      <w:r>
        <w:rPr>
          <w:rFonts w:hint="eastAsia" w:eastAsia="仿宋_GB2312"/>
          <w:color w:val="1A1A1A" w:themeColor="background1" w:themeShade="1A"/>
          <w:sz w:val="32"/>
          <w:szCs w:val="32"/>
        </w:rPr>
        <w:t>建立健全危险废物环境管理技术支撑体系，加强专业人才队伍建设，切实提升危险废物环境监管和风险防控能力。加强危险废物相关从业人员培训。</w:t>
      </w:r>
      <w:r>
        <w:rPr>
          <w:rFonts w:hint="eastAsia" w:eastAsia="仿宋_GB2312" w:cs="仿宋_GB2312"/>
          <w:color w:val="1A1A1A" w:themeColor="background1" w:themeShade="1A"/>
          <w:sz w:val="32"/>
          <w:szCs w:val="32"/>
        </w:rPr>
        <w:t>加强危险废物规范化管理。开展全区工业固废排查</w:t>
      </w:r>
      <w:r>
        <w:rPr>
          <w:rFonts w:hint="eastAsia" w:ascii="仿宋_GB2312" w:eastAsia="仿宋_GB2312" w:cs="仿宋_GB2312"/>
          <w:color w:val="1A1A1A" w:themeColor="background1" w:themeShade="1A"/>
          <w:sz w:val="32"/>
          <w:szCs w:val="32"/>
        </w:rPr>
        <w:t>整治</w:t>
      </w:r>
      <w:r>
        <w:rPr>
          <w:rFonts w:hint="eastAsia" w:ascii="仿宋_GB2312" w:eastAsia="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回头看</w:t>
      </w:r>
      <w:r>
        <w:rPr>
          <w:rFonts w:hint="eastAsia" w:ascii="仿宋_GB2312" w:eastAsia="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和历史遗留问题</w:t>
      </w:r>
      <w:r>
        <w:rPr>
          <w:rFonts w:hint="eastAsia" w:ascii="仿宋_GB2312" w:eastAsia="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大走访</w:t>
      </w:r>
      <w:r>
        <w:rPr>
          <w:rFonts w:hint="eastAsia" w:ascii="仿宋_GB2312" w:eastAsia="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活动</w:t>
      </w:r>
      <w:r>
        <w:rPr>
          <w:rFonts w:hint="eastAsia" w:eastAsia="仿宋_GB2312" w:cs="仿宋_GB2312"/>
          <w:color w:val="1A1A1A" w:themeColor="background1" w:themeShade="1A"/>
          <w:sz w:val="32"/>
          <w:szCs w:val="32"/>
        </w:rPr>
        <w:t>，组织全区停工停产涉危废企业专项排查。开展新一轮涉危险废物排查整治活动。2</w:t>
      </w:r>
      <w:r>
        <w:rPr>
          <w:rFonts w:eastAsia="仿宋_GB2312" w:cs="仿宋_GB2312"/>
          <w:color w:val="1A1A1A" w:themeColor="background1" w:themeShade="1A"/>
          <w:sz w:val="32"/>
          <w:szCs w:val="32"/>
        </w:rPr>
        <w:t>022</w:t>
      </w:r>
      <w:r>
        <w:rPr>
          <w:rFonts w:hint="eastAsia" w:eastAsia="仿宋_GB2312" w:cs="仿宋_GB2312"/>
          <w:color w:val="1A1A1A" w:themeColor="background1" w:themeShade="1A"/>
          <w:sz w:val="32"/>
          <w:szCs w:val="32"/>
        </w:rPr>
        <w:t>年底前，完成全区危险废物规范化管理考核评估。</w:t>
      </w:r>
      <w:r>
        <w:rPr>
          <w:rFonts w:hint="eastAsia" w:ascii="楷体_GB2312" w:eastAsia="楷体_GB2312" w:cs="楷体_GB2312"/>
          <w:color w:val="1A1A1A" w:themeColor="background1" w:themeShade="1A"/>
          <w:sz w:val="32"/>
          <w:szCs w:val="32"/>
        </w:rPr>
        <w:t>（责任单位：生态环境分局）</w:t>
      </w:r>
    </w:p>
    <w:p>
      <w:pPr>
        <w:adjustRightInd w:val="0"/>
        <w:spacing w:before="156" w:beforeLines="50" w:after="156" w:afterLines="50"/>
        <w:ind w:firstLine="643"/>
        <w:jc w:val="center"/>
        <w:textAlignment w:val="baseline"/>
        <w:outlineLvl w:val="1"/>
        <w:rPr>
          <w:rFonts w:eastAsia="楷体_GB2312"/>
          <w:b/>
          <w:color w:val="1A1A1A" w:themeColor="background1" w:themeShade="1A"/>
          <w:sz w:val="32"/>
          <w:szCs w:val="32"/>
        </w:rPr>
      </w:pPr>
      <w:bookmarkStart w:id="92" w:name="_Toc116030738"/>
      <w:bookmarkStart w:id="93" w:name="_Toc71531750"/>
      <w:r>
        <w:rPr>
          <w:rFonts w:eastAsia="楷体_GB2312"/>
          <w:b/>
          <w:color w:val="1A1A1A" w:themeColor="background1" w:themeShade="1A"/>
          <w:sz w:val="32"/>
          <w:szCs w:val="32"/>
        </w:rPr>
        <w:t>第</w:t>
      </w:r>
      <w:r>
        <w:rPr>
          <w:rFonts w:hint="eastAsia" w:eastAsia="楷体_GB2312"/>
          <w:b/>
          <w:color w:val="1A1A1A" w:themeColor="background1" w:themeShade="1A"/>
          <w:sz w:val="32"/>
          <w:szCs w:val="32"/>
        </w:rPr>
        <w:t>三</w:t>
      </w:r>
      <w:r>
        <w:rPr>
          <w:rFonts w:eastAsia="楷体_GB2312"/>
          <w:b/>
          <w:color w:val="1A1A1A" w:themeColor="background1" w:themeShade="1A"/>
          <w:sz w:val="32"/>
          <w:szCs w:val="32"/>
        </w:rPr>
        <w:t>节  深化重金属污染综合整治</w:t>
      </w:r>
      <w:bookmarkEnd w:id="92"/>
      <w:bookmarkEnd w:id="93"/>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持续推进重金属减排。</w:t>
      </w:r>
      <w:r>
        <w:rPr>
          <w:rFonts w:eastAsia="仿宋_GB2312"/>
          <w:color w:val="1A1A1A" w:themeColor="background1" w:themeShade="1A"/>
          <w:sz w:val="32"/>
          <w:szCs w:val="32"/>
        </w:rPr>
        <w:t>严格涉重金属企业环境准入管理，新（改、扩）建涉重金属重点行业建设项目实施“减量替代”，</w:t>
      </w:r>
      <w:r>
        <w:rPr>
          <w:rFonts w:hint="eastAsia" w:eastAsia="仿宋_GB2312"/>
          <w:color w:val="1A1A1A" w:themeColor="background1" w:themeShade="1A"/>
          <w:sz w:val="32"/>
          <w:szCs w:val="32"/>
        </w:rPr>
        <w:t>严格</w:t>
      </w:r>
      <w:r>
        <w:rPr>
          <w:rFonts w:eastAsia="仿宋_GB2312"/>
          <w:color w:val="1A1A1A" w:themeColor="background1" w:themeShade="1A"/>
          <w:sz w:val="32"/>
          <w:szCs w:val="32"/>
        </w:rPr>
        <w:t>控制重金属污染物新增量。完善全口径涉重金属重点行业企业清单，依法依规纳入重点排污单位名录。以结构调整、升级改造和深度治理为主要手段，推动实施重金属减排工程，持续减少重金属污染物排放。</w:t>
      </w:r>
      <w:r>
        <w:rPr>
          <w:rFonts w:hint="eastAsia" w:eastAsia="楷体_GB2312"/>
          <w:color w:val="1A1A1A" w:themeColor="background1" w:themeShade="1A"/>
          <w:sz w:val="32"/>
          <w:szCs w:val="32"/>
        </w:rPr>
        <w:t>（生态环境分局、</w:t>
      </w:r>
      <w:bookmarkStart w:id="94" w:name="_Hlk115900825"/>
      <w:r>
        <w:rPr>
          <w:rFonts w:hint="eastAsia" w:eastAsia="楷体_GB2312"/>
          <w:color w:val="1A1A1A" w:themeColor="background1" w:themeShade="1A"/>
          <w:sz w:val="32"/>
          <w:szCs w:val="32"/>
        </w:rPr>
        <w:t>区</w:t>
      </w:r>
      <w:bookmarkEnd w:id="94"/>
      <w:r>
        <w:rPr>
          <w:rFonts w:hint="eastAsia" w:eastAsia="楷体_GB2312"/>
          <w:color w:val="1A1A1A" w:themeColor="background1" w:themeShade="1A"/>
          <w:sz w:val="32"/>
          <w:szCs w:val="32"/>
        </w:rPr>
        <w:t>行政审批服务局等按职责分工负责）</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加强重点行业重金属污染综合治理。</w:t>
      </w:r>
      <w:r>
        <w:rPr>
          <w:rFonts w:hint="eastAsia" w:eastAsia="仿宋_GB2312"/>
          <w:color w:val="1A1A1A" w:themeColor="background1" w:themeShade="1A"/>
          <w:sz w:val="32"/>
          <w:szCs w:val="32"/>
        </w:rPr>
        <w:t>持续开展重金属重点企业排查整治工作，</w:t>
      </w:r>
      <w:r>
        <w:rPr>
          <w:rFonts w:hint="eastAsia" w:eastAsia="仿宋_GB2312" w:cs="仿宋_GB2312"/>
          <w:color w:val="1A1A1A" w:themeColor="background1" w:themeShade="1A"/>
          <w:sz w:val="32"/>
          <w:szCs w:val="32"/>
        </w:rPr>
        <w:t>建立全口径涉重金属重点行业企业清单，将符合条件的排放重金属污染物企业纳入重点排污单位名录。</w:t>
      </w:r>
      <w:r>
        <w:rPr>
          <w:rFonts w:hint="eastAsia" w:eastAsia="仿宋_GB2312"/>
          <w:color w:val="1A1A1A" w:themeColor="background1" w:themeShade="1A"/>
          <w:sz w:val="32"/>
          <w:szCs w:val="32"/>
        </w:rPr>
        <w:t>对排查存在问题的企业建立整治清单，制定整改方案，督促企业限期完成整改。按照“严控增量、消减存量、分类施策”的原则，严格涉重金属行业环境准入，严格实施“减量替代”和“等量替代”。</w:t>
      </w:r>
      <w:r>
        <w:rPr>
          <w:rFonts w:hint="eastAsia" w:eastAsia="楷体_GB2312"/>
          <w:color w:val="1A1A1A" w:themeColor="background1" w:themeShade="1A"/>
          <w:sz w:val="32"/>
          <w:szCs w:val="32"/>
        </w:rPr>
        <w:t>（责任单位：生态环境分局）</w:t>
      </w:r>
    </w:p>
    <w:p>
      <w:pPr>
        <w:adjustRightInd w:val="0"/>
        <w:spacing w:before="156" w:beforeLines="50" w:after="156" w:afterLines="50"/>
        <w:ind w:firstLine="643"/>
        <w:jc w:val="center"/>
        <w:textAlignment w:val="baseline"/>
        <w:outlineLvl w:val="1"/>
        <w:rPr>
          <w:rFonts w:eastAsia="楷体_GB2312"/>
          <w:b/>
          <w:color w:val="1A1A1A" w:themeColor="background1" w:themeShade="1A"/>
          <w:sz w:val="32"/>
          <w:szCs w:val="32"/>
        </w:rPr>
      </w:pPr>
      <w:bookmarkStart w:id="95" w:name="_Toc71531751"/>
      <w:bookmarkStart w:id="96" w:name="_Toc116030739"/>
      <w:r>
        <w:rPr>
          <w:rFonts w:eastAsia="楷体_GB2312"/>
          <w:b/>
          <w:color w:val="1A1A1A" w:themeColor="background1" w:themeShade="1A"/>
          <w:sz w:val="32"/>
          <w:szCs w:val="32"/>
        </w:rPr>
        <w:t>第</w:t>
      </w:r>
      <w:r>
        <w:rPr>
          <w:rFonts w:hint="eastAsia" w:eastAsia="楷体_GB2312"/>
          <w:b/>
          <w:color w:val="1A1A1A" w:themeColor="background1" w:themeShade="1A"/>
          <w:sz w:val="32"/>
          <w:szCs w:val="32"/>
        </w:rPr>
        <w:t>四</w:t>
      </w:r>
      <w:r>
        <w:rPr>
          <w:rFonts w:eastAsia="楷体_GB2312"/>
          <w:b/>
          <w:color w:val="1A1A1A" w:themeColor="background1" w:themeShade="1A"/>
          <w:sz w:val="32"/>
          <w:szCs w:val="32"/>
        </w:rPr>
        <w:t xml:space="preserve">节  </w:t>
      </w:r>
      <w:bookmarkEnd w:id="95"/>
      <w:r>
        <w:rPr>
          <w:rFonts w:eastAsia="楷体_GB2312"/>
          <w:b/>
          <w:color w:val="1A1A1A" w:themeColor="background1" w:themeShade="1A"/>
          <w:sz w:val="32"/>
          <w:szCs w:val="32"/>
        </w:rPr>
        <w:t>加强固体废物污染防治</w:t>
      </w:r>
      <w:bookmarkEnd w:id="96"/>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防范固体废物环境风险。</w:t>
      </w:r>
      <w:r>
        <w:rPr>
          <w:rFonts w:eastAsia="仿宋_GB2312"/>
          <w:color w:val="1A1A1A" w:themeColor="background1" w:themeShade="1A"/>
          <w:sz w:val="32"/>
          <w:szCs w:val="32"/>
        </w:rPr>
        <w:t>坚持绿色消费引领源头减量，提高资源化利用水平，最大限度减少填埋量。促进秸秆、畜禽粪污等主要农业废弃物全量利用。完善废塑料、废钢铁、废轮胎等废旧物资回收体系。推行废旧家电等耐用消费品生产企业“逆向回收”模式，搭建“互联网+回收”应用平台，鼓励企业创新综合利用技术，不断提升废旧物资循环利用水平。以煤矸石、粉煤灰、建筑垃圾等为重点，</w:t>
      </w:r>
      <w:r>
        <w:rPr>
          <w:rFonts w:hint="eastAsia" w:eastAsia="仿宋_GB2312" w:cs="仿宋_GB2312"/>
          <w:color w:val="1A1A1A" w:themeColor="background1" w:themeShade="1A"/>
          <w:sz w:val="32"/>
          <w:szCs w:val="32"/>
        </w:rPr>
        <w:t>规范大宗工业固废环境管理。摸排全区大宗工业固废产生、贮存、处置利用情况，建立长效机制，加强和规范大宗工业固废环境管理。</w:t>
      </w:r>
      <w:r>
        <w:rPr>
          <w:rFonts w:eastAsia="仿宋_GB2312"/>
          <w:color w:val="1A1A1A" w:themeColor="background1" w:themeShade="1A"/>
          <w:sz w:val="32"/>
          <w:szCs w:val="32"/>
        </w:rPr>
        <w:t>开展非正规固体废物堆存场所排查整治。构建集污水、垃圾、固废、危废、医废处理处置设施和监测监管能力于一体的环境基础设施体系，形成由城市向建制镇和乡村延伸覆盖的环境基础设施网络。强化制度体系、技术体系、市场体系和监管体系支撑保障作用。探索建立城市固体废物产排强度信息公开制度。规范废旧物资回收利用和废弃电器电子产品拆解处理，提升废旧物资回收利用企业环境管理水平。</w:t>
      </w:r>
      <w:r>
        <w:rPr>
          <w:rFonts w:hint="eastAsia" w:eastAsia="仿宋_GB2312"/>
          <w:color w:val="1A1A1A" w:themeColor="background1" w:themeShade="1A"/>
          <w:sz w:val="32"/>
          <w:szCs w:val="32"/>
        </w:rPr>
        <w:t>加强快递包装绿色治理，推进大型电商和寄递企业包装物回收循环利用。2025年年底前，形成贯穿快递包装生产、使用、回收、处置全链条治理长效机制。</w:t>
      </w:r>
      <w:r>
        <w:rPr>
          <w:rFonts w:eastAsia="仿宋_GB2312"/>
          <w:color w:val="1A1A1A" w:themeColor="background1" w:themeShade="1A"/>
          <w:sz w:val="32"/>
          <w:szCs w:val="32"/>
        </w:rPr>
        <w:t>全面禁止进口固体废物，保持打击洋垃圾走私高压态势不放松。</w:t>
      </w:r>
      <w:r>
        <w:rPr>
          <w:rFonts w:hint="eastAsia" w:eastAsia="楷体_GB2312"/>
          <w:color w:val="1A1A1A" w:themeColor="background1" w:themeShade="1A"/>
          <w:sz w:val="32"/>
          <w:szCs w:val="32"/>
        </w:rPr>
        <w:t>（区发展改革局、区工业和信息化局、区自然资源局、生态环境分局、区住房城乡建设局、区农业农村局、区商务局、区卫生健康局、区市场监管局、区综合行政执法局、</w:t>
      </w:r>
      <w:r>
        <w:rPr>
          <w:rFonts w:hint="eastAsia" w:eastAsia="楷体_GB2312" w:cs="楷体_GB2312"/>
          <w:color w:val="1A1A1A" w:themeColor="background1" w:themeShade="1A"/>
          <w:sz w:val="32"/>
          <w:szCs w:val="32"/>
        </w:rPr>
        <w:t>区邮政管理局</w:t>
      </w:r>
      <w:r>
        <w:rPr>
          <w:rFonts w:hint="eastAsia" w:eastAsia="楷体_GB2312"/>
          <w:color w:val="1A1A1A" w:themeColor="background1" w:themeShade="1A"/>
          <w:sz w:val="32"/>
          <w:szCs w:val="32"/>
        </w:rPr>
        <w:t>等按职责分工负责）</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推行生活垃圾分类。</w:t>
      </w:r>
      <w:r>
        <w:rPr>
          <w:rFonts w:hint="eastAsia" w:eastAsia="仿宋_GB2312"/>
          <w:color w:val="1A1A1A" w:themeColor="background1" w:themeShade="1A"/>
          <w:sz w:val="32"/>
          <w:szCs w:val="32"/>
        </w:rPr>
        <w:t>建立生活垃圾分类管理工作综合协调机制，健全分类投放、分类收集、分类运输、分类处理的生活垃圾处理系统。严格落实《山东省城市生活垃圾分类制度实施方案》，完善垃圾分类标识体系，健全垃圾分类奖励制度，合理布局生活垃圾分类投放、回收、储存、转运、处理等设施。完善生活垃圾焚烧飞灰、垃圾渗沥液等污染物处理配套设施，建立健全生活垃圾处理全过程监测监管网络体系，提高生活垃圾处理设施运行水平。有效运行厨余垃圾处理设施。建立有害垃圾收集暂存转运体系，规范有害垃圾处置。加快建设再生资源分拣处理中心，提升再生资源回收利用率。到2025年年底前，基本建成生活垃圾分类处理系统。鼓励生活垃圾分类跨区域协同处置，实施生活垃圾跨区域处理生态补偿制度。</w:t>
      </w:r>
      <w:r>
        <w:rPr>
          <w:rFonts w:hint="eastAsia" w:eastAsia="楷体_GB2312"/>
          <w:color w:val="1A1A1A" w:themeColor="background1" w:themeShade="1A"/>
          <w:sz w:val="32"/>
          <w:szCs w:val="32"/>
        </w:rPr>
        <w:t>（区综合行政执法局、区发展改革局按职责分工负责）</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加强白色污染治理。</w:t>
      </w:r>
      <w:r>
        <w:rPr>
          <w:rFonts w:eastAsia="仿宋_GB2312"/>
          <w:color w:val="1A1A1A" w:themeColor="background1" w:themeShade="1A"/>
          <w:sz w:val="32"/>
          <w:szCs w:val="32"/>
        </w:rPr>
        <w:t>加强塑料污染全链条防治。积极推广替代产品，增加可循环、易回收、可降解绿色产品供给。有序限制、禁止部分塑料制品生产、销售和使用。持续减少不可降解塑料袋、一次性塑料餐具、宾馆酒店一次性塑料用品、快递塑料包装等使用。持续开展塑料污染治理部门联合专项行动，依法查处生产、销售厚度小于0.025毫米的超薄塑料购物袋、厚度小于0.01毫米的聚乙烯农用地膜和一次性发泡塑料餐具、</w:t>
      </w:r>
      <w:r>
        <w:rPr>
          <w:rFonts w:hint="eastAsia" w:eastAsia="仿宋_GB2312"/>
          <w:color w:val="1A1A1A" w:themeColor="background1" w:themeShade="1A"/>
          <w:sz w:val="32"/>
          <w:szCs w:val="32"/>
        </w:rPr>
        <w:t>一次性</w:t>
      </w:r>
      <w:r>
        <w:rPr>
          <w:rFonts w:eastAsia="仿宋_GB2312"/>
          <w:color w:val="1A1A1A" w:themeColor="background1" w:themeShade="1A"/>
          <w:sz w:val="32"/>
          <w:szCs w:val="32"/>
        </w:rPr>
        <w:t>塑料棉签、</w:t>
      </w:r>
      <w:r>
        <w:rPr>
          <w:rFonts w:hint="eastAsia" w:eastAsia="仿宋_GB2312"/>
          <w:color w:val="1A1A1A" w:themeColor="background1" w:themeShade="1A"/>
          <w:sz w:val="32"/>
          <w:szCs w:val="32"/>
        </w:rPr>
        <w:t>生产</w:t>
      </w:r>
      <w:r>
        <w:rPr>
          <w:rFonts w:eastAsia="仿宋_GB2312"/>
          <w:color w:val="1A1A1A" w:themeColor="background1" w:themeShade="1A"/>
          <w:sz w:val="32"/>
          <w:szCs w:val="32"/>
        </w:rPr>
        <w:t>含塑料微珠的日化产品</w:t>
      </w:r>
      <w:r>
        <w:rPr>
          <w:rFonts w:hint="eastAsia" w:eastAsia="仿宋_GB2312"/>
          <w:color w:val="1A1A1A" w:themeColor="background1" w:themeShade="1A"/>
          <w:sz w:val="32"/>
          <w:szCs w:val="32"/>
        </w:rPr>
        <w:t>，以医疗废物为原料制造塑料制品</w:t>
      </w:r>
      <w:r>
        <w:rPr>
          <w:rFonts w:eastAsia="仿宋_GB2312"/>
          <w:color w:val="1A1A1A" w:themeColor="background1" w:themeShade="1A"/>
          <w:sz w:val="32"/>
          <w:szCs w:val="32"/>
        </w:rPr>
        <w:t>等违法行为。常态化开展河湖水域、岸线、滩地等重点区域塑料垃圾清理。推进农膜生产者责任延伸制度，深入开展废旧农膜回收以旧换新试点。</w:t>
      </w:r>
      <w:r>
        <w:rPr>
          <w:rFonts w:hint="eastAsia" w:eastAsia="楷体_GB2312"/>
          <w:color w:val="1A1A1A" w:themeColor="background1" w:themeShade="1A"/>
          <w:sz w:val="32"/>
          <w:szCs w:val="32"/>
        </w:rPr>
        <w:t>（区发展改革局、生态环境分局、区行政审批服务局、区工业和信息化局、区农业农村局、区市场监管局、区商务局、区文化和旅游局、区自然资源局、区水务局、区综合行政执法局、区交通运输局、区住房城乡建设局、区科技局、区邮政管理局等按职责分工负责）</w:t>
      </w:r>
    </w:p>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积极开展“无废城市”建设。</w:t>
      </w:r>
      <w:r>
        <w:rPr>
          <w:rFonts w:hint="eastAsia" w:eastAsia="仿宋_GB2312" w:cs="仿宋_GB2312"/>
          <w:color w:val="1A1A1A" w:themeColor="background1" w:themeShade="1A"/>
          <w:sz w:val="32"/>
          <w:szCs w:val="32"/>
          <w:shd w:val="clear" w:color="auto" w:fill="FFFFFF"/>
        </w:rPr>
        <w:t>配合济宁市合理布局生活垃圾、建筑垃圾、工业固体废物处理处置设施等城镇环境基础设施，建立全程闭环餐厨垃圾回收利用体系，扎实推进垃圾分类处置。合理布局建筑垃圾转运调配、消纳处置、资源化利用设施和餐厨垃圾处理处置基础设施建设。</w:t>
      </w:r>
      <w:r>
        <w:rPr>
          <w:rFonts w:hint="eastAsia" w:eastAsia="楷体_GB2312"/>
          <w:color w:val="1A1A1A" w:themeColor="background1" w:themeShade="1A"/>
          <w:sz w:val="32"/>
          <w:szCs w:val="32"/>
        </w:rPr>
        <w:t>（生态环境分局、区住房城乡建设局、区综合行政执法局按职责分工负责）</w:t>
      </w:r>
      <w:r>
        <w:rPr>
          <w:rFonts w:hint="eastAsia" w:eastAsia="仿宋_GB2312" w:cs="仿宋_GB2312"/>
          <w:color w:val="1A1A1A" w:themeColor="background1" w:themeShade="1A"/>
          <w:sz w:val="32"/>
          <w:szCs w:val="32"/>
          <w:shd w:val="clear" w:color="auto" w:fill="FFFFFF"/>
        </w:rPr>
        <w:t>按照《济宁市</w:t>
      </w:r>
      <w:r>
        <w:rPr>
          <w:rFonts w:hint="eastAsia" w:ascii="仿宋_GB2312" w:eastAsia="仿宋_GB2312" w:cs="仿宋_GB2312"/>
          <w:color w:val="1A1A1A" w:themeColor="background1" w:themeShade="1A"/>
          <w:sz w:val="32"/>
          <w:szCs w:val="32"/>
          <w:shd w:val="clear" w:color="auto" w:fill="FFFFFF"/>
        </w:rPr>
        <w:t>“无废城市”建设工作方案》，对标学习省内外</w:t>
      </w:r>
      <w:r>
        <w:rPr>
          <w:rFonts w:hint="eastAsia" w:ascii="仿宋_GB2312" w:eastAsia="仿宋_GB2312"/>
          <w:color w:val="1A1A1A" w:themeColor="background1" w:themeShade="1A"/>
          <w:sz w:val="32"/>
          <w:szCs w:val="32"/>
          <w:shd w:val="clear" w:color="auto" w:fill="FFFFFF"/>
        </w:rPr>
        <w:t>“</w:t>
      </w:r>
      <w:r>
        <w:rPr>
          <w:rFonts w:hint="eastAsia" w:ascii="仿宋_GB2312" w:eastAsia="仿宋_GB2312" w:cs="仿宋_GB2312"/>
          <w:color w:val="1A1A1A" w:themeColor="background1" w:themeShade="1A"/>
          <w:sz w:val="32"/>
          <w:szCs w:val="32"/>
          <w:shd w:val="clear" w:color="auto" w:fill="FFFFFF"/>
        </w:rPr>
        <w:t>无废城市</w:t>
      </w:r>
      <w:r>
        <w:rPr>
          <w:rFonts w:hint="eastAsia" w:ascii="仿宋_GB2312" w:eastAsia="仿宋_GB2312"/>
          <w:color w:val="1A1A1A" w:themeColor="background1" w:themeShade="1A"/>
          <w:sz w:val="32"/>
          <w:szCs w:val="32"/>
          <w:shd w:val="clear" w:color="auto" w:fill="FFFFFF"/>
        </w:rPr>
        <w:t>”</w:t>
      </w:r>
      <w:r>
        <w:rPr>
          <w:rFonts w:hint="eastAsia" w:ascii="仿宋_GB2312" w:eastAsia="仿宋_GB2312" w:cs="仿宋_GB2312"/>
          <w:color w:val="1A1A1A" w:themeColor="background1" w:themeShade="1A"/>
          <w:sz w:val="32"/>
          <w:szCs w:val="32"/>
          <w:shd w:val="clear" w:color="auto" w:fill="FFFFFF"/>
        </w:rPr>
        <w:t>建设</w:t>
      </w:r>
      <w:r>
        <w:rPr>
          <w:rFonts w:hint="eastAsia" w:eastAsia="仿宋_GB2312" w:cs="仿宋_GB2312"/>
          <w:color w:val="1A1A1A" w:themeColor="background1" w:themeShade="1A"/>
          <w:sz w:val="32"/>
          <w:szCs w:val="32"/>
          <w:shd w:val="clear" w:color="auto" w:fill="FFFFFF"/>
        </w:rPr>
        <w:t>试点城市的工作机制、项目实施、管理制度等成熟经验，配合推进济宁市</w:t>
      </w:r>
      <w:r>
        <w:rPr>
          <w:rFonts w:eastAsia="仿宋_GB2312"/>
          <w:color w:val="1A1A1A" w:themeColor="background1" w:themeShade="1A"/>
          <w:sz w:val="32"/>
          <w:szCs w:val="32"/>
          <w:shd w:val="clear" w:color="auto" w:fill="FFFFFF"/>
        </w:rPr>
        <w:t>“</w:t>
      </w:r>
      <w:r>
        <w:rPr>
          <w:rFonts w:hint="eastAsia" w:eastAsia="仿宋_GB2312" w:cs="仿宋_GB2312"/>
          <w:color w:val="1A1A1A" w:themeColor="background1" w:themeShade="1A"/>
          <w:sz w:val="32"/>
          <w:szCs w:val="32"/>
          <w:shd w:val="clear" w:color="auto" w:fill="FFFFFF"/>
        </w:rPr>
        <w:t>无废城市</w:t>
      </w:r>
      <w:r>
        <w:rPr>
          <w:rFonts w:eastAsia="仿宋_GB2312"/>
          <w:color w:val="1A1A1A" w:themeColor="background1" w:themeShade="1A"/>
          <w:sz w:val="32"/>
          <w:szCs w:val="32"/>
          <w:shd w:val="clear" w:color="auto" w:fill="FFFFFF"/>
        </w:rPr>
        <w:t>”</w:t>
      </w:r>
      <w:r>
        <w:rPr>
          <w:rFonts w:hint="eastAsia" w:eastAsia="仿宋_GB2312" w:cs="仿宋_GB2312"/>
          <w:color w:val="1A1A1A" w:themeColor="background1" w:themeShade="1A"/>
          <w:sz w:val="32"/>
          <w:szCs w:val="32"/>
          <w:shd w:val="clear" w:color="auto" w:fill="FFFFFF"/>
        </w:rPr>
        <w:t>建设。</w:t>
      </w:r>
      <w:r>
        <w:rPr>
          <w:rFonts w:hint="eastAsia" w:eastAsia="楷体_GB2312"/>
          <w:color w:val="1A1A1A" w:themeColor="background1" w:themeShade="1A"/>
          <w:sz w:val="32"/>
          <w:szCs w:val="32"/>
        </w:rPr>
        <w:t>（生态环境分局、区发展改革局、区工业和信息化局、区财政局、区自然资源局、区综合行政执法局、区水务局、区住房城乡建设局、区农业农村局、区商务局、区文化和旅游局、区卫生健康局、区税务局、区市场监管局、区交通运输局、区教育和体育局、区统计局、区邮政管理局、区供销社、区机关事务服务中心等按职责分工负责）</w:t>
      </w:r>
    </w:p>
    <w:p>
      <w:pPr>
        <w:spacing w:line="570" w:lineRule="exact"/>
        <w:ind w:firstLine="642" w:firstLineChars="200"/>
        <w:rPr>
          <w:rFonts w:eastAsia="仿宋_GB2312"/>
          <w:color w:val="1A1A1A" w:themeColor="background1" w:themeShade="1A"/>
          <w:kern w:val="0"/>
          <w:sz w:val="32"/>
          <w:szCs w:val="32"/>
        </w:rPr>
      </w:pPr>
      <w:r>
        <w:rPr>
          <w:rFonts w:hint="eastAsia" w:eastAsia="楷体_GB2312"/>
          <w:b/>
          <w:bCs/>
          <w:color w:val="1A1A1A" w:themeColor="background1" w:themeShade="1A"/>
          <w:sz w:val="32"/>
          <w:szCs w:val="32"/>
        </w:rPr>
        <w:t>开展黄河流域</w:t>
      </w:r>
      <w:r>
        <w:rPr>
          <w:rFonts w:eastAsia="楷体_GB2312"/>
          <w:b/>
          <w:bCs/>
          <w:color w:val="1A1A1A" w:themeColor="background1" w:themeShade="1A"/>
          <w:sz w:val="32"/>
          <w:szCs w:val="32"/>
        </w:rPr>
        <w:t>“</w:t>
      </w:r>
      <w:r>
        <w:rPr>
          <w:rFonts w:hint="eastAsia" w:eastAsia="楷体_GB2312"/>
          <w:b/>
          <w:bCs/>
          <w:color w:val="1A1A1A" w:themeColor="background1" w:themeShade="1A"/>
          <w:sz w:val="32"/>
          <w:szCs w:val="32"/>
        </w:rPr>
        <w:t>清废行动</w:t>
      </w:r>
      <w:r>
        <w:rPr>
          <w:rFonts w:eastAsia="楷体_GB2312"/>
          <w:b/>
          <w:bCs/>
          <w:color w:val="1A1A1A" w:themeColor="background1" w:themeShade="1A"/>
          <w:sz w:val="32"/>
          <w:szCs w:val="32"/>
        </w:rPr>
        <w:t>”</w:t>
      </w:r>
      <w:r>
        <w:rPr>
          <w:rFonts w:hint="eastAsia" w:eastAsia="楷体_GB2312"/>
          <w:b/>
          <w:bCs/>
          <w:color w:val="1A1A1A" w:themeColor="background1" w:themeShade="1A"/>
          <w:sz w:val="32"/>
          <w:szCs w:val="32"/>
        </w:rPr>
        <w:t>。</w:t>
      </w:r>
      <w:r>
        <w:rPr>
          <w:rFonts w:hint="eastAsia" w:eastAsia="仿宋_GB2312" w:cs="仿宋_GB2312"/>
          <w:color w:val="1A1A1A" w:themeColor="background1" w:themeShade="1A"/>
          <w:sz w:val="32"/>
          <w:szCs w:val="32"/>
          <w:shd w:val="clear" w:color="auto" w:fill="FFFFFF"/>
        </w:rPr>
        <w:t>根据国家卫星遥感解析、群众信访举报形成的疑似固废倾倒问题清单，组织开展现场核查。对不属实的，申请剔除出清单；属实的，制定整改方案进行清理，追溯污染源头，依法处置。</w:t>
      </w:r>
      <w:r>
        <w:rPr>
          <w:rFonts w:hint="eastAsia" w:ascii="楷体_GB2312" w:eastAsia="楷体_GB2312" w:cs="楷体_GB2312"/>
          <w:color w:val="1A1A1A" w:themeColor="background1" w:themeShade="1A"/>
          <w:sz w:val="32"/>
          <w:szCs w:val="32"/>
        </w:rPr>
        <w:t>（生态环境分局、区水务局、区发展改革局、区工业和信息化局、区财政局、区自然资源局、区综合行政执法局、区住房城乡建设局、区农业农村局、区文化和旅游局、区卫生健康局、区交通运输局、区邮政管理局等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97" w:name="_Toc116030740"/>
      <w:r>
        <w:rPr>
          <w:rFonts w:eastAsia="楷体_GB2312"/>
          <w:b/>
          <w:color w:val="1A1A1A" w:themeColor="background1" w:themeShade="1A"/>
          <w:sz w:val="32"/>
          <w:szCs w:val="32"/>
        </w:rPr>
        <w:t>第</w:t>
      </w:r>
      <w:r>
        <w:rPr>
          <w:rFonts w:hint="eastAsia" w:eastAsia="楷体_GB2312"/>
          <w:b/>
          <w:color w:val="1A1A1A" w:themeColor="background1" w:themeShade="1A"/>
          <w:sz w:val="32"/>
          <w:szCs w:val="32"/>
        </w:rPr>
        <w:t>五</w:t>
      </w:r>
      <w:r>
        <w:rPr>
          <w:rFonts w:eastAsia="楷体_GB2312"/>
          <w:b/>
          <w:color w:val="1A1A1A" w:themeColor="background1" w:themeShade="1A"/>
          <w:sz w:val="32"/>
          <w:szCs w:val="32"/>
        </w:rPr>
        <w:t xml:space="preserve">节  </w:t>
      </w:r>
      <w:r>
        <w:rPr>
          <w:rFonts w:hint="eastAsia" w:eastAsia="楷体_GB2312"/>
          <w:b/>
          <w:color w:val="1A1A1A" w:themeColor="background1" w:themeShade="1A"/>
          <w:sz w:val="32"/>
          <w:szCs w:val="32"/>
        </w:rPr>
        <w:t>加强核与辐射安全监管</w:t>
      </w:r>
      <w:bookmarkEnd w:id="97"/>
    </w:p>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健全核与辐射安全监管机制</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落实核与辐射安全监管责任，提升核与辐射应急、辐射安全管理、辐射环境监测等能力，保障核技术利用安全。完善辐射安全培训制度，完成辐射防护安全监督员轮训，对核技术利用领域辐射工作人员依法组织开展辐射安全与防护知识考核。落实辐射安全许可制度，持续加强放射性同位素与射线装置辐射安全监管。</w:t>
      </w:r>
      <w:r>
        <w:rPr>
          <w:rFonts w:hint="eastAsia" w:eastAsia="仿宋_GB2312" w:cs="仿宋_GB2312"/>
          <w:color w:val="1A1A1A" w:themeColor="background1" w:themeShade="1A"/>
          <w:sz w:val="32"/>
          <w:szCs w:val="32"/>
        </w:rPr>
        <w:t>配合省、市生态环境部门做好放射源在线视频安全监控系统维护。</w:t>
      </w:r>
      <w:r>
        <w:rPr>
          <w:rFonts w:hint="eastAsia" w:eastAsia="楷体_GB2312"/>
          <w:color w:val="1A1A1A" w:themeColor="background1" w:themeShade="1A"/>
          <w:sz w:val="32"/>
          <w:szCs w:val="32"/>
        </w:rPr>
        <w:t>（牵头单位：生态环境分局；配合单位：区应急管理局、区卫生健康局）</w:t>
      </w:r>
    </w:p>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加强核与辐射安全风险防范</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严格落实放射性同位素与射线装置分类管理制度，加强辐照、探伤等高风险活动辐射安全监管，做好高风险移动放射源实时监控系统运行维护。</w:t>
      </w:r>
      <w:r>
        <w:rPr>
          <w:rFonts w:hint="eastAsia" w:eastAsia="仿宋_GB2312" w:cs="仿宋_GB2312"/>
          <w:color w:val="1A1A1A" w:themeColor="background1" w:themeShade="1A"/>
          <w:sz w:val="32"/>
          <w:szCs w:val="32"/>
        </w:rPr>
        <w:t>联合有关部门开展全区辐射安全隐患排查工作，开展隐患排查整改问</w:t>
      </w:r>
      <w:r>
        <w:rPr>
          <w:rFonts w:hint="eastAsia" w:ascii="仿宋_GB2312" w:eastAsia="仿宋_GB2312" w:cs="仿宋_GB2312"/>
          <w:color w:val="1A1A1A" w:themeColor="background1" w:themeShade="1A"/>
          <w:sz w:val="32"/>
          <w:szCs w:val="32"/>
        </w:rPr>
        <w:t>题</w:t>
      </w:r>
      <w:r>
        <w:rPr>
          <w:rFonts w:hint="eastAsia" w:ascii="仿宋_GB2312" w:eastAsia="仿宋_GB2312"/>
          <w:color w:val="1A1A1A" w:themeColor="background1" w:themeShade="1A"/>
          <w:sz w:val="32"/>
          <w:szCs w:val="32"/>
        </w:rPr>
        <w:t>“</w:t>
      </w:r>
      <w:r>
        <w:rPr>
          <w:rFonts w:hint="eastAsia" w:ascii="仿宋_GB2312" w:eastAsia="仿宋_GB2312" w:cs="仿宋_GB2312"/>
          <w:color w:val="1A1A1A" w:themeColor="background1" w:themeShade="1A"/>
          <w:sz w:val="32"/>
          <w:szCs w:val="32"/>
        </w:rPr>
        <w:t>回头看</w:t>
      </w:r>
      <w:r>
        <w:rPr>
          <w:rFonts w:hint="eastAsia" w:ascii="仿宋_GB2312" w:eastAsia="仿宋_GB2312"/>
          <w:color w:val="1A1A1A" w:themeColor="background1" w:themeShade="1A"/>
          <w:sz w:val="32"/>
          <w:szCs w:val="32"/>
        </w:rPr>
        <w:t>”</w:t>
      </w:r>
      <w:r>
        <w:rPr>
          <w:rFonts w:hint="eastAsia" w:eastAsia="仿宋_GB2312" w:cs="仿宋_GB2312"/>
          <w:color w:val="1A1A1A" w:themeColor="background1" w:themeShade="1A"/>
          <w:sz w:val="32"/>
          <w:szCs w:val="32"/>
        </w:rPr>
        <w:t>，加强废旧放射源安全管理和收贮工作。</w:t>
      </w:r>
      <w:r>
        <w:rPr>
          <w:rFonts w:hint="eastAsia" w:eastAsia="仿宋_GB2312"/>
          <w:color w:val="1A1A1A" w:themeColor="background1" w:themeShade="1A"/>
          <w:sz w:val="32"/>
          <w:szCs w:val="32"/>
        </w:rPr>
        <w:t>开展风险指引型核与辐射安全监督检查，加强现场监督监管能力，实现所有涉源单位从严监管“全覆盖”。</w:t>
      </w:r>
      <w:r>
        <w:rPr>
          <w:rFonts w:hint="eastAsia" w:eastAsia="楷体_GB2312"/>
          <w:color w:val="1A1A1A" w:themeColor="background1" w:themeShade="1A"/>
          <w:sz w:val="32"/>
          <w:szCs w:val="32"/>
        </w:rPr>
        <w:t>（牵头单位：生态环境分局；配合单位：区卫生健康局、公安分局）</w:t>
      </w:r>
    </w:p>
    <w:p>
      <w:pPr>
        <w:pStyle w:val="46"/>
        <w:spacing w:line="360" w:lineRule="auto"/>
        <w:ind w:firstLine="643"/>
        <w:rPr>
          <w:rFonts w:eastAsia="仿宋_GB2312"/>
          <w:color w:val="1A1A1A" w:themeColor="background1" w:themeShade="1A"/>
          <w:sz w:val="32"/>
          <w:szCs w:val="32"/>
        </w:rPr>
      </w:pPr>
      <w:r>
        <w:rPr>
          <w:rFonts w:hint="eastAsia" w:eastAsia="楷体_GB2312"/>
          <w:b/>
          <w:bCs/>
          <w:color w:val="1A1A1A" w:themeColor="background1" w:themeShade="1A"/>
          <w:sz w:val="32"/>
          <w:szCs w:val="32"/>
        </w:rPr>
        <w:t>完善核与辐射应急响应体系</w:t>
      </w:r>
      <w:r>
        <w:rPr>
          <w:rFonts w:eastAsia="楷体_GB2312"/>
          <w:b/>
          <w:bCs/>
          <w:color w:val="1A1A1A" w:themeColor="background1" w:themeShade="1A"/>
          <w:sz w:val="32"/>
          <w:szCs w:val="32"/>
        </w:rPr>
        <w:t>。</w:t>
      </w:r>
      <w:r>
        <w:rPr>
          <w:rFonts w:hint="eastAsia" w:eastAsia="仿宋_GB2312"/>
          <w:color w:val="1A1A1A" w:themeColor="background1" w:themeShade="1A"/>
          <w:sz w:val="32"/>
          <w:szCs w:val="32"/>
        </w:rPr>
        <w:t>修订《济宁市兖州区辐射事故应急预案》并印发实施，参加全市辐射事故应急比武和演练，开展全区辐射安全培训考核工作；做好应急备勤工作，保障重大活动辐射安全。完善核与辐射应急物资储备，加强对辐射应急物资的统一监督管理。提升各级辐射应急监测仪器装备水平。</w:t>
      </w:r>
      <w:r>
        <w:rPr>
          <w:rFonts w:hint="eastAsia" w:eastAsia="楷体_GB2312"/>
          <w:color w:val="1A1A1A" w:themeColor="background1" w:themeShade="1A"/>
          <w:sz w:val="32"/>
          <w:szCs w:val="32"/>
        </w:rPr>
        <w:t>（区政府办公室、生态环境分局、区委宣传部、区应急局、区委网信办、公安分局、区卫生健康局等按职责分工负责）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98" w:name="_Toc116030741"/>
      <w:r>
        <w:rPr>
          <w:rFonts w:eastAsia="楷体_GB2312"/>
          <w:b/>
          <w:color w:val="1A1A1A" w:themeColor="background1" w:themeShade="1A"/>
          <w:sz w:val="32"/>
          <w:szCs w:val="32"/>
        </w:rPr>
        <w:t>第</w:t>
      </w:r>
      <w:r>
        <w:rPr>
          <w:rFonts w:hint="eastAsia" w:eastAsia="楷体_GB2312"/>
          <w:b/>
          <w:color w:val="1A1A1A" w:themeColor="background1" w:themeShade="1A"/>
          <w:sz w:val="32"/>
          <w:szCs w:val="32"/>
        </w:rPr>
        <w:t>六</w:t>
      </w:r>
      <w:r>
        <w:rPr>
          <w:rFonts w:eastAsia="楷体_GB2312"/>
          <w:b/>
          <w:color w:val="1A1A1A" w:themeColor="background1" w:themeShade="1A"/>
          <w:sz w:val="32"/>
          <w:szCs w:val="32"/>
        </w:rPr>
        <w:t xml:space="preserve">节  </w:t>
      </w:r>
      <w:r>
        <w:rPr>
          <w:rFonts w:hint="eastAsia" w:eastAsia="楷体_GB2312"/>
          <w:b/>
          <w:color w:val="1A1A1A" w:themeColor="background1" w:themeShade="1A"/>
          <w:sz w:val="32"/>
          <w:szCs w:val="32"/>
        </w:rPr>
        <w:t>加强新污染物治理</w:t>
      </w:r>
      <w:bookmarkEnd w:id="98"/>
    </w:p>
    <w:p>
      <w:pPr>
        <w:spacing w:line="590" w:lineRule="exact"/>
        <w:ind w:firstLine="640" w:firstLineChars="200"/>
        <w:rPr>
          <w:rFonts w:eastAsia="楷体_GB2312"/>
          <w:color w:val="1A1A1A" w:themeColor="background1" w:themeShade="1A"/>
          <w:sz w:val="32"/>
          <w:szCs w:val="32"/>
        </w:rPr>
      </w:pPr>
      <w:r>
        <w:rPr>
          <w:rFonts w:hint="eastAsia" w:eastAsia="仿宋_GB2312"/>
          <w:color w:val="1A1A1A" w:themeColor="background1" w:themeShade="1A"/>
          <w:sz w:val="32"/>
          <w:szCs w:val="32"/>
        </w:rPr>
        <w:t>制定实施新污染物治理行动方案，针对持久性有机污染物、内分泌干扰物等新污染物，实施调查监测和环境风险评估，建立健全有毒有害化学物质环境风险管理制度，强化源头准入，积极落实相关环境风险管控措施。</w:t>
      </w:r>
      <w:r>
        <w:rPr>
          <w:rFonts w:hint="eastAsia" w:eastAsia="楷体_GB2312"/>
          <w:color w:val="1A1A1A" w:themeColor="background1" w:themeShade="1A"/>
          <w:sz w:val="32"/>
          <w:szCs w:val="32"/>
        </w:rPr>
        <w:t>（生态环境分局、区卫生健康局、区工业和信息化局、区发展改革局等按职责分工负责）</w:t>
      </w:r>
    </w:p>
    <w:p>
      <w:pPr>
        <w:adjustRightInd w:val="0"/>
        <w:spacing w:before="312" w:beforeLines="100" w:after="312" w:afterLines="100"/>
        <w:jc w:val="center"/>
        <w:textAlignment w:val="baseline"/>
        <w:outlineLvl w:val="0"/>
        <w:rPr>
          <w:rFonts w:eastAsia="黑体"/>
          <w:b/>
          <w:color w:val="1A1A1A" w:themeColor="background1" w:themeShade="1A"/>
          <w:sz w:val="32"/>
          <w:szCs w:val="32"/>
        </w:rPr>
      </w:pPr>
      <w:bookmarkStart w:id="99" w:name="_Toc116030742"/>
      <w:r>
        <w:rPr>
          <w:rFonts w:eastAsia="黑体"/>
          <w:b/>
          <w:color w:val="1A1A1A" w:themeColor="background1" w:themeShade="1A"/>
          <w:sz w:val="32"/>
          <w:szCs w:val="32"/>
        </w:rPr>
        <w:t xml:space="preserve">第十章  </w:t>
      </w:r>
      <w:r>
        <w:rPr>
          <w:rFonts w:hint="eastAsia" w:eastAsia="黑体"/>
          <w:b/>
          <w:color w:val="1A1A1A" w:themeColor="background1" w:themeShade="1A"/>
          <w:sz w:val="32"/>
          <w:szCs w:val="32"/>
        </w:rPr>
        <w:t>健全治理体系  提高生态环境治理能力</w:t>
      </w:r>
      <w:bookmarkEnd w:id="99"/>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00" w:name="_Toc116030743"/>
      <w:r>
        <w:rPr>
          <w:rFonts w:eastAsia="楷体_GB2312"/>
          <w:b/>
          <w:color w:val="1A1A1A" w:themeColor="background1" w:themeShade="1A"/>
          <w:sz w:val="32"/>
          <w:szCs w:val="32"/>
        </w:rPr>
        <w:t>第一节  完善生态环境保护统筹协调机制</w:t>
      </w:r>
      <w:bookmarkEnd w:id="100"/>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落实党委</w:t>
      </w:r>
      <w:r>
        <w:rPr>
          <w:rFonts w:hint="eastAsia" w:eastAsia="楷体_GB2312"/>
          <w:b/>
          <w:bCs/>
          <w:color w:val="1A1A1A" w:themeColor="background1" w:themeShade="1A"/>
          <w:sz w:val="32"/>
          <w:szCs w:val="32"/>
        </w:rPr>
        <w:t>、</w:t>
      </w:r>
      <w:r>
        <w:rPr>
          <w:rFonts w:eastAsia="楷体_GB2312"/>
          <w:b/>
          <w:bCs/>
          <w:color w:val="1A1A1A" w:themeColor="background1" w:themeShade="1A"/>
          <w:sz w:val="32"/>
          <w:szCs w:val="32"/>
        </w:rPr>
        <w:t>政府领导责任。</w:t>
      </w:r>
      <w:r>
        <w:rPr>
          <w:rFonts w:hint="eastAsia" w:eastAsia="仿宋_GB2312"/>
          <w:color w:val="1A1A1A" w:themeColor="background1" w:themeShade="1A"/>
          <w:sz w:val="32"/>
          <w:szCs w:val="32"/>
        </w:rPr>
        <w:t>认真落实中央统筹、省负总责、市区抓落实的工作机制。健全生态环境委员会工作机制。强化生态环境保护责任考核，将深入打好污染防治攻坚战成效考核结果作为对领导班子和领导干部综合考核评价、奖惩任免的重要依据，将生态环境保护责任落实情况作为巡视巡察、干部监督考核等工作的重要内容，全面落实“党政同责、一岗双责”。</w:t>
      </w:r>
      <w:r>
        <w:rPr>
          <w:rFonts w:hint="eastAsia" w:eastAsia="楷体_GB2312"/>
          <w:color w:val="1A1A1A" w:themeColor="background1" w:themeShade="1A"/>
          <w:sz w:val="32"/>
          <w:szCs w:val="32"/>
        </w:rPr>
        <w:t>（责任单位：区生态环境保护委员会）</w:t>
      </w:r>
      <w:r>
        <w:rPr>
          <w:rFonts w:hint="eastAsia" w:eastAsia="仿宋_GB2312"/>
          <w:color w:val="1A1A1A" w:themeColor="background1" w:themeShade="1A"/>
          <w:sz w:val="32"/>
          <w:szCs w:val="32"/>
        </w:rPr>
        <w:t>开展领导干部自然资源资产离任审计，实行生态环境损害责任终身追究制。</w:t>
      </w:r>
      <w:r>
        <w:rPr>
          <w:rFonts w:hint="eastAsia" w:eastAsia="楷体_GB2312"/>
          <w:color w:val="1A1A1A" w:themeColor="background1" w:themeShade="1A"/>
          <w:sz w:val="32"/>
          <w:szCs w:val="32"/>
        </w:rPr>
        <w:t>（区纪委、区审计局按职责分工负责）</w:t>
      </w:r>
    </w:p>
    <w:p>
      <w:pPr>
        <w:pStyle w:val="46"/>
        <w:spacing w:line="360" w:lineRule="auto"/>
        <w:ind w:firstLine="643"/>
        <w:rPr>
          <w:rFonts w:eastAsia="仿宋_GB2312"/>
          <w:color w:val="1A1A1A" w:themeColor="background1" w:themeShade="1A"/>
          <w:sz w:val="32"/>
          <w:szCs w:val="32"/>
        </w:rPr>
      </w:pPr>
      <w:r>
        <w:rPr>
          <w:rFonts w:eastAsia="楷体_GB2312"/>
          <w:b/>
          <w:bCs/>
          <w:color w:val="1A1A1A" w:themeColor="background1" w:themeShade="1A"/>
          <w:sz w:val="32"/>
          <w:szCs w:val="32"/>
        </w:rPr>
        <w:t>强化部门协作联动。</w:t>
      </w:r>
      <w:r>
        <w:rPr>
          <w:rFonts w:hint="eastAsia" w:eastAsia="仿宋_GB2312"/>
          <w:color w:val="1A1A1A" w:themeColor="background1" w:themeShade="1A"/>
          <w:kern w:val="0"/>
          <w:sz w:val="32"/>
          <w:szCs w:val="32"/>
        </w:rPr>
        <w:t>严格落实《济宁市兖州区各级党委、政府及有关部门环境保护工作职责》，夯实管发展必须管环保、管生产必须管环保、管行业必须管环保要求，各部门共同发力，促进结构转型和助推经济高质量发展。</w:t>
      </w:r>
      <w:r>
        <w:rPr>
          <w:rFonts w:hint="eastAsia" w:eastAsia="仿宋_GB2312" w:cs="仿宋_GB2312"/>
          <w:color w:val="1A1A1A" w:themeColor="background1" w:themeShade="1A"/>
          <w:sz w:val="32"/>
          <w:szCs w:val="32"/>
        </w:rPr>
        <w:t>强化生态环境保护议事协调机制作用。研究推动解决生态环境保护重要问题，加强统筹协调，形成工作合力，确保日常工作机构有场所、有人员、有经费。</w:t>
      </w:r>
      <w:r>
        <w:rPr>
          <w:rFonts w:hint="eastAsia" w:eastAsia="仿宋_GB2312"/>
          <w:color w:val="1A1A1A" w:themeColor="background1" w:themeShade="1A"/>
          <w:kern w:val="0"/>
          <w:sz w:val="32"/>
          <w:szCs w:val="32"/>
        </w:rPr>
        <w:t>健全生态环境部门与相关部门联系会商、联动执法、联合响应机制。将中央、省级生态环境保护督察作为压实部门责任、解决问题的重要</w:t>
      </w:r>
      <w:bookmarkStart w:id="123" w:name="_GoBack"/>
      <w:bookmarkEnd w:id="123"/>
      <w:r>
        <w:rPr>
          <w:rFonts w:hint="eastAsia" w:eastAsia="仿宋_GB2312"/>
          <w:color w:val="1A1A1A" w:themeColor="background1" w:themeShade="1A"/>
          <w:kern w:val="0"/>
          <w:sz w:val="32"/>
          <w:szCs w:val="32"/>
          <w:lang w:eastAsia="zh-CN"/>
        </w:rPr>
        <w:t>途径</w:t>
      </w:r>
      <w:r>
        <w:rPr>
          <w:rFonts w:hint="eastAsia" w:eastAsia="仿宋_GB2312"/>
          <w:color w:val="1A1A1A" w:themeColor="background1" w:themeShade="1A"/>
          <w:kern w:val="0"/>
          <w:sz w:val="32"/>
          <w:szCs w:val="32"/>
        </w:rPr>
        <w:t>。实行生态环境保护综合行政执法机关、公安机关、检察机关、审判机关信息共享、案情通报、案件移送制度，加大对生态环境违法犯罪行为的侦办力度。落实生态环境损害赔偿制度，做到应赔尽赔。加强生态环境损害赔偿案件线索筛查、重大案件追踪办理和修复效果评估。推动行政处罚、刑事司法、公益诉讼与生态环境损害赔偿工作有效衔接。</w:t>
      </w:r>
      <w:r>
        <w:rPr>
          <w:rFonts w:hint="eastAsia" w:eastAsia="楷体_GB2312"/>
          <w:color w:val="1A1A1A" w:themeColor="background1" w:themeShade="1A"/>
          <w:sz w:val="32"/>
          <w:szCs w:val="32"/>
        </w:rPr>
        <w:t>（牵头单位：区生态环境保护委员会；配合单位：生态环境分局、区公安分局、区应急管理局、区检察院、区自然资源局、区财政局）</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01" w:name="_Toc116030744"/>
      <w:r>
        <w:rPr>
          <w:rFonts w:eastAsia="楷体_GB2312"/>
          <w:b/>
          <w:color w:val="1A1A1A" w:themeColor="background1" w:themeShade="1A"/>
          <w:sz w:val="32"/>
          <w:szCs w:val="32"/>
        </w:rPr>
        <w:t xml:space="preserve">第二节  </w:t>
      </w:r>
      <w:r>
        <w:rPr>
          <w:rFonts w:hint="eastAsia" w:eastAsia="楷体_GB2312"/>
          <w:b/>
          <w:color w:val="1A1A1A" w:themeColor="background1" w:themeShade="1A"/>
          <w:sz w:val="32"/>
          <w:szCs w:val="32"/>
        </w:rPr>
        <w:t>深化生态环境制度落实</w:t>
      </w:r>
      <w:bookmarkEnd w:id="101"/>
    </w:p>
    <w:p>
      <w:pPr>
        <w:autoSpaceDE w:val="0"/>
        <w:autoSpaceDN w:val="0"/>
        <w:adjustRightInd w:val="0"/>
        <w:spacing w:line="360" w:lineRule="auto"/>
        <w:ind w:firstLine="642" w:firstLineChars="200"/>
        <w:rPr>
          <w:rFonts w:eastAsia="楷体_GB2312"/>
          <w:color w:val="1A1A1A" w:themeColor="background1" w:themeShade="1A"/>
          <w:sz w:val="32"/>
          <w:szCs w:val="32"/>
        </w:rPr>
      </w:pPr>
      <w:r>
        <w:rPr>
          <w:rFonts w:eastAsia="楷体_GB2312"/>
          <w:b/>
          <w:bCs/>
          <w:color w:val="1A1A1A" w:themeColor="background1" w:themeShade="1A"/>
          <w:sz w:val="32"/>
          <w:szCs w:val="32"/>
        </w:rPr>
        <w:t>深化落实排污许可制。</w:t>
      </w:r>
      <w:r>
        <w:rPr>
          <w:rFonts w:hint="eastAsia" w:eastAsia="仿宋_GB2312"/>
          <w:bCs/>
          <w:color w:val="1A1A1A" w:themeColor="background1" w:themeShade="1A"/>
          <w:kern w:val="0"/>
          <w:sz w:val="32"/>
          <w:szCs w:val="32"/>
        </w:rPr>
        <w:t>全面落实以排污许可制为核心的固定污染源监管制度，强化固定污染源全过程管理和多污染物协同控制。加快推进环评与排污许可衔接融合，推动总量控制、生态环境统计、生态环境监测、生态环境执法等生态环境管理制度衔接，实现重点行业环境影响评价、排污许可、监管执法全闭环管理。持续做好排污许可证换证或登记延续动态更新，巩固提高排污许可证及执行报告填报质量。建立以排污许可证为主要依据的生态环境日常执法监督体系，加强排污许可证后管理，开展排污许可专项执法检查，落实排污许可“一证式”管理。</w:t>
      </w:r>
      <w:r>
        <w:rPr>
          <w:rFonts w:hint="eastAsia" w:eastAsia="仿宋_GB2312" w:cs="仿宋_GB2312"/>
          <w:color w:val="1A1A1A" w:themeColor="background1" w:themeShade="1A"/>
          <w:sz w:val="32"/>
          <w:szCs w:val="32"/>
        </w:rPr>
        <w:t>按照省、市统一部署，推进排污权市场化交易。</w:t>
      </w:r>
      <w:r>
        <w:rPr>
          <w:rFonts w:hint="eastAsia" w:eastAsia="楷体_GB2312"/>
          <w:color w:val="1A1A1A" w:themeColor="background1" w:themeShade="1A"/>
          <w:sz w:val="32"/>
          <w:szCs w:val="32"/>
        </w:rPr>
        <w:t>（牵头单位：生态环境分局；配合单位：区行政审批服务局）</w:t>
      </w:r>
    </w:p>
    <w:p>
      <w:pPr>
        <w:autoSpaceDE w:val="0"/>
        <w:autoSpaceDN w:val="0"/>
        <w:adjustRightInd w:val="0"/>
        <w:spacing w:line="360" w:lineRule="auto"/>
        <w:ind w:firstLine="642" w:firstLineChars="200"/>
        <w:rPr>
          <w:rFonts w:ascii="楷体_GB2312" w:eastAsia="楷体_GB2312"/>
          <w:color w:val="1A1A1A" w:themeColor="background1" w:themeShade="1A"/>
          <w:sz w:val="32"/>
          <w:szCs w:val="32"/>
        </w:rPr>
      </w:pPr>
      <w:r>
        <w:rPr>
          <w:rFonts w:hint="eastAsia" w:eastAsia="楷体_GB2312"/>
          <w:b/>
          <w:bCs/>
          <w:color w:val="1A1A1A" w:themeColor="background1" w:themeShade="1A"/>
          <w:sz w:val="32"/>
          <w:szCs w:val="32"/>
        </w:rPr>
        <w:t>落实污染物排放总量控制制度</w:t>
      </w:r>
      <w:r>
        <w:rPr>
          <w:rFonts w:eastAsia="楷体_GB2312"/>
          <w:b/>
          <w:bCs/>
          <w:color w:val="1A1A1A" w:themeColor="background1" w:themeShade="1A"/>
          <w:sz w:val="32"/>
          <w:szCs w:val="32"/>
        </w:rPr>
        <w:t>。</w:t>
      </w:r>
      <w:r>
        <w:rPr>
          <w:rFonts w:hint="eastAsia" w:eastAsia="仿宋_GB2312"/>
          <w:bCs/>
          <w:color w:val="1A1A1A" w:themeColor="background1" w:themeShade="1A"/>
          <w:kern w:val="0"/>
          <w:sz w:val="32"/>
          <w:szCs w:val="32"/>
        </w:rPr>
        <w:t>围绕生态环境质量改善目标，实施排污总量控制，高质量完成“十四五”总量减排目标任务。落实国家建立非固定污染源减排管理体系的要求，实施非固定污染源全过程调度管理，强化统计、监管、评估。统筹推进多污染物协同减排，减污降碳协同增效，实施一批重点领域、重点行业协同减排工程。</w:t>
      </w:r>
      <w:r>
        <w:rPr>
          <w:rFonts w:hint="eastAsia" w:eastAsia="仿宋_GB2312" w:cs="仿宋_GB2312"/>
          <w:color w:val="1A1A1A" w:themeColor="background1" w:themeShade="1A"/>
          <w:sz w:val="32"/>
          <w:szCs w:val="32"/>
        </w:rPr>
        <w:t>深度挖掘减排潜力，全力挖潜减排项目，全面完成年度四项主要污染物减排任务。</w:t>
      </w:r>
      <w:r>
        <w:rPr>
          <w:rFonts w:hint="eastAsia" w:eastAsia="仿宋_GB2312"/>
          <w:bCs/>
          <w:color w:val="1A1A1A" w:themeColor="background1" w:themeShade="1A"/>
          <w:kern w:val="0"/>
          <w:sz w:val="32"/>
          <w:szCs w:val="32"/>
        </w:rPr>
        <w:t>健全污染减排激励约束机制。</w:t>
      </w:r>
      <w:r>
        <w:rPr>
          <w:rFonts w:hint="eastAsia" w:eastAsia="楷体_GB2312"/>
          <w:color w:val="1A1A1A" w:themeColor="background1" w:themeShade="1A"/>
          <w:sz w:val="32"/>
          <w:szCs w:val="32"/>
        </w:rPr>
        <w:t>（区发展改革局、生态环境分局、区行政审批服务局、区水务局、区住房城乡建设局、公安分局、区交通运输局等按职责分工负责）</w:t>
      </w:r>
      <w:r>
        <w:rPr>
          <w:rFonts w:hint="eastAsia" w:eastAsia="仿宋_GB2312" w:cs="仿宋_GB2312"/>
          <w:color w:val="1A1A1A" w:themeColor="background1" w:themeShade="1A"/>
          <w:sz w:val="32"/>
          <w:szCs w:val="32"/>
        </w:rPr>
        <w:t>多领域推进绿色发展。围绕节能降耗低碳，推进绿色制造、绿色交通、绿色建造，</w:t>
      </w:r>
      <w:r>
        <w:rPr>
          <w:rFonts w:eastAsia="仿宋_GB2312"/>
          <w:color w:val="1A1A1A" w:themeColor="background1" w:themeShade="1A"/>
          <w:sz w:val="32"/>
          <w:szCs w:val="32"/>
        </w:rPr>
        <w:t>202</w:t>
      </w:r>
      <w:r>
        <w:rPr>
          <w:rFonts w:hint="eastAsia" w:eastAsia="仿宋_GB2312"/>
          <w:color w:val="1A1A1A" w:themeColor="background1" w:themeShade="1A"/>
          <w:sz w:val="32"/>
          <w:szCs w:val="32"/>
        </w:rPr>
        <w:t>3</w:t>
      </w:r>
      <w:r>
        <w:rPr>
          <w:rFonts w:hint="eastAsia" w:eastAsia="仿宋_GB2312" w:cs="仿宋_GB2312"/>
          <w:color w:val="1A1A1A" w:themeColor="background1" w:themeShade="1A"/>
          <w:sz w:val="32"/>
          <w:szCs w:val="32"/>
        </w:rPr>
        <w:t>年年底前取得阶段性成效。</w:t>
      </w:r>
      <w:r>
        <w:rPr>
          <w:rFonts w:hint="eastAsia" w:ascii="楷体_GB2312" w:eastAsia="楷体_GB2312" w:cs="楷体_GB2312"/>
          <w:color w:val="1A1A1A" w:themeColor="background1" w:themeShade="1A"/>
          <w:sz w:val="32"/>
          <w:szCs w:val="32"/>
        </w:rPr>
        <w:t>（区发展改革局、区工业和信息化局、区交通运输局、区住房城乡建设局</w:t>
      </w:r>
      <w:r>
        <w:rPr>
          <w:rFonts w:hint="eastAsia" w:eastAsia="楷体_GB2312"/>
          <w:color w:val="1A1A1A" w:themeColor="background1" w:themeShade="1A"/>
          <w:sz w:val="32"/>
          <w:szCs w:val="32"/>
        </w:rPr>
        <w:t>等按职责分工负责</w:t>
      </w:r>
      <w:r>
        <w:rPr>
          <w:rFonts w:hint="eastAsia" w:ascii="楷体_GB2312" w:eastAsia="楷体_GB2312" w:cs="楷体_GB2312"/>
          <w:color w:val="1A1A1A" w:themeColor="background1" w:themeShade="1A"/>
          <w:sz w:val="32"/>
          <w:szCs w:val="32"/>
        </w:rPr>
        <w:t>）</w:t>
      </w:r>
    </w:p>
    <w:p>
      <w:pPr>
        <w:autoSpaceDE w:val="0"/>
        <w:autoSpaceDN w:val="0"/>
        <w:adjustRightInd w:val="0"/>
        <w:spacing w:line="360" w:lineRule="auto"/>
        <w:ind w:firstLine="642" w:firstLineChars="200"/>
        <w:rPr>
          <w:rFonts w:eastAsia="楷体_GB2312"/>
          <w:color w:val="1A1A1A" w:themeColor="background1" w:themeShade="1A"/>
          <w:sz w:val="32"/>
          <w:szCs w:val="32"/>
        </w:rPr>
      </w:pPr>
      <w:r>
        <w:rPr>
          <w:rFonts w:eastAsia="楷体_GB2312"/>
          <w:b/>
          <w:bCs/>
          <w:color w:val="1A1A1A" w:themeColor="background1" w:themeShade="1A"/>
          <w:sz w:val="32"/>
          <w:szCs w:val="32"/>
        </w:rPr>
        <w:t>落实环境治理信用制度。</w:t>
      </w:r>
      <w:r>
        <w:rPr>
          <w:rFonts w:eastAsia="仿宋_GB2312"/>
          <w:color w:val="1A1A1A" w:themeColor="background1" w:themeShade="1A"/>
          <w:kern w:val="0"/>
          <w:sz w:val="32"/>
          <w:szCs w:val="32"/>
        </w:rPr>
        <w:t>建立环保政务失信记录，健全政务失信信息共享交换机制，依托</w:t>
      </w:r>
      <w:r>
        <w:rPr>
          <w:rFonts w:hint="eastAsia" w:eastAsia="仿宋_GB2312"/>
          <w:color w:val="1A1A1A" w:themeColor="background1" w:themeShade="1A"/>
          <w:kern w:val="0"/>
          <w:sz w:val="32"/>
          <w:szCs w:val="32"/>
        </w:rPr>
        <w:t>“信用中国（山东济宁）”</w:t>
      </w:r>
      <w:r>
        <w:rPr>
          <w:rFonts w:eastAsia="仿宋_GB2312"/>
          <w:color w:val="1A1A1A" w:themeColor="background1" w:themeShade="1A"/>
          <w:kern w:val="0"/>
          <w:sz w:val="32"/>
          <w:szCs w:val="32"/>
        </w:rPr>
        <w:t>网站等依法依规逐步公开，强化环保政务信用信息使用。严格执行企业环境信用评价制度，依据评价结果实施分级分类监管。严格落实黑名单制度</w:t>
      </w:r>
      <w:r>
        <w:rPr>
          <w:rFonts w:hint="eastAsia" w:eastAsia="仿宋_GB2312"/>
          <w:color w:val="1A1A1A" w:themeColor="background1" w:themeShade="1A"/>
          <w:kern w:val="0"/>
          <w:sz w:val="32"/>
          <w:szCs w:val="32"/>
        </w:rPr>
        <w:t>，将企业和服务单位在环境影响评价、社会化环境检测、危险废物处置、环境治理及设施运营、清洁生产审核、污染场地风险调查评估等领域的违法违规信息记入企业信用记录，纳入信用信息共享平台，向社会公开。落实国家强制性环境治理信息披露办法，督促上市公司、发债企业等市场主体全面、及时、准确披露环境信息。以企业环境信用评价为抓手，提高企业环境信息和数据质量。</w:t>
      </w:r>
      <w:r>
        <w:rPr>
          <w:rFonts w:hint="eastAsia" w:eastAsia="楷体_GB2312"/>
          <w:color w:val="1A1A1A" w:themeColor="background1" w:themeShade="1A"/>
          <w:sz w:val="32"/>
          <w:szCs w:val="32"/>
        </w:rPr>
        <w:t>（牵头单位：生态环境分局；配合单位：区发展改革局、区工业和信息化局、区住房城乡建设局、区商务局、区市场监管局）</w:t>
      </w:r>
    </w:p>
    <w:p>
      <w:pPr>
        <w:autoSpaceDE w:val="0"/>
        <w:autoSpaceDN w:val="0"/>
        <w:adjustRightInd w:val="0"/>
        <w:spacing w:line="360" w:lineRule="auto"/>
        <w:ind w:firstLine="642" w:firstLineChars="200"/>
        <w:rPr>
          <w:rFonts w:eastAsia="仿宋_GB2312"/>
          <w:color w:val="1A1A1A" w:themeColor="background1" w:themeShade="1A"/>
          <w:kern w:val="0"/>
          <w:sz w:val="32"/>
          <w:szCs w:val="32"/>
        </w:rPr>
      </w:pPr>
      <w:r>
        <w:rPr>
          <w:rFonts w:hint="eastAsia" w:eastAsia="楷体_GB2312"/>
          <w:b/>
          <w:bCs/>
          <w:color w:val="1A1A1A" w:themeColor="background1" w:themeShade="1A"/>
          <w:sz w:val="32"/>
          <w:szCs w:val="32"/>
        </w:rPr>
        <w:t>全力推进生态环保督察问题整改。</w:t>
      </w:r>
      <w:r>
        <w:rPr>
          <w:rFonts w:hint="eastAsia" w:eastAsia="仿宋_GB2312"/>
          <w:color w:val="1A1A1A" w:themeColor="background1" w:themeShade="1A"/>
          <w:kern w:val="0"/>
          <w:sz w:val="32"/>
          <w:szCs w:val="32"/>
        </w:rPr>
        <w:t>坚定不移抓实中央和省生态环境保护督察反馈问题整改。强化调度督导，对整改工作滞后的，采取预警通报、挂牌督办、约谈问责等措施，推动督察整改落实到位。</w:t>
      </w:r>
      <w:r>
        <w:rPr>
          <w:rFonts w:hint="eastAsia" w:eastAsia="楷体_GB2312"/>
          <w:color w:val="1A1A1A" w:themeColor="background1" w:themeShade="1A"/>
          <w:sz w:val="32"/>
          <w:szCs w:val="32"/>
        </w:rPr>
        <w:t>（责任单位：区生态环保督察整改指挥部办公室）</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02" w:name="_Toc116030745"/>
      <w:r>
        <w:rPr>
          <w:rFonts w:eastAsia="楷体_GB2312"/>
          <w:b/>
          <w:color w:val="1A1A1A" w:themeColor="background1" w:themeShade="1A"/>
          <w:sz w:val="32"/>
          <w:szCs w:val="32"/>
        </w:rPr>
        <w:t xml:space="preserve">第三节  </w:t>
      </w:r>
      <w:r>
        <w:rPr>
          <w:rFonts w:hint="eastAsia" w:eastAsia="楷体_GB2312"/>
          <w:b/>
          <w:color w:val="1A1A1A" w:themeColor="background1" w:themeShade="1A"/>
          <w:sz w:val="32"/>
          <w:szCs w:val="32"/>
        </w:rPr>
        <w:t>健全生态环境市场激励机制</w:t>
      </w:r>
      <w:bookmarkEnd w:id="102"/>
    </w:p>
    <w:p>
      <w:pPr>
        <w:autoSpaceDE w:val="0"/>
        <w:autoSpaceDN w:val="0"/>
        <w:adjustRightInd w:val="0"/>
        <w:spacing w:line="360" w:lineRule="auto"/>
        <w:ind w:firstLine="642" w:firstLineChars="200"/>
        <w:rPr>
          <w:rFonts w:eastAsia="仿宋_GB2312"/>
          <w:color w:val="1A1A1A" w:themeColor="background1" w:themeShade="1A"/>
          <w:kern w:val="0"/>
          <w:sz w:val="32"/>
          <w:szCs w:val="32"/>
        </w:rPr>
      </w:pPr>
      <w:r>
        <w:rPr>
          <w:rFonts w:eastAsia="楷体_GB2312"/>
          <w:b/>
          <w:bCs/>
          <w:color w:val="1A1A1A" w:themeColor="background1" w:themeShade="1A"/>
          <w:sz w:val="32"/>
          <w:szCs w:val="32"/>
        </w:rPr>
        <w:t>规范环境治理市场。</w:t>
      </w:r>
      <w:r>
        <w:rPr>
          <w:rFonts w:eastAsia="仿宋_GB2312"/>
          <w:color w:val="1A1A1A" w:themeColor="background1" w:themeShade="1A"/>
          <w:kern w:val="0"/>
          <w:sz w:val="32"/>
          <w:szCs w:val="32"/>
        </w:rPr>
        <w:t>深入推进“放管服”改革，打破地区、行业壁垒，平等对待各类市场主体，引导各类资本参与环境治理与服务投资、建设、运行。</w:t>
      </w:r>
      <w:r>
        <w:rPr>
          <w:rFonts w:eastAsia="仿宋_GB2312"/>
          <w:color w:val="1A1A1A" w:themeColor="background1" w:themeShade="1A"/>
          <w:sz w:val="32"/>
          <w:szCs w:val="32"/>
        </w:rPr>
        <w:t>落</w:t>
      </w:r>
      <w:r>
        <w:rPr>
          <w:rFonts w:hint="eastAsia" w:eastAsia="仿宋_GB2312"/>
          <w:color w:val="1A1A1A" w:themeColor="background1" w:themeShade="1A"/>
          <w:sz w:val="32"/>
          <w:szCs w:val="32"/>
        </w:rPr>
        <w:t>实环保服务高质量发展工程，完善治污正向激励机制，引导资源环境要素向优质企业、优势产业和优势区域集中。规范市场秩序，加快形成公开透明、规范有序的环境治理市场环境。</w:t>
      </w:r>
      <w:r>
        <w:rPr>
          <w:rFonts w:hint="eastAsia" w:eastAsia="楷体_GB2312"/>
          <w:color w:val="1A1A1A" w:themeColor="background1" w:themeShade="1A"/>
          <w:sz w:val="32"/>
          <w:szCs w:val="32"/>
        </w:rPr>
        <w:t>（牵头单位：生态环境分局；配合单位：区商务局、区市场监管局）</w:t>
      </w:r>
    </w:p>
    <w:p>
      <w:pPr>
        <w:autoSpaceDE w:val="0"/>
        <w:autoSpaceDN w:val="0"/>
        <w:adjustRightInd w:val="0"/>
        <w:spacing w:line="360" w:lineRule="auto"/>
        <w:ind w:firstLine="642" w:firstLineChars="200"/>
        <w:rPr>
          <w:rFonts w:eastAsia="楷体_GB2312"/>
          <w:color w:val="1A1A1A" w:themeColor="background1" w:themeShade="1A"/>
          <w:sz w:val="32"/>
          <w:szCs w:val="32"/>
        </w:rPr>
      </w:pPr>
      <w:r>
        <w:rPr>
          <w:rFonts w:eastAsia="楷体_GB2312"/>
          <w:b/>
          <w:bCs/>
          <w:color w:val="1A1A1A" w:themeColor="background1" w:themeShade="1A"/>
          <w:sz w:val="32"/>
          <w:szCs w:val="32"/>
        </w:rPr>
        <w:t>深化生态环境价格改革。</w:t>
      </w:r>
      <w:r>
        <w:rPr>
          <w:rFonts w:hint="eastAsia" w:eastAsia="仿宋_GB2312"/>
          <w:color w:val="1A1A1A" w:themeColor="background1" w:themeShade="1A"/>
          <w:kern w:val="0"/>
          <w:sz w:val="32"/>
          <w:szCs w:val="32"/>
        </w:rPr>
        <w:t>改革完善污水、垃圾处理收费定价机制和征收标准。合理确定再生水价格，由相关主体按照优质优价原则自主协商定价。对于提供公共生态环境服务功能的河湖湿地生态补水、景观环境用水使用再生水的，鼓励采用政府购买服务的方式推动污水资源化利用。</w:t>
      </w:r>
      <w:r>
        <w:rPr>
          <w:rFonts w:hint="eastAsia" w:eastAsia="楷体_GB2312"/>
          <w:color w:val="1A1A1A" w:themeColor="background1" w:themeShade="1A"/>
          <w:sz w:val="32"/>
          <w:szCs w:val="32"/>
        </w:rPr>
        <w:t>（牵头单位：区发展改革局、生态环境分局、区财政局；配合单位：区水务局、区住房城乡建设局）</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03" w:name="_Toc116030746"/>
      <w:r>
        <w:rPr>
          <w:rFonts w:eastAsia="楷体_GB2312"/>
          <w:b/>
          <w:color w:val="1A1A1A" w:themeColor="background1" w:themeShade="1A"/>
          <w:sz w:val="32"/>
          <w:szCs w:val="32"/>
        </w:rPr>
        <w:t xml:space="preserve">第四节  </w:t>
      </w:r>
      <w:r>
        <w:rPr>
          <w:rFonts w:hint="eastAsia" w:eastAsia="楷体_GB2312"/>
          <w:b/>
          <w:color w:val="1A1A1A" w:themeColor="background1" w:themeShade="1A"/>
          <w:sz w:val="32"/>
          <w:szCs w:val="32"/>
        </w:rPr>
        <w:t>强化生态环境监管能力建设</w:t>
      </w:r>
      <w:bookmarkEnd w:id="103"/>
    </w:p>
    <w:p>
      <w:pPr>
        <w:spacing w:line="360" w:lineRule="auto"/>
        <w:ind w:firstLine="642" w:firstLineChars="200"/>
        <w:rPr>
          <w:rFonts w:eastAsia="仿宋_GB2312"/>
          <w:color w:val="1A1A1A" w:themeColor="background1" w:themeShade="1A"/>
          <w:sz w:val="32"/>
          <w:szCs w:val="32"/>
        </w:rPr>
      </w:pPr>
      <w:r>
        <w:rPr>
          <w:rFonts w:eastAsia="楷体_GB2312"/>
          <w:b/>
          <w:bCs/>
          <w:color w:val="1A1A1A" w:themeColor="background1" w:themeShade="1A"/>
          <w:sz w:val="32"/>
          <w:szCs w:val="32"/>
        </w:rPr>
        <w:t>健全生态环境综合执法体系。</w:t>
      </w:r>
      <w:r>
        <w:rPr>
          <w:rFonts w:eastAsia="仿宋_GB2312"/>
          <w:color w:val="1A1A1A" w:themeColor="background1" w:themeShade="1A"/>
          <w:sz w:val="32"/>
          <w:szCs w:val="32"/>
        </w:rPr>
        <w:t>加快补齐应对气候生态监管、农业农村、移动源等领域执法能力短板，推进执法能力规范化建设。强化生态环境监管与技术支持基础能力建设。健全重点排污单位自动监控体系，推动将在线监测数据作为执法依据。全面推行“双随机、一公开”监管制度。加强部门联动和协同配合</w:t>
      </w:r>
      <w:r>
        <w:rPr>
          <w:rFonts w:hint="eastAsia" w:eastAsia="仿宋_GB2312"/>
          <w:color w:val="1A1A1A" w:themeColor="background1" w:themeShade="1A"/>
          <w:sz w:val="32"/>
          <w:szCs w:val="32"/>
        </w:rPr>
        <w:t>，</w:t>
      </w:r>
      <w:r>
        <w:rPr>
          <w:rFonts w:eastAsia="仿宋_GB2312"/>
          <w:color w:val="1A1A1A" w:themeColor="background1" w:themeShade="1A"/>
          <w:sz w:val="32"/>
          <w:szCs w:val="32"/>
        </w:rPr>
        <w:t>积极参与跨区域跨流域联合执法、交叉执法。探索实施生态环境保护差异化执法。积极推进将生态环境保护行政执法事项纳入地方综合行政执法指挥调度平台统一管理，推行“互联网+统一指挥+综合执法”。加强环境执法力量，实行“局队合一”。落实执法人员资格管理制度，按照有关部署，统一生态环境执法人员着装、证件、车辆及执法装备。</w:t>
      </w:r>
      <w:r>
        <w:rPr>
          <w:rFonts w:hint="eastAsia" w:eastAsia="楷体_GB2312"/>
          <w:color w:val="1A1A1A" w:themeColor="background1" w:themeShade="1A"/>
          <w:sz w:val="32"/>
          <w:szCs w:val="32"/>
        </w:rPr>
        <w:t>（责任单位：生态环境分局）</w:t>
      </w:r>
    </w:p>
    <w:p>
      <w:pPr>
        <w:spacing w:line="360" w:lineRule="auto"/>
        <w:ind w:firstLine="642" w:firstLineChars="200"/>
        <w:rPr>
          <w:rFonts w:eastAsia="仿宋_GB2312"/>
          <w:color w:val="1A1A1A" w:themeColor="background1" w:themeShade="1A"/>
          <w:sz w:val="32"/>
          <w:szCs w:val="32"/>
        </w:rPr>
      </w:pPr>
      <w:r>
        <w:rPr>
          <w:rFonts w:eastAsia="楷体_GB2312"/>
          <w:b/>
          <w:bCs/>
          <w:color w:val="1A1A1A" w:themeColor="background1" w:themeShade="1A"/>
          <w:sz w:val="32"/>
          <w:szCs w:val="32"/>
        </w:rPr>
        <w:t>提升生态环境监测能力。</w:t>
      </w:r>
      <w:r>
        <w:rPr>
          <w:rFonts w:hint="eastAsia" w:eastAsia="仿宋_GB2312"/>
          <w:color w:val="1A1A1A" w:themeColor="background1" w:themeShade="1A"/>
          <w:sz w:val="32"/>
          <w:szCs w:val="32"/>
        </w:rPr>
        <w:t>逐步完善</w:t>
      </w:r>
      <w:r>
        <w:rPr>
          <w:rFonts w:eastAsia="仿宋_GB2312"/>
          <w:color w:val="1A1A1A" w:themeColor="background1" w:themeShade="1A"/>
          <w:sz w:val="32"/>
          <w:szCs w:val="32"/>
        </w:rPr>
        <w:t>高质量生态环境监测网络，实现领域、要素、区域全覆盖，着力提升环境质量、生态质量、污染源监测智慧感知水平和生态环境监测信息化水平。完善涵盖大气、地表水、地下水、土壤、温室气体、噪声、辐射等全部要素的环境监测网，着力提升PM</w:t>
      </w:r>
      <w:r>
        <w:rPr>
          <w:rFonts w:eastAsia="仿宋_GB2312"/>
          <w:color w:val="1A1A1A" w:themeColor="background1" w:themeShade="1A"/>
          <w:sz w:val="32"/>
          <w:szCs w:val="32"/>
          <w:vertAlign w:val="subscript"/>
        </w:rPr>
        <w:t>2.5</w:t>
      </w:r>
      <w:r>
        <w:rPr>
          <w:rFonts w:eastAsia="仿宋_GB2312"/>
          <w:color w:val="1A1A1A" w:themeColor="background1" w:themeShade="1A"/>
          <w:sz w:val="32"/>
          <w:szCs w:val="32"/>
        </w:rPr>
        <w:t>和O</w:t>
      </w:r>
      <w:r>
        <w:rPr>
          <w:rFonts w:eastAsia="仿宋_GB2312"/>
          <w:color w:val="1A1A1A" w:themeColor="background1" w:themeShade="1A"/>
          <w:sz w:val="32"/>
          <w:szCs w:val="32"/>
          <w:vertAlign w:val="subscript"/>
        </w:rPr>
        <w:t>3</w:t>
      </w:r>
      <w:r>
        <w:rPr>
          <w:rFonts w:eastAsia="仿宋_GB2312"/>
          <w:color w:val="1A1A1A" w:themeColor="background1" w:themeShade="1A"/>
          <w:sz w:val="32"/>
          <w:szCs w:val="32"/>
        </w:rPr>
        <w:t>协同监测与预警、移动源排气监控网络建设、地下水环境监测、重点流域水生态调查监测水平。建成覆盖全</w:t>
      </w:r>
      <w:r>
        <w:rPr>
          <w:rFonts w:hint="eastAsia" w:eastAsia="仿宋_GB2312"/>
          <w:color w:val="1A1A1A" w:themeColor="background1" w:themeShade="1A"/>
          <w:sz w:val="32"/>
          <w:szCs w:val="32"/>
        </w:rPr>
        <w:t>区</w:t>
      </w:r>
      <w:r>
        <w:rPr>
          <w:rFonts w:eastAsia="仿宋_GB2312"/>
          <w:color w:val="1A1A1A" w:themeColor="background1" w:themeShade="1A"/>
          <w:sz w:val="32"/>
          <w:szCs w:val="32"/>
        </w:rPr>
        <w:t>的环境质量监测网络，实现水环境质量监测站点到跨县</w:t>
      </w:r>
      <w:r>
        <w:rPr>
          <w:rFonts w:hint="eastAsia" w:eastAsia="仿宋_GB2312"/>
          <w:color w:val="1A1A1A" w:themeColor="background1" w:themeShade="1A"/>
          <w:sz w:val="32"/>
          <w:szCs w:val="32"/>
        </w:rPr>
        <w:t>（市、区）</w:t>
      </w:r>
      <w:r>
        <w:rPr>
          <w:rFonts w:eastAsia="仿宋_GB2312"/>
          <w:color w:val="1A1A1A" w:themeColor="background1" w:themeShade="1A"/>
          <w:sz w:val="32"/>
          <w:szCs w:val="32"/>
        </w:rPr>
        <w:t>断面。推进天空地一体生态质量监测网络建设，基本覆盖生态保护红线和重要水体。推动重点排污单位在线监控设施“应装尽装”</w:t>
      </w:r>
      <w:r>
        <w:rPr>
          <w:rFonts w:hint="eastAsia" w:eastAsia="仿宋_GB2312"/>
          <w:color w:val="1A1A1A" w:themeColor="background1" w:themeShade="1A"/>
          <w:sz w:val="32"/>
          <w:szCs w:val="32"/>
        </w:rPr>
        <w:t>，</w:t>
      </w:r>
      <w:r>
        <w:rPr>
          <w:rFonts w:eastAsia="仿宋_GB2312"/>
          <w:color w:val="1A1A1A" w:themeColor="background1" w:themeShade="1A"/>
          <w:sz w:val="32"/>
          <w:szCs w:val="32"/>
        </w:rPr>
        <w:t>对小微企业实施治污设施电量监控</w:t>
      </w:r>
      <w:r>
        <w:rPr>
          <w:rFonts w:hint="eastAsia" w:eastAsia="仿宋_GB2312"/>
          <w:color w:val="1A1A1A" w:themeColor="background1" w:themeShade="1A"/>
          <w:sz w:val="32"/>
          <w:szCs w:val="32"/>
        </w:rPr>
        <w:t>。</w:t>
      </w:r>
      <w:r>
        <w:rPr>
          <w:rFonts w:eastAsia="仿宋_GB2312"/>
          <w:color w:val="1A1A1A" w:themeColor="background1" w:themeShade="1A"/>
          <w:sz w:val="32"/>
          <w:szCs w:val="32"/>
        </w:rPr>
        <w:t>严格落实排污单位</w:t>
      </w:r>
      <w:r>
        <w:rPr>
          <w:rFonts w:hint="eastAsia" w:eastAsia="仿宋_GB2312"/>
          <w:color w:val="1A1A1A" w:themeColor="background1" w:themeShade="1A"/>
          <w:sz w:val="32"/>
          <w:szCs w:val="32"/>
        </w:rPr>
        <w:t>主体责任。推进排污单位</w:t>
      </w:r>
      <w:r>
        <w:rPr>
          <w:rFonts w:eastAsia="仿宋_GB2312"/>
          <w:color w:val="1A1A1A" w:themeColor="background1" w:themeShade="1A"/>
          <w:sz w:val="32"/>
          <w:szCs w:val="32"/>
        </w:rPr>
        <w:t>自行监测数据质量和信息公开制度。</w:t>
      </w:r>
      <w:r>
        <w:rPr>
          <w:rFonts w:hint="eastAsia" w:eastAsia="楷体_GB2312"/>
          <w:color w:val="1A1A1A" w:themeColor="background1" w:themeShade="1A"/>
          <w:sz w:val="32"/>
          <w:szCs w:val="32"/>
        </w:rPr>
        <w:t>（责任单位：生态环境分局）</w:t>
      </w:r>
    </w:p>
    <w:p>
      <w:pPr>
        <w:spacing w:line="360" w:lineRule="auto"/>
        <w:ind w:firstLine="642" w:firstLineChars="200"/>
        <w:rPr>
          <w:rFonts w:eastAsia="楷体_GB2312"/>
          <w:color w:val="1A1A1A" w:themeColor="background1" w:themeShade="1A"/>
          <w:sz w:val="32"/>
          <w:szCs w:val="32"/>
        </w:rPr>
      </w:pPr>
      <w:r>
        <w:rPr>
          <w:rFonts w:eastAsia="楷体_GB2312"/>
          <w:b/>
          <w:bCs/>
          <w:color w:val="1A1A1A" w:themeColor="background1" w:themeShade="1A"/>
          <w:sz w:val="32"/>
          <w:szCs w:val="32"/>
        </w:rPr>
        <w:t>完善生态环境监测体系。</w:t>
      </w:r>
      <w:r>
        <w:rPr>
          <w:rFonts w:eastAsia="仿宋_GB2312"/>
          <w:color w:val="1A1A1A" w:themeColor="background1" w:themeShade="1A"/>
          <w:sz w:val="32"/>
          <w:szCs w:val="32"/>
        </w:rPr>
        <w:t>统筹环境监测机构污染源监督监测，加强与相关部门、单位联合行动，提升测管融合协同效能。规范排污单位和工业园区污染源自行监测，完善污染源执法监测机制，开展排污许可自行监测监督检查。研究建立生态环境监测协调机制，推进监测调查、科研观测等基础设施统一规划与共建共用，加强监测监管数据共享。加强对排污单位和各类生态环境监测机构监督管理，确保监测数据“真、准、全”。按照“属地为主、就近协同、资源共享、上级支援”原则，完善应急预警监测响应。</w:t>
      </w:r>
      <w:r>
        <w:rPr>
          <w:rFonts w:hint="eastAsia" w:eastAsia="楷体_GB2312"/>
          <w:color w:val="1A1A1A" w:themeColor="background1" w:themeShade="1A"/>
          <w:sz w:val="32"/>
          <w:szCs w:val="32"/>
        </w:rPr>
        <w:t>（责任单位：生态环境分局）</w:t>
      </w:r>
    </w:p>
    <w:p>
      <w:pPr>
        <w:spacing w:line="360" w:lineRule="auto"/>
        <w:ind w:firstLine="642" w:firstLineChars="200"/>
        <w:rPr>
          <w:rFonts w:eastAsia="仿宋_GB2312"/>
          <w:color w:val="1A1A1A" w:themeColor="background1" w:themeShade="1A"/>
          <w:sz w:val="32"/>
          <w:szCs w:val="32"/>
        </w:rPr>
      </w:pPr>
      <w:r>
        <w:rPr>
          <w:rFonts w:eastAsia="楷体_GB2312"/>
          <w:b/>
          <w:bCs/>
          <w:color w:val="1A1A1A" w:themeColor="background1" w:themeShade="1A"/>
          <w:sz w:val="32"/>
          <w:szCs w:val="32"/>
        </w:rPr>
        <w:t>提升生态环境信息化水平。</w:t>
      </w:r>
      <w:r>
        <w:rPr>
          <w:rFonts w:eastAsia="仿宋_GB2312"/>
          <w:bCs/>
          <w:color w:val="1A1A1A" w:themeColor="background1" w:themeShade="1A"/>
          <w:sz w:val="32"/>
          <w:szCs w:val="32"/>
        </w:rPr>
        <w:t>利用新一代信息技术，提升精细化服务感知、精准化风险识别、网络化行动协作的智慧环保治理能力。加强生态环境数据资源规划，建立统一的数据资源体系和目录，</w:t>
      </w:r>
      <w:r>
        <w:rPr>
          <w:rFonts w:hint="eastAsia" w:eastAsia="仿宋_GB2312"/>
          <w:bCs/>
          <w:color w:val="1A1A1A" w:themeColor="background1" w:themeShade="1A"/>
          <w:sz w:val="32"/>
          <w:szCs w:val="32"/>
        </w:rPr>
        <w:t>推进数据资源实现深层次、高质量共享开放</w:t>
      </w:r>
      <w:r>
        <w:rPr>
          <w:rFonts w:eastAsia="仿宋_GB2312"/>
          <w:bCs/>
          <w:color w:val="1A1A1A" w:themeColor="background1" w:themeShade="1A"/>
          <w:sz w:val="32"/>
          <w:szCs w:val="32"/>
        </w:rPr>
        <w:t>。依托数字社会、数字政府建设，建立社会经济与资源环境数据要素资源体系。强化数据挖掘，加强基于大数据的关联分析和融合应用，推进生态环境大数据智能算法和业务模型研发，</w:t>
      </w:r>
      <w:r>
        <w:rPr>
          <w:rFonts w:hint="eastAsia" w:eastAsia="仿宋_GB2312"/>
          <w:bCs/>
          <w:color w:val="1A1A1A" w:themeColor="background1" w:themeShade="1A"/>
          <w:sz w:val="32"/>
          <w:szCs w:val="32"/>
        </w:rPr>
        <w:t>提升环境质量预测预报和污染溯源能力</w:t>
      </w:r>
      <w:r>
        <w:rPr>
          <w:rFonts w:eastAsia="仿宋_GB2312"/>
          <w:bCs/>
          <w:color w:val="1A1A1A" w:themeColor="background1" w:themeShade="1A"/>
          <w:sz w:val="32"/>
          <w:szCs w:val="32"/>
        </w:rPr>
        <w:t>。</w:t>
      </w:r>
      <w:r>
        <w:rPr>
          <w:rFonts w:hint="eastAsia" w:eastAsia="楷体_GB2312"/>
          <w:color w:val="1A1A1A" w:themeColor="background1" w:themeShade="1A"/>
          <w:sz w:val="32"/>
          <w:szCs w:val="32"/>
        </w:rPr>
        <w:t>（牵头单位：生态环境分局；配合单位：区大数据局、</w:t>
      </w:r>
      <w:bookmarkStart w:id="104" w:name="_Hlk115906097"/>
      <w:r>
        <w:rPr>
          <w:rFonts w:hint="eastAsia" w:eastAsia="楷体_GB2312"/>
          <w:color w:val="1A1A1A" w:themeColor="background1" w:themeShade="1A"/>
          <w:sz w:val="32"/>
          <w:szCs w:val="32"/>
        </w:rPr>
        <w:t>区</w:t>
      </w:r>
      <w:bookmarkEnd w:id="104"/>
      <w:r>
        <w:rPr>
          <w:rFonts w:hint="eastAsia" w:eastAsia="楷体_GB2312"/>
          <w:color w:val="1A1A1A" w:themeColor="background1" w:themeShade="1A"/>
          <w:sz w:val="32"/>
          <w:szCs w:val="32"/>
        </w:rPr>
        <w:t>科技局）</w:t>
      </w:r>
    </w:p>
    <w:p>
      <w:pPr>
        <w:spacing w:line="360" w:lineRule="auto"/>
        <w:ind w:firstLine="642" w:firstLineChars="200"/>
        <w:rPr>
          <w:rFonts w:eastAsia="楷体_GB2312"/>
          <w:color w:val="1A1A1A" w:themeColor="background1" w:themeShade="1A"/>
          <w:sz w:val="32"/>
          <w:szCs w:val="32"/>
        </w:rPr>
      </w:pPr>
      <w:r>
        <w:rPr>
          <w:rFonts w:hint="eastAsia" w:eastAsia="楷体_GB2312"/>
          <w:b/>
          <w:bCs/>
          <w:color w:val="1A1A1A" w:themeColor="background1" w:themeShade="1A"/>
          <w:sz w:val="32"/>
          <w:szCs w:val="32"/>
        </w:rPr>
        <w:t>全面提升生态环境监管执法效能。</w:t>
      </w:r>
      <w:r>
        <w:rPr>
          <w:rFonts w:hint="eastAsia" w:eastAsia="仿宋_GB2312" w:cs="仿宋_GB2312"/>
          <w:color w:val="1A1A1A" w:themeColor="background1" w:themeShade="1A"/>
          <w:sz w:val="32"/>
          <w:szCs w:val="32"/>
        </w:rPr>
        <w:t>全面推行排污许可</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一证式</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管理，建立基于排污许可证的排污单位监管执法体系和自行监测监管机制。建立健全以污染源自动监控为主的非现场监管执法体系，强化关键工况参数和用水用电等控制参数自动监测，到</w:t>
      </w:r>
      <w:r>
        <w:rPr>
          <w:rFonts w:eastAsia="仿宋_GB2312"/>
          <w:color w:val="1A1A1A" w:themeColor="background1" w:themeShade="1A"/>
          <w:sz w:val="32"/>
          <w:szCs w:val="32"/>
        </w:rPr>
        <w:t>2025</w:t>
      </w:r>
      <w:r>
        <w:rPr>
          <w:rFonts w:hint="eastAsia" w:eastAsia="仿宋_GB2312" w:cs="仿宋_GB2312"/>
          <w:color w:val="1A1A1A" w:themeColor="background1" w:themeShade="1A"/>
          <w:sz w:val="32"/>
          <w:szCs w:val="32"/>
        </w:rPr>
        <w:t>年，现场执法频次压减</w:t>
      </w:r>
      <w:r>
        <w:rPr>
          <w:rFonts w:eastAsia="仿宋_GB2312"/>
          <w:color w:val="1A1A1A" w:themeColor="background1" w:themeShade="1A"/>
          <w:sz w:val="32"/>
          <w:szCs w:val="32"/>
        </w:rPr>
        <w:t>30%</w:t>
      </w:r>
      <w:r>
        <w:rPr>
          <w:rFonts w:hint="eastAsia" w:eastAsia="仿宋_GB2312" w:cs="仿宋_GB2312"/>
          <w:color w:val="1A1A1A" w:themeColor="background1" w:themeShade="1A"/>
          <w:sz w:val="32"/>
          <w:szCs w:val="32"/>
        </w:rPr>
        <w:t>以上。加强移动源监管能力建设。深入开展生活垃圾焚烧发电行业达标排放专项整治。全面推行</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生态警长</w:t>
      </w:r>
      <w:r>
        <w:rPr>
          <w:rFonts w:eastAsia="仿宋_GB2312"/>
          <w:color w:val="1A1A1A" w:themeColor="background1" w:themeShade="1A"/>
          <w:sz w:val="32"/>
          <w:szCs w:val="32"/>
        </w:rPr>
        <w:t>”</w:t>
      </w:r>
      <w:r>
        <w:rPr>
          <w:rFonts w:hint="eastAsia" w:eastAsia="仿宋_GB2312" w:cs="仿宋_GB2312"/>
          <w:color w:val="1A1A1A" w:themeColor="background1" w:themeShade="1A"/>
          <w:sz w:val="32"/>
          <w:szCs w:val="32"/>
        </w:rPr>
        <w:t>工作机制。全面禁止进口固体废物，保持打击洋垃圾走私高压态势。依法严厉打击危险废物非法转移、倾倒、处置等环境违法犯罪，严肃查处环评、监测等领域弄虚作假行为。</w:t>
      </w:r>
      <w:r>
        <w:rPr>
          <w:rFonts w:hint="eastAsia" w:eastAsia="楷体_GB2312"/>
          <w:color w:val="1A1A1A" w:themeColor="background1" w:themeShade="1A"/>
          <w:sz w:val="32"/>
          <w:szCs w:val="32"/>
        </w:rPr>
        <w:t>（生态环境分局、公安分局、区检察院、区法院、区市场监管局等按职责分工负责）</w:t>
      </w:r>
    </w:p>
    <w:p>
      <w:pPr>
        <w:adjustRightInd w:val="0"/>
        <w:spacing w:before="156" w:beforeLines="50" w:after="156" w:afterLines="50"/>
        <w:jc w:val="center"/>
        <w:textAlignment w:val="baseline"/>
        <w:outlineLvl w:val="1"/>
        <w:rPr>
          <w:rFonts w:eastAsia="仿宋_GB2312"/>
          <w:color w:val="1A1A1A" w:themeColor="background1" w:themeShade="1A"/>
          <w:sz w:val="32"/>
          <w:szCs w:val="32"/>
        </w:rPr>
      </w:pPr>
      <w:bookmarkStart w:id="105" w:name="_Toc116030747"/>
      <w:r>
        <w:rPr>
          <w:rFonts w:eastAsia="楷体_GB2312"/>
          <w:b/>
          <w:color w:val="1A1A1A" w:themeColor="background1" w:themeShade="1A"/>
          <w:sz w:val="32"/>
          <w:szCs w:val="32"/>
        </w:rPr>
        <w:t xml:space="preserve">第五节  </w:t>
      </w:r>
      <w:r>
        <w:rPr>
          <w:rFonts w:hint="eastAsia" w:eastAsia="楷体_GB2312"/>
          <w:b/>
          <w:color w:val="1A1A1A" w:themeColor="background1" w:themeShade="1A"/>
          <w:sz w:val="32"/>
          <w:szCs w:val="32"/>
        </w:rPr>
        <w:t>加强生态环境科技创新支撑</w:t>
      </w:r>
      <w:bookmarkEnd w:id="105"/>
    </w:p>
    <w:p>
      <w:pPr>
        <w:pStyle w:val="46"/>
        <w:spacing w:line="360" w:lineRule="auto"/>
        <w:ind w:firstLine="643"/>
        <w:rPr>
          <w:rFonts w:eastAsia="仿宋_GB2312"/>
          <w:color w:val="1A1A1A" w:themeColor="background1" w:themeShade="1A"/>
          <w:sz w:val="32"/>
          <w:szCs w:val="32"/>
        </w:rPr>
      </w:pPr>
      <w:r>
        <w:rPr>
          <w:rFonts w:eastAsia="楷体_GB2312"/>
          <w:b/>
          <w:bCs/>
          <w:color w:val="1A1A1A" w:themeColor="background1" w:themeShade="1A"/>
          <w:sz w:val="32"/>
          <w:szCs w:val="32"/>
        </w:rPr>
        <w:t>全面提升科技创新能力。</w:t>
      </w:r>
      <w:r>
        <w:rPr>
          <w:rFonts w:eastAsia="仿宋_GB2312"/>
          <w:color w:val="1A1A1A" w:themeColor="background1" w:themeShade="1A"/>
          <w:sz w:val="32"/>
          <w:szCs w:val="32"/>
        </w:rPr>
        <w:t>加快构建市场导向的绿色技术创新体系，以生态环保产业项目为抓手，强化绿色技术产学研协同攻关，加大对企业绿色技术创新的支持力度，完善绿色技术创新引导机制，形成研究开发、应用推广、产业发展贯通融合的绿色技术创新局面。加强科研平台建设</w:t>
      </w:r>
      <w:r>
        <w:rPr>
          <w:rFonts w:hint="eastAsia" w:eastAsia="仿宋_GB2312"/>
          <w:color w:val="1A1A1A" w:themeColor="background1" w:themeShade="1A"/>
          <w:sz w:val="32"/>
          <w:szCs w:val="32"/>
        </w:rPr>
        <w:t>。</w:t>
      </w:r>
      <w:r>
        <w:rPr>
          <w:rFonts w:eastAsia="仿宋_GB2312"/>
          <w:color w:val="1A1A1A" w:themeColor="background1" w:themeShade="1A"/>
          <w:sz w:val="32"/>
          <w:szCs w:val="32"/>
        </w:rPr>
        <w:t>加快推进生态环境智库建设，健全完善生态环境保护专家委员会和专家库，在民主协商、决策咨询等领域充实生态环境保护专家，提高决策的科学化和民主化水平。加强生态环境科技人才队伍建设。</w:t>
      </w:r>
      <w:r>
        <w:rPr>
          <w:rFonts w:hint="eastAsia" w:eastAsia="仿宋_GB2312" w:cs="仿宋_GB2312"/>
          <w:color w:val="1A1A1A" w:themeColor="background1" w:themeShade="1A"/>
          <w:sz w:val="32"/>
          <w:szCs w:val="32"/>
        </w:rPr>
        <w:t>创新生态环境治理模式。调动全社会参与生态环境治理的积极性，运用市场化手段，深入推进环境污染第三方治理，开展环保管家、环境综合治理托管服务模式、生态环境导向的开发（</w:t>
      </w:r>
      <w:r>
        <w:rPr>
          <w:rFonts w:eastAsia="仿宋_GB2312"/>
          <w:color w:val="1A1A1A" w:themeColor="background1" w:themeShade="1A"/>
          <w:sz w:val="32"/>
          <w:szCs w:val="32"/>
        </w:rPr>
        <w:t>EOD</w:t>
      </w:r>
      <w:r>
        <w:rPr>
          <w:rFonts w:hint="eastAsia" w:eastAsia="仿宋_GB2312" w:cs="仿宋_GB2312"/>
          <w:color w:val="1A1A1A" w:themeColor="background1" w:themeShade="1A"/>
          <w:sz w:val="32"/>
          <w:szCs w:val="32"/>
        </w:rPr>
        <w:t>）模式等试点。</w:t>
      </w:r>
      <w:r>
        <w:rPr>
          <w:rFonts w:hint="eastAsia" w:eastAsia="楷体_GB2312"/>
          <w:color w:val="1A1A1A" w:themeColor="background1" w:themeShade="1A"/>
          <w:sz w:val="32"/>
          <w:szCs w:val="32"/>
        </w:rPr>
        <w:t>（区科技局、区发展改革局、区工业和信息化局、生态环境分局、区财政局、区地方金融监管局等按职责分工负责）</w:t>
      </w:r>
    </w:p>
    <w:p>
      <w:pPr>
        <w:pStyle w:val="46"/>
        <w:spacing w:line="360" w:lineRule="auto"/>
        <w:ind w:firstLine="643"/>
        <w:rPr>
          <w:rFonts w:eastAsia="仿宋_GB2312"/>
          <w:color w:val="1A1A1A" w:themeColor="background1" w:themeShade="1A"/>
          <w:sz w:val="32"/>
          <w:szCs w:val="32"/>
        </w:rPr>
      </w:pPr>
      <w:r>
        <w:rPr>
          <w:rFonts w:eastAsia="楷体_GB2312"/>
          <w:b/>
          <w:bCs/>
          <w:color w:val="1A1A1A" w:themeColor="background1" w:themeShade="1A"/>
          <w:sz w:val="32"/>
          <w:szCs w:val="32"/>
        </w:rPr>
        <w:t>开展生态环境重点领域科技攻关。</w:t>
      </w:r>
      <w:r>
        <w:rPr>
          <w:rFonts w:hint="eastAsia" w:eastAsia="仿宋_GB2312"/>
          <w:color w:val="1A1A1A" w:themeColor="background1" w:themeShade="1A"/>
          <w:sz w:val="32"/>
          <w:szCs w:val="32"/>
        </w:rPr>
        <w:t>加大生态环境保护科技研发力度。</w:t>
      </w:r>
      <w:r>
        <w:rPr>
          <w:rFonts w:eastAsia="仿宋_GB2312"/>
          <w:color w:val="1A1A1A" w:themeColor="background1" w:themeShade="1A"/>
          <w:sz w:val="32"/>
          <w:szCs w:val="32"/>
        </w:rPr>
        <w:t>推</w:t>
      </w:r>
      <w:r>
        <w:rPr>
          <w:rFonts w:hint="eastAsia" w:eastAsia="仿宋_GB2312"/>
          <w:color w:val="1A1A1A" w:themeColor="background1" w:themeShade="1A"/>
          <w:sz w:val="32"/>
          <w:szCs w:val="32"/>
        </w:rPr>
        <w:t>进</w:t>
      </w:r>
      <w:r>
        <w:rPr>
          <w:rFonts w:eastAsia="仿宋_GB2312"/>
          <w:color w:val="1A1A1A" w:themeColor="background1" w:themeShade="1A"/>
          <w:sz w:val="32"/>
          <w:szCs w:val="32"/>
        </w:rPr>
        <w:t>绿色低碳技术</w:t>
      </w:r>
      <w:r>
        <w:rPr>
          <w:rFonts w:hint="eastAsia" w:eastAsia="仿宋_GB2312"/>
          <w:color w:val="1A1A1A" w:themeColor="background1" w:themeShade="1A"/>
          <w:sz w:val="32"/>
          <w:szCs w:val="32"/>
        </w:rPr>
        <w:t>研究</w:t>
      </w:r>
      <w:r>
        <w:rPr>
          <w:rFonts w:eastAsia="仿宋_GB2312"/>
          <w:color w:val="1A1A1A" w:themeColor="background1" w:themeShade="1A"/>
          <w:sz w:val="32"/>
          <w:szCs w:val="32"/>
        </w:rPr>
        <w:t>，开展PM</w:t>
      </w:r>
      <w:r>
        <w:rPr>
          <w:rFonts w:eastAsia="仿宋_GB2312"/>
          <w:color w:val="1A1A1A" w:themeColor="background1" w:themeShade="1A"/>
          <w:sz w:val="32"/>
          <w:szCs w:val="32"/>
          <w:vertAlign w:val="subscript"/>
        </w:rPr>
        <w:t>2.5</w:t>
      </w:r>
      <w:r>
        <w:rPr>
          <w:rFonts w:eastAsia="仿宋_GB2312"/>
          <w:color w:val="1A1A1A" w:themeColor="background1" w:themeShade="1A"/>
          <w:sz w:val="32"/>
          <w:szCs w:val="32"/>
        </w:rPr>
        <w:t>和O</w:t>
      </w:r>
      <w:r>
        <w:rPr>
          <w:rFonts w:eastAsia="仿宋_GB2312"/>
          <w:color w:val="1A1A1A" w:themeColor="background1" w:themeShade="1A"/>
          <w:sz w:val="32"/>
          <w:szCs w:val="32"/>
          <w:vertAlign w:val="subscript"/>
        </w:rPr>
        <w:t>3</w:t>
      </w:r>
      <w:r>
        <w:rPr>
          <w:rFonts w:eastAsia="仿宋_GB2312"/>
          <w:color w:val="1A1A1A" w:themeColor="background1" w:themeShade="1A"/>
          <w:sz w:val="32"/>
          <w:szCs w:val="32"/>
        </w:rPr>
        <w:t>协同控制、大气污染物与温室气体排放协同控制、基于大数据的区域大气环境污染物监控预警、典型行业碳捕集碳汇关键技术、硫酸盐和氟化物治理技术、土壤与地下水污染风险管控与修复、危险废物环境风险防控与区域协同处置、秸秆和粪污高效低成本综合利用等领域的科技创新。</w:t>
      </w:r>
      <w:r>
        <w:rPr>
          <w:rFonts w:hint="eastAsia" w:eastAsia="楷体_GB2312"/>
          <w:color w:val="1A1A1A" w:themeColor="background1" w:themeShade="1A"/>
          <w:sz w:val="32"/>
          <w:szCs w:val="32"/>
        </w:rPr>
        <w:t>（区科技局、生态环境分局按职责分工负责）</w:t>
      </w:r>
    </w:p>
    <w:p>
      <w:pPr>
        <w:spacing w:line="590" w:lineRule="exact"/>
        <w:ind w:firstLine="642" w:firstLineChars="200"/>
        <w:rPr>
          <w:rFonts w:eastAsia="楷体_GB2312"/>
          <w:color w:val="1A1A1A" w:themeColor="background1" w:themeShade="1A"/>
          <w:sz w:val="32"/>
          <w:szCs w:val="32"/>
        </w:rPr>
      </w:pPr>
      <w:r>
        <w:rPr>
          <w:rFonts w:eastAsia="楷体_GB2312"/>
          <w:b/>
          <w:bCs/>
          <w:color w:val="1A1A1A" w:themeColor="background1" w:themeShade="1A"/>
          <w:sz w:val="32"/>
          <w:szCs w:val="32"/>
        </w:rPr>
        <w:t>推进绿色科技创新成果应用。</w:t>
      </w:r>
      <w:r>
        <w:rPr>
          <w:rFonts w:hint="eastAsia" w:eastAsia="仿宋_GB2312"/>
          <w:color w:val="1A1A1A" w:themeColor="background1" w:themeShade="1A"/>
          <w:sz w:val="32"/>
          <w:szCs w:val="32"/>
        </w:rPr>
        <w:t>支持重点绿色技术创新成果转化应用</w:t>
      </w:r>
      <w:r>
        <w:rPr>
          <w:rFonts w:hint="eastAsia" w:eastAsia="仿宋_GB2312" w:cs="仿宋_GB2312"/>
          <w:color w:val="1A1A1A" w:themeColor="background1" w:themeShade="1A"/>
          <w:sz w:val="32"/>
          <w:szCs w:val="32"/>
        </w:rPr>
        <w:t>，组织开展生态环境专家科技帮扶企业行动。围绕节能环保产业，鼓励相关企业申报省重点实验室、省技术创新中心和省创新创业共同体等创新平台，助力节能环保科技成果转化。</w:t>
      </w:r>
      <w:r>
        <w:rPr>
          <w:rFonts w:eastAsia="仿宋_GB2312"/>
          <w:color w:val="1A1A1A" w:themeColor="background1" w:themeShade="1A"/>
          <w:sz w:val="32"/>
          <w:szCs w:val="32"/>
        </w:rPr>
        <w:t>实施节能环保、清洁生产、清洁能源、生态保护与修复、城乡绿色基础设施等重点领域绿色技术研发重大项目和示范工程。开展各类节能降碳、污染防治、清洁生产、新能源循环利用及生态修复等绿色技术遴选，加强推广应用和技术指导。</w:t>
      </w:r>
      <w:r>
        <w:rPr>
          <w:rFonts w:hint="eastAsia" w:eastAsia="楷体_GB2312"/>
          <w:color w:val="1A1A1A" w:themeColor="background1" w:themeShade="1A"/>
          <w:sz w:val="32"/>
          <w:szCs w:val="32"/>
        </w:rPr>
        <w:t>（区科技局、区发展改革局，生态环境分局等按职责分工负责）</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9240" w:type="dxa"/>
            <w:vAlign w:val="center"/>
          </w:tcPr>
          <w:p>
            <w:pPr>
              <w:widowControl/>
              <w:spacing w:line="360" w:lineRule="auto"/>
              <w:jc w:val="center"/>
              <w:rPr>
                <w:rFonts w:eastAsia="仿宋_GB2312"/>
                <w:color w:val="1A1A1A" w:themeColor="background1" w:themeShade="1A"/>
                <w:sz w:val="24"/>
                <w:szCs w:val="24"/>
              </w:rPr>
            </w:pPr>
            <w:r>
              <w:rPr>
                <w:rFonts w:hint="eastAsia" w:eastAsia="仿宋_GB2312"/>
                <w:color w:val="1A1A1A" w:themeColor="background1" w:themeShade="1A"/>
                <w:sz w:val="24"/>
                <w:szCs w:val="24"/>
              </w:rPr>
              <w:t>专栏</w:t>
            </w:r>
            <w:r>
              <w:rPr>
                <w:rFonts w:eastAsia="仿宋_GB2312"/>
                <w:color w:val="1A1A1A" w:themeColor="background1" w:themeShade="1A"/>
                <w:sz w:val="24"/>
                <w:szCs w:val="24"/>
              </w:rPr>
              <w:t>7</w:t>
            </w:r>
            <w:r>
              <w:rPr>
                <w:rFonts w:hint="eastAsia" w:eastAsia="仿宋_GB2312"/>
                <w:color w:val="1A1A1A" w:themeColor="background1" w:themeShade="1A"/>
                <w:sz w:val="24"/>
                <w:szCs w:val="24"/>
              </w:rPr>
              <w:t>：生态环境治理能力重点工程</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1.生态环境执法监管能力建设工程。推进生态环境保护综合行政执法装备标准化建设，配备移动执法工具包，移动执法设备，手持式光离子化检测仪（PID）、便携式水污染物监测设备等现场执法辅助设备。配备执法执勤用车。开展执法业务培训项目、执法监管信息化系统建设项目。</w:t>
            </w:r>
          </w:p>
          <w:p>
            <w:pPr>
              <w:widowControl/>
              <w:spacing w:line="360" w:lineRule="auto"/>
              <w:ind w:firstLine="480" w:firstLineChars="200"/>
              <w:rPr>
                <w:rFonts w:eastAsia="仿宋_GB2312"/>
                <w:color w:val="1A1A1A" w:themeColor="background1" w:themeShade="1A"/>
                <w:sz w:val="24"/>
                <w:szCs w:val="24"/>
              </w:rPr>
            </w:pPr>
            <w:r>
              <w:rPr>
                <w:rFonts w:hint="eastAsia" w:eastAsia="仿宋_GB2312"/>
                <w:color w:val="1A1A1A" w:themeColor="background1" w:themeShade="1A"/>
                <w:sz w:val="24"/>
                <w:szCs w:val="24"/>
              </w:rPr>
              <w:t>2.生态环境监测能力建设工程。加强大气环境监测网络建设，实施大气环境监测网络建设工程；提升大气监测能力，实施VOCs走航设备、气溶胶激光雷达、便携式非道路移动源监测设备等采购项目。实施监测质量管理服务信息平台和生态环境监测数据质量控制平台建设项目。</w:t>
            </w:r>
          </w:p>
          <w:p>
            <w:pPr>
              <w:widowControl/>
              <w:spacing w:line="360" w:lineRule="auto"/>
              <w:ind w:firstLine="480" w:firstLineChars="200"/>
              <w:rPr>
                <w:rFonts w:ascii="方正仿宋简体" w:hAnsi="文星仿宋" w:eastAsia="方正仿宋简体" w:cs="方正仿宋简体"/>
                <w:b/>
                <w:color w:val="1A1A1A" w:themeColor="background1" w:themeShade="1A"/>
                <w:sz w:val="24"/>
                <w:szCs w:val="24"/>
              </w:rPr>
            </w:pPr>
            <w:r>
              <w:rPr>
                <w:rFonts w:hint="eastAsia" w:eastAsia="仿宋_GB2312"/>
                <w:color w:val="1A1A1A" w:themeColor="background1" w:themeShade="1A"/>
                <w:sz w:val="24"/>
                <w:szCs w:val="24"/>
              </w:rPr>
              <w:t>3.生态环境科研支撑工程。实施生态环境科技创新能力建设工程，开展重点生态环境科技创新项目研究，开展生态环境先进技术工程示范。</w:t>
            </w:r>
          </w:p>
        </w:tc>
      </w:tr>
    </w:tbl>
    <w:p>
      <w:pPr>
        <w:adjustRightInd w:val="0"/>
        <w:spacing w:before="312" w:beforeLines="100" w:after="312" w:afterLines="100"/>
        <w:jc w:val="center"/>
        <w:textAlignment w:val="baseline"/>
        <w:outlineLvl w:val="0"/>
        <w:rPr>
          <w:rFonts w:eastAsia="黑体"/>
          <w:b/>
          <w:color w:val="1A1A1A" w:themeColor="background1" w:themeShade="1A"/>
          <w:sz w:val="32"/>
          <w:szCs w:val="32"/>
        </w:rPr>
      </w:pPr>
      <w:bookmarkStart w:id="106" w:name="_Toc116030748"/>
      <w:r>
        <w:rPr>
          <w:rFonts w:eastAsia="黑体"/>
          <w:b/>
          <w:color w:val="1A1A1A" w:themeColor="background1" w:themeShade="1A"/>
          <w:sz w:val="32"/>
          <w:szCs w:val="32"/>
        </w:rPr>
        <w:t>第十一章  引导全民参与  推动形成绿色生活方式</w:t>
      </w:r>
      <w:bookmarkEnd w:id="106"/>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07" w:name="_Toc116030749"/>
      <w:r>
        <w:rPr>
          <w:rFonts w:eastAsia="楷体_GB2312"/>
          <w:b/>
          <w:color w:val="1A1A1A" w:themeColor="background1" w:themeShade="1A"/>
          <w:sz w:val="32"/>
          <w:szCs w:val="32"/>
        </w:rPr>
        <w:t xml:space="preserve">第一节  </w:t>
      </w:r>
      <w:r>
        <w:rPr>
          <w:rFonts w:hint="eastAsia" w:eastAsia="楷体_GB2312"/>
          <w:b/>
          <w:color w:val="1A1A1A" w:themeColor="background1" w:themeShade="1A"/>
          <w:sz w:val="32"/>
          <w:szCs w:val="32"/>
        </w:rPr>
        <w:t>增强</w:t>
      </w:r>
      <w:r>
        <w:rPr>
          <w:rFonts w:eastAsia="楷体_GB2312"/>
          <w:b/>
          <w:color w:val="1A1A1A" w:themeColor="background1" w:themeShade="1A"/>
          <w:sz w:val="32"/>
          <w:szCs w:val="32"/>
        </w:rPr>
        <w:t>全</w:t>
      </w:r>
      <w:r>
        <w:rPr>
          <w:rFonts w:hint="eastAsia" w:eastAsia="楷体_GB2312"/>
          <w:b/>
          <w:color w:val="1A1A1A" w:themeColor="background1" w:themeShade="1A"/>
          <w:sz w:val="32"/>
          <w:szCs w:val="32"/>
        </w:rPr>
        <w:t>民</w:t>
      </w:r>
      <w:r>
        <w:rPr>
          <w:rFonts w:eastAsia="楷体_GB2312"/>
          <w:b/>
          <w:color w:val="1A1A1A" w:themeColor="background1" w:themeShade="1A"/>
          <w:sz w:val="32"/>
          <w:szCs w:val="32"/>
        </w:rPr>
        <w:t>生态环保意识</w:t>
      </w:r>
      <w:bookmarkEnd w:id="107"/>
    </w:p>
    <w:p>
      <w:pPr>
        <w:pStyle w:val="46"/>
        <w:spacing w:line="360" w:lineRule="auto"/>
        <w:ind w:firstLine="643"/>
        <w:rPr>
          <w:rFonts w:eastAsia="仿宋_GB2312"/>
          <w:color w:val="1A1A1A" w:themeColor="background1" w:themeShade="1A"/>
          <w:sz w:val="32"/>
          <w:szCs w:val="32"/>
        </w:rPr>
      </w:pPr>
      <w:r>
        <w:rPr>
          <w:rFonts w:eastAsia="楷体_GB2312"/>
          <w:b/>
          <w:bCs/>
          <w:color w:val="1A1A1A" w:themeColor="background1" w:themeShade="1A"/>
          <w:sz w:val="32"/>
          <w:szCs w:val="32"/>
        </w:rPr>
        <w:t>加强生态文明教育。</w:t>
      </w:r>
      <w:r>
        <w:rPr>
          <w:rFonts w:eastAsia="仿宋_GB2312"/>
          <w:color w:val="1A1A1A" w:themeColor="background1" w:themeShade="1A"/>
          <w:sz w:val="32"/>
          <w:szCs w:val="32"/>
        </w:rPr>
        <w:t>将生态文明纳入国民教育体系和党政领导干部培训体系。将习近平生态文明思想和生态文明建设纳入学校教育教学活动安排，培养青少年生态文明行为习惯。在</w:t>
      </w:r>
      <w:r>
        <w:rPr>
          <w:rFonts w:hint="eastAsia" w:eastAsia="仿宋_GB2312"/>
          <w:color w:val="1A1A1A" w:themeColor="background1" w:themeShade="1A"/>
          <w:sz w:val="32"/>
          <w:szCs w:val="32"/>
        </w:rPr>
        <w:t>区</w:t>
      </w:r>
      <w:r>
        <w:rPr>
          <w:rFonts w:eastAsia="仿宋_GB2312"/>
          <w:color w:val="1A1A1A" w:themeColor="background1" w:themeShade="1A"/>
          <w:sz w:val="32"/>
          <w:szCs w:val="32"/>
        </w:rPr>
        <w:t>党校</w:t>
      </w:r>
      <w:r>
        <w:rPr>
          <w:rFonts w:hint="eastAsia" w:eastAsia="仿宋_GB2312"/>
          <w:color w:val="1A1A1A" w:themeColor="background1" w:themeShade="1A"/>
          <w:sz w:val="32"/>
          <w:szCs w:val="32"/>
        </w:rPr>
        <w:t>（行政学院）</w:t>
      </w:r>
      <w:r>
        <w:rPr>
          <w:rFonts w:eastAsia="仿宋_GB2312"/>
          <w:color w:val="1A1A1A" w:themeColor="background1" w:themeShade="1A"/>
          <w:sz w:val="32"/>
          <w:szCs w:val="32"/>
        </w:rPr>
        <w:t>开设生态文明教育课程。推动各类职业培训机构积极开展生态文明培训。推进生态环境保护职业教育发展。开展生态环境科普活动，</w:t>
      </w:r>
      <w:r>
        <w:rPr>
          <w:rFonts w:hint="eastAsia" w:eastAsia="仿宋_GB2312"/>
          <w:color w:val="1A1A1A" w:themeColor="background1" w:themeShade="1A"/>
          <w:sz w:val="32"/>
          <w:szCs w:val="32"/>
        </w:rPr>
        <w:t>积极创建</w:t>
      </w:r>
      <w:r>
        <w:rPr>
          <w:rFonts w:eastAsia="仿宋_GB2312"/>
          <w:color w:val="1A1A1A" w:themeColor="background1" w:themeShade="1A"/>
          <w:sz w:val="32"/>
          <w:szCs w:val="32"/>
        </w:rPr>
        <w:t>生态环境宣传教育实践基地。创新生态环境保护培训方式，以警示片、守法考试、网上答题等为载体，加大危险废物环境管理、排污许可等培训力度，提高环境管理和排污企业相关人员的业务水平和法律意识。</w:t>
      </w:r>
      <w:r>
        <w:rPr>
          <w:rFonts w:hint="eastAsia" w:eastAsia="楷体_GB2312"/>
          <w:color w:val="1A1A1A" w:themeColor="background1" w:themeShade="1A"/>
          <w:sz w:val="32"/>
          <w:szCs w:val="32"/>
        </w:rPr>
        <w:t>（牵头单位：区委组织部、生态环境分局；配合单位：区教育和体育局、区科协、区人社局）</w:t>
      </w:r>
    </w:p>
    <w:p>
      <w:pPr>
        <w:pStyle w:val="46"/>
        <w:spacing w:line="360" w:lineRule="auto"/>
        <w:ind w:firstLine="643"/>
        <w:rPr>
          <w:rFonts w:eastAsia="仿宋_GB2312"/>
          <w:color w:val="1A1A1A" w:themeColor="background1" w:themeShade="1A"/>
          <w:sz w:val="32"/>
          <w:szCs w:val="32"/>
        </w:rPr>
      </w:pPr>
      <w:r>
        <w:rPr>
          <w:rFonts w:eastAsia="楷体_GB2312"/>
          <w:b/>
          <w:bCs/>
          <w:color w:val="1A1A1A" w:themeColor="background1" w:themeShade="1A"/>
          <w:sz w:val="32"/>
          <w:szCs w:val="32"/>
        </w:rPr>
        <w:t>繁荣生态文化。</w:t>
      </w:r>
      <w:r>
        <w:rPr>
          <w:rFonts w:eastAsia="仿宋_GB2312"/>
          <w:color w:val="1A1A1A" w:themeColor="background1" w:themeShade="1A"/>
          <w:sz w:val="32"/>
          <w:szCs w:val="32"/>
        </w:rPr>
        <w:t>加强生态文化基础理论研究，丰富新时代生态文化体系。加大生态环境宣传产品的制作和传播力度，结合地域特色和民族文化打造生态文化品牌，研发推广生态环境文化产品，选树一批生态环境保护先进典型。鼓励文化艺术届人士参与生态文化作品创作，丰富生态文明建设题材文学、影视、词曲等。开发体现生态文明建设的网络文学、动漫、有声读物、游戏、短视频等，制作一批生态环境保护公益广告。利用六五环境日、国际生物多样性日、全国节能宣传周和全国低碳日等重要时间节点，广泛宣传生态文化。</w:t>
      </w:r>
      <w:r>
        <w:rPr>
          <w:rFonts w:hint="eastAsia" w:eastAsia="楷体_GB2312"/>
          <w:color w:val="1A1A1A" w:themeColor="background1" w:themeShade="1A"/>
          <w:sz w:val="32"/>
          <w:szCs w:val="32"/>
        </w:rPr>
        <w:t>（区委宣传部、</w:t>
      </w:r>
      <w:bookmarkStart w:id="108" w:name="_Hlk115907480"/>
      <w:r>
        <w:rPr>
          <w:rFonts w:hint="eastAsia" w:eastAsia="楷体_GB2312"/>
          <w:color w:val="1A1A1A" w:themeColor="background1" w:themeShade="1A"/>
          <w:sz w:val="32"/>
          <w:szCs w:val="32"/>
        </w:rPr>
        <w:t>区</w:t>
      </w:r>
      <w:bookmarkEnd w:id="108"/>
      <w:r>
        <w:rPr>
          <w:rFonts w:hint="eastAsia" w:eastAsia="楷体_GB2312"/>
          <w:color w:val="1A1A1A" w:themeColor="background1" w:themeShade="1A"/>
          <w:sz w:val="32"/>
          <w:szCs w:val="32"/>
        </w:rPr>
        <w:t>文化和旅游局、生态环境分局按职责分工负责）</w:t>
      </w:r>
    </w:p>
    <w:p>
      <w:pPr>
        <w:pStyle w:val="46"/>
        <w:spacing w:line="360" w:lineRule="auto"/>
        <w:ind w:firstLine="643"/>
        <w:rPr>
          <w:rFonts w:eastAsia="仿宋_GB2312"/>
          <w:color w:val="1A1A1A" w:themeColor="background1" w:themeShade="1A"/>
          <w:sz w:val="32"/>
          <w:szCs w:val="32"/>
        </w:rPr>
      </w:pPr>
      <w:r>
        <w:rPr>
          <w:rFonts w:hint="eastAsia" w:eastAsia="仿宋_GB2312"/>
          <w:b/>
          <w:bCs/>
          <w:color w:val="1A1A1A" w:themeColor="background1" w:themeShade="1A"/>
          <w:sz w:val="32"/>
          <w:szCs w:val="32"/>
        </w:rPr>
        <w:t>鼓励开展生态文明建设示范。</w:t>
      </w:r>
      <w:r>
        <w:rPr>
          <w:rFonts w:hint="eastAsia" w:eastAsia="仿宋_GB2312"/>
          <w:color w:val="1A1A1A" w:themeColor="background1" w:themeShade="1A"/>
          <w:sz w:val="32"/>
          <w:szCs w:val="32"/>
        </w:rPr>
        <w:t>鼓励开展生态文明建设示范区、“绿水青山就是金山银山”实践创新基地、国家环境保护模范城市、“无废城市”创建。鼓励开展美丽城市、美丽乡村、美丽园区等建设。</w:t>
      </w:r>
      <w:r>
        <w:rPr>
          <w:rFonts w:hint="eastAsia" w:eastAsia="楷体_GB2312"/>
          <w:color w:val="1A1A1A" w:themeColor="background1" w:themeShade="1A"/>
          <w:sz w:val="32"/>
          <w:szCs w:val="32"/>
        </w:rPr>
        <w:t>（责任单位：生态环境分局）</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09" w:name="_Toc116030750"/>
      <w:r>
        <w:rPr>
          <w:rFonts w:eastAsia="楷体_GB2312"/>
          <w:b/>
          <w:color w:val="1A1A1A" w:themeColor="background1" w:themeShade="1A"/>
          <w:sz w:val="32"/>
          <w:szCs w:val="32"/>
        </w:rPr>
        <w:t xml:space="preserve">第二节  </w:t>
      </w:r>
      <w:r>
        <w:rPr>
          <w:rFonts w:hint="eastAsia" w:eastAsia="楷体_GB2312"/>
          <w:b/>
          <w:color w:val="1A1A1A" w:themeColor="background1" w:themeShade="1A"/>
          <w:sz w:val="32"/>
          <w:szCs w:val="32"/>
        </w:rPr>
        <w:t>倡导绿色低碳生活方式</w:t>
      </w:r>
      <w:bookmarkEnd w:id="109"/>
    </w:p>
    <w:p>
      <w:pPr>
        <w:pStyle w:val="46"/>
        <w:spacing w:line="360" w:lineRule="auto"/>
        <w:ind w:firstLine="643"/>
        <w:rPr>
          <w:rFonts w:eastAsia="仿宋_GB2312"/>
          <w:color w:val="1A1A1A" w:themeColor="background1" w:themeShade="1A"/>
          <w:sz w:val="32"/>
          <w:szCs w:val="32"/>
        </w:rPr>
      </w:pPr>
      <w:r>
        <w:rPr>
          <w:rFonts w:eastAsia="楷体_GB2312"/>
          <w:b/>
          <w:bCs/>
          <w:color w:val="1A1A1A" w:themeColor="background1" w:themeShade="1A"/>
          <w:sz w:val="32"/>
          <w:szCs w:val="32"/>
        </w:rPr>
        <w:t>推进全民绿色生活绿色消费。</w:t>
      </w:r>
      <w:r>
        <w:rPr>
          <w:rFonts w:eastAsia="仿宋_GB2312"/>
          <w:color w:val="1A1A1A" w:themeColor="background1" w:themeShade="1A"/>
          <w:sz w:val="32"/>
          <w:szCs w:val="32"/>
        </w:rPr>
        <w:t>组织开展各类环保实践活动，全面推行绿色低碳的消费模式和生活方式。坚决制止餐饮浪费行为，积极践行“光盘行动”，坚决革除滥食野生动物等陋习。鼓励宾馆、饭店、景区推出绿色旅游、绿色消费措施，严格限制一次性用品、餐具使用。在机关、学校、商场、医院、酒店等场所全面推广使用节能、节水、环保、再生等绿色产品。加强对企业和居民采购绿色产品的引导，结合移动互联网和大数据技术，建立和完善绿色消费激励回馈机制。加强绿色产品和服务认证管理，完善认证机构信用监管机制，鼓励电商平台设立绿色产品销售专区。开展绿色生活绿色消费统计，定期发布城市和行业绿色消费报告。</w:t>
      </w:r>
      <w:r>
        <w:rPr>
          <w:rFonts w:hint="eastAsia" w:eastAsia="楷体_GB2312"/>
          <w:color w:val="1A1A1A" w:themeColor="background1" w:themeShade="1A"/>
          <w:sz w:val="32"/>
          <w:szCs w:val="32"/>
        </w:rPr>
        <w:t>（</w:t>
      </w:r>
      <w:bookmarkStart w:id="110" w:name="_Hlk115907561"/>
      <w:r>
        <w:rPr>
          <w:rFonts w:hint="eastAsia" w:eastAsia="楷体_GB2312"/>
          <w:color w:val="1A1A1A" w:themeColor="background1" w:themeShade="1A"/>
          <w:sz w:val="32"/>
          <w:szCs w:val="32"/>
        </w:rPr>
        <w:t>区</w:t>
      </w:r>
      <w:bookmarkEnd w:id="110"/>
      <w:r>
        <w:rPr>
          <w:rFonts w:hint="eastAsia" w:eastAsia="楷体_GB2312"/>
          <w:color w:val="1A1A1A" w:themeColor="background1" w:themeShade="1A"/>
          <w:sz w:val="32"/>
          <w:szCs w:val="32"/>
        </w:rPr>
        <w:t>文化和旅游局、生态环境分局、区商务局等按职责分工负责）</w:t>
      </w:r>
    </w:p>
    <w:p>
      <w:pPr>
        <w:pStyle w:val="46"/>
        <w:spacing w:line="360" w:lineRule="auto"/>
        <w:ind w:firstLine="643"/>
        <w:rPr>
          <w:rFonts w:eastAsia="仿宋_GB2312"/>
          <w:color w:val="1A1A1A" w:themeColor="background1" w:themeShade="1A"/>
          <w:sz w:val="32"/>
          <w:szCs w:val="32"/>
        </w:rPr>
      </w:pPr>
      <w:r>
        <w:rPr>
          <w:rFonts w:eastAsia="楷体_GB2312"/>
          <w:b/>
          <w:bCs/>
          <w:color w:val="1A1A1A" w:themeColor="background1" w:themeShade="1A"/>
          <w:sz w:val="32"/>
          <w:szCs w:val="32"/>
        </w:rPr>
        <w:t>全面推进绿色生活设施建设。</w:t>
      </w:r>
      <w:r>
        <w:rPr>
          <w:rFonts w:eastAsia="仿宋_GB2312"/>
          <w:color w:val="1A1A1A" w:themeColor="background1" w:themeShade="1A"/>
          <w:sz w:val="32"/>
          <w:szCs w:val="32"/>
        </w:rPr>
        <w:t>大力推进绿色出行，深化公交都市建设。健全完善绿色交通体系，推动城市慢道建设。推进城市社区基础设施绿色化，推广节能家电、高效照明产品、节水器具，强化社区垃圾分类投放的宣传与推进。</w:t>
      </w:r>
      <w:r>
        <w:rPr>
          <w:rFonts w:hint="eastAsia" w:eastAsia="楷体_GB2312"/>
          <w:color w:val="1A1A1A" w:themeColor="background1" w:themeShade="1A"/>
          <w:sz w:val="32"/>
          <w:szCs w:val="32"/>
        </w:rPr>
        <w:t>（牵头单位：区交通运输局、区综合行政执法局；配合单位：区市场监管局）</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开展绿色生活创建活动。</w:t>
      </w:r>
      <w:r>
        <w:rPr>
          <w:rFonts w:hint="eastAsia" w:eastAsia="仿宋_GB2312"/>
          <w:color w:val="1A1A1A" w:themeColor="background1" w:themeShade="1A"/>
          <w:sz w:val="32"/>
          <w:szCs w:val="32"/>
        </w:rPr>
        <w:t>按照国家、省和市有关部署，</w:t>
      </w:r>
      <w:r>
        <w:rPr>
          <w:rFonts w:eastAsia="仿宋_GB2312"/>
          <w:color w:val="1A1A1A" w:themeColor="background1" w:themeShade="1A"/>
          <w:sz w:val="32"/>
          <w:szCs w:val="32"/>
        </w:rPr>
        <w:t>评选命名节约型机关、绿色家庭、绿色学校、绿色社区、绿色商场等，健全绿色生活创建的相关制度政策，推行《公民生态环境行为规范（试行）》。</w:t>
      </w:r>
      <w:r>
        <w:rPr>
          <w:rFonts w:hint="eastAsia" w:eastAsia="楷体_GB2312"/>
          <w:color w:val="1A1A1A" w:themeColor="background1" w:themeShade="1A"/>
          <w:sz w:val="32"/>
          <w:szCs w:val="32"/>
        </w:rPr>
        <w:t>（区机关事务服务中心、区发展改革局、区妇联、区教育和体育局、区住房城乡建设局、区商务局、生态环境分局等按职责分工负责）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11" w:name="_Toc116030751"/>
      <w:r>
        <w:rPr>
          <w:rFonts w:hint="eastAsia" w:eastAsia="楷体_GB2312"/>
          <w:b/>
          <w:color w:val="1A1A1A" w:themeColor="background1" w:themeShade="1A"/>
          <w:sz w:val="32"/>
          <w:szCs w:val="32"/>
        </w:rPr>
        <w:t>第三节</w:t>
      </w:r>
      <w:r>
        <w:rPr>
          <w:rFonts w:eastAsia="楷体_GB2312"/>
          <w:b/>
          <w:color w:val="1A1A1A" w:themeColor="background1" w:themeShade="1A"/>
          <w:sz w:val="32"/>
          <w:szCs w:val="32"/>
        </w:rPr>
        <w:t xml:space="preserve">  </w:t>
      </w:r>
      <w:r>
        <w:rPr>
          <w:rFonts w:hint="eastAsia" w:eastAsia="楷体_GB2312"/>
          <w:b/>
          <w:color w:val="1A1A1A" w:themeColor="background1" w:themeShade="1A"/>
          <w:sz w:val="32"/>
          <w:szCs w:val="32"/>
        </w:rPr>
        <w:t>营造宁静和谐的生活环境</w:t>
      </w:r>
      <w:bookmarkEnd w:id="111"/>
    </w:p>
    <w:p>
      <w:pPr>
        <w:pStyle w:val="46"/>
        <w:spacing w:line="360" w:lineRule="auto"/>
        <w:ind w:firstLine="643"/>
        <w:rPr>
          <w:rFonts w:eastAsia="楷体_GB2312"/>
          <w:color w:val="1A1A1A" w:themeColor="background1" w:themeShade="1A"/>
          <w:sz w:val="32"/>
          <w:szCs w:val="32"/>
        </w:rPr>
      </w:pPr>
      <w:r>
        <w:rPr>
          <w:rFonts w:hint="eastAsia" w:eastAsia="楷体_GB2312"/>
          <w:b/>
          <w:bCs/>
          <w:color w:val="1A1A1A" w:themeColor="background1" w:themeShade="1A"/>
          <w:sz w:val="32"/>
          <w:szCs w:val="32"/>
        </w:rPr>
        <w:t>加强环境噪声污染防治的监督管理。</w:t>
      </w:r>
      <w:r>
        <w:rPr>
          <w:rFonts w:eastAsia="仿宋_GB2312"/>
          <w:color w:val="1A1A1A" w:themeColor="background1" w:themeShade="1A"/>
          <w:sz w:val="32"/>
          <w:szCs w:val="32"/>
        </w:rPr>
        <w:t>强化声环境功能区管理，开展声环境功能区评估与调整，在声环境功能区安装噪声自动监测系统。在制定国土空间规划及交通运输等相关规划时，充分考虑建设项目和区域开发改造所产生的噪声对周围生活环境的影响</w:t>
      </w:r>
      <w:r>
        <w:rPr>
          <w:rFonts w:hint="eastAsia" w:eastAsia="仿宋_GB2312"/>
          <w:color w:val="1A1A1A" w:themeColor="background1" w:themeShade="1A"/>
          <w:sz w:val="32"/>
          <w:szCs w:val="32"/>
        </w:rPr>
        <w:t>，提高噪声防控标准</w:t>
      </w:r>
      <w:r>
        <w:rPr>
          <w:rFonts w:eastAsia="仿宋_GB2312"/>
          <w:color w:val="1A1A1A" w:themeColor="background1" w:themeShade="1A"/>
          <w:sz w:val="32"/>
          <w:szCs w:val="32"/>
        </w:rPr>
        <w:t>。加强建筑物隔声性能要求，落实新建住宅隔声性能验收和公示制度。严格夜间施工审批，鼓励采用低噪声施工设备和工艺，强化夜间施工管理。严厉查处工业企业噪声排放超标扰民行为。</w:t>
      </w:r>
      <w:r>
        <w:rPr>
          <w:rFonts w:hint="eastAsia" w:eastAsia="仿宋_GB2312" w:cs="仿宋_GB2312"/>
          <w:color w:val="1A1A1A" w:themeColor="background1" w:themeShade="1A"/>
          <w:sz w:val="32"/>
          <w:szCs w:val="32"/>
        </w:rPr>
        <w:t>以解决群众关心的噪声污染问题为突破口，实施噪声污染防治行动，到</w:t>
      </w:r>
      <w:r>
        <w:rPr>
          <w:rFonts w:eastAsia="仿宋_GB2312"/>
          <w:color w:val="1A1A1A" w:themeColor="background1" w:themeShade="1A"/>
          <w:sz w:val="32"/>
          <w:szCs w:val="32"/>
        </w:rPr>
        <w:t>2025</w:t>
      </w:r>
      <w:r>
        <w:rPr>
          <w:rFonts w:hint="eastAsia" w:eastAsia="仿宋_GB2312" w:cs="仿宋_GB2312"/>
          <w:color w:val="1A1A1A" w:themeColor="background1" w:themeShade="1A"/>
          <w:sz w:val="32"/>
          <w:szCs w:val="32"/>
        </w:rPr>
        <w:t>年，全面实现声环境功能区质量自动监测，声环境功能区夜间达标率达到</w:t>
      </w:r>
      <w:r>
        <w:rPr>
          <w:rFonts w:eastAsia="仿宋_GB2312"/>
          <w:color w:val="1A1A1A" w:themeColor="background1" w:themeShade="1A"/>
          <w:sz w:val="32"/>
          <w:szCs w:val="32"/>
        </w:rPr>
        <w:t>85%</w:t>
      </w:r>
      <w:r>
        <w:rPr>
          <w:rFonts w:hint="eastAsia" w:eastAsia="仿宋_GB2312" w:cs="仿宋_GB2312"/>
          <w:color w:val="1A1A1A" w:themeColor="background1" w:themeShade="1A"/>
          <w:sz w:val="32"/>
          <w:szCs w:val="32"/>
        </w:rPr>
        <w:t>。</w:t>
      </w:r>
      <w:r>
        <w:rPr>
          <w:rFonts w:hint="eastAsia" w:eastAsia="楷体_GB2312"/>
          <w:color w:val="1A1A1A" w:themeColor="background1" w:themeShade="1A"/>
          <w:sz w:val="32"/>
          <w:szCs w:val="32"/>
        </w:rPr>
        <w:t>（生态环境分局、区综合行政执法局、区住房城乡建设局、区公安分局、区交通运输局等按职责分工负责）</w:t>
      </w:r>
    </w:p>
    <w:p>
      <w:pPr>
        <w:pStyle w:val="46"/>
        <w:spacing w:line="360" w:lineRule="auto"/>
        <w:ind w:firstLine="643"/>
        <w:rPr>
          <w:rFonts w:eastAsia="仿宋_GB2312"/>
          <w:color w:val="1A1A1A" w:themeColor="background1" w:themeShade="1A"/>
          <w:sz w:val="32"/>
          <w:szCs w:val="32"/>
        </w:rPr>
      </w:pPr>
      <w:r>
        <w:rPr>
          <w:rFonts w:hint="eastAsia" w:eastAsia="楷体_GB2312"/>
          <w:b/>
          <w:bCs/>
          <w:color w:val="1A1A1A" w:themeColor="background1" w:themeShade="1A"/>
          <w:sz w:val="32"/>
          <w:szCs w:val="32"/>
        </w:rPr>
        <w:t>减少工业噪声排放。</w:t>
      </w:r>
      <w:r>
        <w:rPr>
          <w:rFonts w:hint="eastAsia" w:eastAsia="仿宋_GB2312"/>
          <w:color w:val="1A1A1A" w:themeColor="background1" w:themeShade="1A"/>
          <w:sz w:val="32"/>
          <w:szCs w:val="32"/>
        </w:rPr>
        <w:t>开展工业噪声污染扰民排查，建立重点噪声源排放企业清单。督促企业完善噪声污染防治设施，严格控制夜间生产时间，落实噪声自行监测规定，及时向社会公开监测结果。严控城区范围内高噪声排放项目审批，从源头减少噪声排放。强化监督执法，加强监督性监测，依法查处噪声排放超标扰民行为。</w:t>
      </w:r>
      <w:r>
        <w:rPr>
          <w:rFonts w:hint="eastAsia" w:eastAsia="楷体_GB2312"/>
          <w:color w:val="1A1A1A" w:themeColor="background1" w:themeShade="1A"/>
          <w:sz w:val="32"/>
          <w:szCs w:val="32"/>
        </w:rPr>
        <w:t>（生态环境分局、区行政审批服务局、区公安分局等按职责分工负责）</w:t>
      </w:r>
    </w:p>
    <w:p>
      <w:pPr>
        <w:pStyle w:val="46"/>
        <w:spacing w:line="360" w:lineRule="auto"/>
        <w:ind w:firstLine="643"/>
        <w:rPr>
          <w:rFonts w:eastAsia="仿宋_GB2312"/>
          <w:color w:val="1A1A1A" w:themeColor="background1" w:themeShade="1A"/>
          <w:sz w:val="32"/>
          <w:szCs w:val="32"/>
        </w:rPr>
      </w:pPr>
      <w:r>
        <w:rPr>
          <w:rFonts w:hint="eastAsia" w:eastAsia="楷体_GB2312"/>
          <w:b/>
          <w:bCs/>
          <w:color w:val="1A1A1A" w:themeColor="background1" w:themeShade="1A"/>
          <w:sz w:val="32"/>
          <w:szCs w:val="32"/>
        </w:rPr>
        <w:t>强化建筑施工噪声控制。</w:t>
      </w:r>
      <w:r>
        <w:rPr>
          <w:rFonts w:hint="eastAsia" w:eastAsia="仿宋_GB2312"/>
          <w:color w:val="1A1A1A" w:themeColor="background1" w:themeShade="1A"/>
          <w:sz w:val="32"/>
          <w:szCs w:val="32"/>
        </w:rPr>
        <w:t>开展建筑施工工地噪声扰民排查，建立夜间施工工地管理台账，严厉查处未经审批的建筑工地施工噪声污染、扰民现象。推动敏感建筑物集中区域周边或群众反复投诉的在建工地安装噪声自动监测设备。规范建筑施工夜间审批流程，严格落实夜间施工审批公告制度。</w:t>
      </w:r>
      <w:r>
        <w:rPr>
          <w:rFonts w:hint="eastAsia" w:eastAsia="楷体_GB2312"/>
          <w:color w:val="1A1A1A" w:themeColor="background1" w:themeShade="1A"/>
          <w:sz w:val="32"/>
          <w:szCs w:val="32"/>
        </w:rPr>
        <w:t>（牵头单位：区综合行政执法局、区住房城乡建设局；配合单位：生态环境分局）</w:t>
      </w:r>
    </w:p>
    <w:p>
      <w:pPr>
        <w:pStyle w:val="46"/>
        <w:spacing w:line="360" w:lineRule="auto"/>
        <w:ind w:firstLine="643"/>
        <w:rPr>
          <w:rFonts w:eastAsia="仿宋_GB2312"/>
          <w:color w:val="1A1A1A" w:themeColor="background1" w:themeShade="1A"/>
          <w:sz w:val="32"/>
          <w:szCs w:val="32"/>
        </w:rPr>
      </w:pPr>
      <w:r>
        <w:rPr>
          <w:rFonts w:hint="eastAsia" w:eastAsia="楷体_GB2312"/>
          <w:b/>
          <w:bCs/>
          <w:color w:val="1A1A1A" w:themeColor="background1" w:themeShade="1A"/>
          <w:sz w:val="32"/>
          <w:szCs w:val="32"/>
        </w:rPr>
        <w:t>加强交通噪声管理。</w:t>
      </w:r>
      <w:r>
        <w:rPr>
          <w:rFonts w:hint="eastAsia" w:eastAsia="仿宋_GB2312"/>
          <w:color w:val="1A1A1A" w:themeColor="background1" w:themeShade="1A"/>
          <w:sz w:val="32"/>
          <w:szCs w:val="32"/>
        </w:rPr>
        <w:t>规范机动车鸣笛管理。加强道路降噪治理，在噪声敏感建筑物集中区域可能造成环境噪声污染的高速公路，应当对敏感区域、重点区域和路段，采取安装声屏障等有效措施，控制沿途环境噪声污染。</w:t>
      </w:r>
      <w:r>
        <w:rPr>
          <w:rFonts w:hint="eastAsia" w:eastAsia="楷体_GB2312"/>
          <w:color w:val="1A1A1A" w:themeColor="background1" w:themeShade="1A"/>
          <w:sz w:val="32"/>
          <w:szCs w:val="32"/>
        </w:rPr>
        <w:t>（区交警大队、区交通运输局、区公路局按职责分工负责）</w:t>
      </w:r>
    </w:p>
    <w:p>
      <w:pPr>
        <w:pStyle w:val="46"/>
        <w:spacing w:line="360" w:lineRule="auto"/>
        <w:ind w:firstLine="643"/>
        <w:rPr>
          <w:rFonts w:eastAsia="仿宋_GB2312"/>
          <w:color w:val="1A1A1A" w:themeColor="background1" w:themeShade="1A"/>
          <w:sz w:val="32"/>
          <w:szCs w:val="32"/>
        </w:rPr>
      </w:pPr>
      <w:r>
        <w:rPr>
          <w:rFonts w:hint="eastAsia" w:eastAsia="楷体_GB2312"/>
          <w:b/>
          <w:bCs/>
          <w:color w:val="1A1A1A" w:themeColor="background1" w:themeShade="1A"/>
          <w:sz w:val="32"/>
          <w:szCs w:val="32"/>
        </w:rPr>
        <w:t>加大社会生活噪声污染防治。</w:t>
      </w:r>
      <w:r>
        <w:rPr>
          <w:rFonts w:hint="eastAsia" w:eastAsia="仿宋_GB2312"/>
          <w:color w:val="1A1A1A" w:themeColor="background1" w:themeShade="1A"/>
          <w:sz w:val="32"/>
          <w:szCs w:val="32"/>
        </w:rPr>
        <w:t>加强对文化娱乐、商业经营等社会生活噪声热点问题日常监管和集中整治。研究制定公共场所文明公约、社区噪声控制规约，鼓励创建宁静社区等宁静休息空间。</w:t>
      </w:r>
      <w:r>
        <w:rPr>
          <w:rFonts w:hint="eastAsia" w:eastAsia="楷体_GB2312"/>
          <w:color w:val="1A1A1A" w:themeColor="background1" w:themeShade="1A"/>
          <w:sz w:val="32"/>
          <w:szCs w:val="32"/>
        </w:rPr>
        <w:t>（区综合行政执法局、区公安分局按职责分工负责）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12" w:name="_Toc116030752"/>
      <w:r>
        <w:rPr>
          <w:rFonts w:eastAsia="楷体_GB2312"/>
          <w:b/>
          <w:color w:val="1A1A1A" w:themeColor="background1" w:themeShade="1A"/>
          <w:sz w:val="32"/>
          <w:szCs w:val="32"/>
        </w:rPr>
        <w:t>第</w:t>
      </w:r>
      <w:r>
        <w:rPr>
          <w:rFonts w:hint="eastAsia" w:eastAsia="楷体_GB2312"/>
          <w:b/>
          <w:color w:val="1A1A1A" w:themeColor="background1" w:themeShade="1A"/>
          <w:sz w:val="32"/>
          <w:szCs w:val="32"/>
        </w:rPr>
        <w:t>四</w:t>
      </w:r>
      <w:r>
        <w:rPr>
          <w:rFonts w:eastAsia="楷体_GB2312"/>
          <w:b/>
          <w:color w:val="1A1A1A" w:themeColor="background1" w:themeShade="1A"/>
          <w:sz w:val="32"/>
          <w:szCs w:val="32"/>
        </w:rPr>
        <w:t>节  开展生态环保全民行动</w:t>
      </w:r>
      <w:bookmarkEnd w:id="112"/>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发挥政府机关作用。</w:t>
      </w:r>
      <w:r>
        <w:rPr>
          <w:rFonts w:eastAsia="仿宋_GB2312"/>
          <w:color w:val="1A1A1A" w:themeColor="background1" w:themeShade="1A"/>
          <w:sz w:val="32"/>
          <w:szCs w:val="32"/>
        </w:rPr>
        <w:t>党政机关要厉行勤俭节约、反对铺张浪费。健全节约能源资源管理制度，强化能耗、水耗等目标管理。推行绿色办公，加大绿色采购力度，扩大绿色产品采购范围。</w:t>
      </w:r>
      <w:r>
        <w:rPr>
          <w:rFonts w:hint="eastAsia" w:eastAsia="楷体_GB2312"/>
          <w:color w:val="1A1A1A" w:themeColor="background1" w:themeShade="1A"/>
          <w:sz w:val="32"/>
          <w:szCs w:val="32"/>
        </w:rPr>
        <w:t>（区机关事务服务中心、</w:t>
      </w:r>
      <w:bookmarkStart w:id="113" w:name="_Hlk115907932"/>
      <w:r>
        <w:rPr>
          <w:rFonts w:hint="eastAsia" w:eastAsia="楷体_GB2312"/>
          <w:color w:val="1A1A1A" w:themeColor="background1" w:themeShade="1A"/>
          <w:sz w:val="32"/>
          <w:szCs w:val="32"/>
        </w:rPr>
        <w:t>区</w:t>
      </w:r>
      <w:bookmarkEnd w:id="113"/>
      <w:r>
        <w:rPr>
          <w:rFonts w:hint="eastAsia" w:eastAsia="楷体_GB2312"/>
          <w:color w:val="1A1A1A" w:themeColor="background1" w:themeShade="1A"/>
          <w:sz w:val="32"/>
          <w:szCs w:val="32"/>
        </w:rPr>
        <w:t>财政局按职责分工负责）</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落实企业生态环境责任。</w:t>
      </w:r>
      <w:r>
        <w:rPr>
          <w:rFonts w:eastAsia="仿宋_GB2312"/>
          <w:color w:val="1A1A1A" w:themeColor="background1" w:themeShade="1A"/>
          <w:sz w:val="32"/>
          <w:szCs w:val="32"/>
        </w:rPr>
        <w:t>加强企业环境治理责任制度建设，推动企业从源头防治污染，依法依规淘汰落后生产工艺技术，积极践行绿色生产方式，减少污染物排放，履行污染治理主体责任。拓展生产者责任延伸制度覆盖范围。排污企业实行自我申报、自我治理、自我管理、自我监测、自我公开、自我承诺，依法依规向社会公开相关环境信息，接受社会监督。鼓励企业通过设立企业开放日、环境教育体验场所、环保课堂等多种方式向公众开放，组织开展生态文明公益活动。</w:t>
      </w:r>
      <w:r>
        <w:rPr>
          <w:rFonts w:hint="eastAsia" w:eastAsia="楷体_GB2312"/>
          <w:color w:val="1A1A1A" w:themeColor="background1" w:themeShade="1A"/>
          <w:sz w:val="32"/>
          <w:szCs w:val="32"/>
        </w:rPr>
        <w:t>（区工业和信息化局、生态环境分局按职责分工负责）</w:t>
      </w:r>
    </w:p>
    <w:p>
      <w:pPr>
        <w:pStyle w:val="46"/>
        <w:spacing w:line="360" w:lineRule="auto"/>
        <w:ind w:firstLine="643"/>
        <w:rPr>
          <w:rFonts w:eastAsia="楷体_GB2312"/>
          <w:color w:val="1A1A1A" w:themeColor="background1" w:themeShade="1A"/>
          <w:sz w:val="32"/>
          <w:szCs w:val="32"/>
        </w:rPr>
      </w:pPr>
      <w:r>
        <w:rPr>
          <w:rFonts w:eastAsia="楷体_GB2312"/>
          <w:b/>
          <w:bCs/>
          <w:color w:val="1A1A1A" w:themeColor="background1" w:themeShade="1A"/>
          <w:sz w:val="32"/>
          <w:szCs w:val="32"/>
        </w:rPr>
        <w:t>充分发挥各类社会主体作用。</w:t>
      </w:r>
      <w:r>
        <w:rPr>
          <w:rFonts w:hint="eastAsia" w:eastAsia="仿宋_GB2312"/>
          <w:color w:val="1A1A1A" w:themeColor="background1" w:themeShade="1A"/>
          <w:sz w:val="32"/>
          <w:szCs w:val="32"/>
        </w:rPr>
        <w:t>鼓励</w:t>
      </w:r>
      <w:r>
        <w:rPr>
          <w:rFonts w:eastAsia="仿宋_GB2312"/>
          <w:color w:val="1A1A1A" w:themeColor="background1" w:themeShade="1A"/>
          <w:sz w:val="32"/>
          <w:szCs w:val="32"/>
        </w:rPr>
        <w:t>工会、共青团、妇联等群团组织制定措施，动员广大职工、青年、妇女积极参与生态环境保护。行业协会、商会应发挥桥梁纽带作用，促进行业自律。畅通和规范市场主体、新社会阶层、社会工作者等参与环境社会治理的途径，搭建平台和载体。广泛发展生态环保志愿服务项目和志愿者队伍。加强对社会组织的管理和指导。引导具备资格的环保组织依法开展生态环境公益诉讼等活动。鼓励公益慈善基金会助推生态环保公益发展。鼓励</w:t>
      </w:r>
      <w:r>
        <w:rPr>
          <w:rFonts w:hint="eastAsia" w:eastAsia="仿宋_GB2312"/>
          <w:color w:val="1A1A1A" w:themeColor="background1" w:themeShade="1A"/>
          <w:sz w:val="32"/>
          <w:szCs w:val="32"/>
        </w:rPr>
        <w:t>将加强生态环境保护纳入村规民约、居民公约</w:t>
      </w:r>
      <w:r>
        <w:rPr>
          <w:rFonts w:eastAsia="仿宋_GB2312"/>
          <w:color w:val="1A1A1A" w:themeColor="background1" w:themeShade="1A"/>
          <w:sz w:val="32"/>
          <w:szCs w:val="32"/>
        </w:rPr>
        <w:t>。</w:t>
      </w:r>
      <w:r>
        <w:rPr>
          <w:rFonts w:hint="eastAsia" w:eastAsia="楷体_GB2312"/>
          <w:color w:val="1A1A1A" w:themeColor="background1" w:themeShade="1A"/>
          <w:sz w:val="32"/>
          <w:szCs w:val="32"/>
        </w:rPr>
        <w:t>（区工会、团区委、</w:t>
      </w:r>
      <w:bookmarkStart w:id="114" w:name="_Hlk115908033"/>
      <w:r>
        <w:rPr>
          <w:rFonts w:hint="eastAsia" w:eastAsia="楷体_GB2312"/>
          <w:color w:val="1A1A1A" w:themeColor="background1" w:themeShade="1A"/>
          <w:sz w:val="32"/>
          <w:szCs w:val="32"/>
        </w:rPr>
        <w:t>区</w:t>
      </w:r>
      <w:bookmarkEnd w:id="114"/>
      <w:r>
        <w:rPr>
          <w:rFonts w:hint="eastAsia" w:eastAsia="楷体_GB2312"/>
          <w:color w:val="1A1A1A" w:themeColor="background1" w:themeShade="1A"/>
          <w:sz w:val="32"/>
          <w:szCs w:val="32"/>
        </w:rPr>
        <w:t>妇联按职责分工负责）</w:t>
      </w:r>
    </w:p>
    <w:p>
      <w:pPr>
        <w:spacing w:line="360" w:lineRule="auto"/>
        <w:ind w:firstLine="645"/>
        <w:rPr>
          <w:rFonts w:eastAsia="楷体_GB2312"/>
          <w:color w:val="1A1A1A" w:themeColor="background1" w:themeShade="1A"/>
          <w:sz w:val="32"/>
          <w:szCs w:val="32"/>
        </w:rPr>
      </w:pPr>
      <w:r>
        <w:rPr>
          <w:rFonts w:eastAsia="楷体_GB2312"/>
          <w:b/>
          <w:bCs/>
          <w:color w:val="1A1A1A" w:themeColor="background1" w:themeShade="1A"/>
          <w:sz w:val="32"/>
          <w:szCs w:val="32"/>
        </w:rPr>
        <w:t>强化公众监督与参与。</w:t>
      </w:r>
      <w:r>
        <w:rPr>
          <w:rFonts w:eastAsia="仿宋_GB2312"/>
          <w:color w:val="1A1A1A" w:themeColor="background1" w:themeShade="1A"/>
          <w:sz w:val="32"/>
          <w:szCs w:val="32"/>
        </w:rPr>
        <w:t>继续推进环境政务新媒体矩阵建设，完善例行新闻发布制度和新闻发言人制度，加大环保信息公开力度。继续推动环保设施和城市污水垃圾处理设施向社会开放。推进信访投诉举报工作机制改革，完善公众监督和结果反馈机制，完善“发现问题—解决问题—核查成效—分析研判—集中治理”全链条闭环工作机制，利用“信、访、网、电、微”等渠道，充分发挥信访投诉举报信息“金矿”作用，畅通群众参与生态环境监督渠道，建立有效的监控数据及信访、投诉、举报、舆情反映问题的处置核查机制。大力宣传生态环境保护先进典型，鼓励新闻媒体设立“曝光台”或专栏，对各类破坏生态环境问题、突发环境事件、环境违法行为进行曝光和跟踪。健全环境决策公众参与机制，保障公众的知情权、监督权、参与权。</w:t>
      </w:r>
      <w:r>
        <w:rPr>
          <w:rFonts w:hint="eastAsia" w:eastAsia="楷体_GB2312"/>
          <w:color w:val="1A1A1A" w:themeColor="background1" w:themeShade="1A"/>
          <w:sz w:val="32"/>
          <w:szCs w:val="32"/>
        </w:rPr>
        <w:t>（牵头单位：生态环境分局；配合单位：区委宣传部）</w:t>
      </w:r>
    </w:p>
    <w:p>
      <w:pPr>
        <w:adjustRightInd w:val="0"/>
        <w:spacing w:before="312" w:beforeLines="100" w:after="312" w:afterLines="100"/>
        <w:jc w:val="center"/>
        <w:textAlignment w:val="baseline"/>
        <w:outlineLvl w:val="0"/>
        <w:rPr>
          <w:rFonts w:eastAsia="黑体"/>
          <w:b/>
          <w:color w:val="1A1A1A" w:themeColor="background1" w:themeShade="1A"/>
          <w:sz w:val="32"/>
          <w:szCs w:val="32"/>
        </w:rPr>
      </w:pPr>
      <w:bookmarkStart w:id="115" w:name="_Toc116030753"/>
      <w:r>
        <w:rPr>
          <w:rFonts w:eastAsia="黑体"/>
          <w:b/>
          <w:color w:val="1A1A1A" w:themeColor="background1" w:themeShade="1A"/>
          <w:sz w:val="32"/>
          <w:szCs w:val="32"/>
        </w:rPr>
        <w:t>第十二章  加强规划实施保障</w:t>
      </w:r>
      <w:bookmarkEnd w:id="115"/>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16" w:name="_Toc116030754"/>
      <w:r>
        <w:rPr>
          <w:rFonts w:eastAsia="楷体_GB2312"/>
          <w:b/>
          <w:color w:val="1A1A1A" w:themeColor="background1" w:themeShade="1A"/>
          <w:sz w:val="32"/>
          <w:szCs w:val="32"/>
        </w:rPr>
        <w:t xml:space="preserve">第一节  </w:t>
      </w:r>
      <w:r>
        <w:rPr>
          <w:rFonts w:hint="eastAsia" w:eastAsia="楷体_GB2312"/>
          <w:b/>
          <w:color w:val="1A1A1A" w:themeColor="background1" w:themeShade="1A"/>
          <w:sz w:val="32"/>
          <w:szCs w:val="32"/>
        </w:rPr>
        <w:t>加强党的</w:t>
      </w:r>
      <w:r>
        <w:rPr>
          <w:rFonts w:eastAsia="楷体_GB2312"/>
          <w:b/>
          <w:color w:val="1A1A1A" w:themeColor="background1" w:themeShade="1A"/>
          <w:sz w:val="32"/>
          <w:szCs w:val="32"/>
        </w:rPr>
        <w:t>领导</w:t>
      </w:r>
      <w:bookmarkEnd w:id="116"/>
    </w:p>
    <w:p>
      <w:pPr>
        <w:pStyle w:val="46"/>
        <w:spacing w:line="360" w:lineRule="auto"/>
        <w:ind w:firstLine="640"/>
        <w:rPr>
          <w:rFonts w:eastAsia="仿宋_GB2312"/>
          <w:color w:val="1A1A1A" w:themeColor="background1" w:themeShade="1A"/>
          <w:sz w:val="32"/>
          <w:szCs w:val="32"/>
        </w:rPr>
      </w:pPr>
      <w:r>
        <w:rPr>
          <w:rFonts w:hint="eastAsia" w:eastAsia="仿宋_GB2312"/>
          <w:color w:val="1A1A1A" w:themeColor="background1" w:themeShade="1A"/>
          <w:sz w:val="32"/>
          <w:szCs w:val="32"/>
        </w:rPr>
        <w:t>深入学习贯彻习近平新时代中国特色社会主义思想，切实增强“四个意识”、坚定“四个自信”、做到“两个维护”。将习近平生态文明思想融入经济社会发展全过程各领域，确保习近平总书记对山东工作重要指示要求和党中央、省委、市委关于生态环境保护的决策部署落地落实。坚持党的全面领导，压实各级党委、政府的生态环境保护责任，凝聚全社会力量，共同推进生态环境保护。</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17" w:name="_Toc116030755"/>
      <w:r>
        <w:rPr>
          <w:rFonts w:eastAsia="楷体_GB2312"/>
          <w:b/>
          <w:color w:val="1A1A1A" w:themeColor="background1" w:themeShade="1A"/>
          <w:sz w:val="32"/>
          <w:szCs w:val="32"/>
        </w:rPr>
        <w:t>第</w:t>
      </w:r>
      <w:r>
        <w:rPr>
          <w:rFonts w:hint="eastAsia" w:eastAsia="楷体_GB2312"/>
          <w:b/>
          <w:color w:val="1A1A1A" w:themeColor="background1" w:themeShade="1A"/>
          <w:sz w:val="32"/>
          <w:szCs w:val="32"/>
        </w:rPr>
        <w:t>二</w:t>
      </w:r>
      <w:r>
        <w:rPr>
          <w:rFonts w:eastAsia="楷体_GB2312"/>
          <w:b/>
          <w:color w:val="1A1A1A" w:themeColor="background1" w:themeShade="1A"/>
          <w:sz w:val="32"/>
          <w:szCs w:val="32"/>
        </w:rPr>
        <w:t xml:space="preserve">节  </w:t>
      </w:r>
      <w:r>
        <w:rPr>
          <w:rFonts w:hint="eastAsia" w:eastAsia="楷体_GB2312"/>
          <w:b/>
          <w:color w:val="1A1A1A" w:themeColor="background1" w:themeShade="1A"/>
          <w:sz w:val="32"/>
          <w:szCs w:val="32"/>
        </w:rPr>
        <w:t>强化组织实施</w:t>
      </w:r>
      <w:bookmarkEnd w:id="117"/>
    </w:p>
    <w:p>
      <w:pPr>
        <w:pStyle w:val="46"/>
        <w:spacing w:line="360" w:lineRule="auto"/>
        <w:ind w:firstLine="640"/>
        <w:rPr>
          <w:rFonts w:eastAsia="仿宋_GB2312"/>
          <w:color w:val="1A1A1A" w:themeColor="background1" w:themeShade="1A"/>
          <w:sz w:val="32"/>
          <w:szCs w:val="32"/>
        </w:rPr>
      </w:pPr>
      <w:r>
        <w:rPr>
          <w:rFonts w:hint="eastAsia" w:eastAsia="仿宋_GB2312"/>
          <w:color w:val="1A1A1A" w:themeColor="background1" w:themeShade="1A"/>
          <w:sz w:val="32"/>
          <w:szCs w:val="32"/>
        </w:rPr>
        <w:t>统筹抓好本行政区域的生态环境保护工作，制定并公布生态环境保护年度目标和重点任务，编制生态环境专项行动方案，落实目标任务。有关部门要按照职责分工，制定落实方案计划，强化部门协作和地方指导，推动目标任务落实。各镇街、各有关部门编制相关规划时，要与本规划做好衔接，加强生态环境保护、节能减排约束性指标管理。生态环境分局每年向区政府报告生态环境保护重点工作进展情况。</w:t>
      </w:r>
      <w:r>
        <w:rPr>
          <w:rFonts w:hint="eastAsia" w:eastAsia="楷体_GB2312"/>
          <w:color w:val="1A1A1A" w:themeColor="background1" w:themeShade="1A"/>
          <w:sz w:val="32"/>
          <w:szCs w:val="32"/>
        </w:rPr>
        <w:t>（责任单位：</w:t>
      </w:r>
      <w:bookmarkStart w:id="118" w:name="_Hlk115908288"/>
      <w:r>
        <w:rPr>
          <w:rFonts w:hint="eastAsia" w:eastAsia="楷体_GB2312"/>
          <w:color w:val="1A1A1A" w:themeColor="background1" w:themeShade="1A"/>
          <w:sz w:val="32"/>
          <w:szCs w:val="32"/>
        </w:rPr>
        <w:t>区</w:t>
      </w:r>
      <w:bookmarkEnd w:id="118"/>
      <w:r>
        <w:rPr>
          <w:rFonts w:hint="eastAsia" w:eastAsia="楷体_GB2312"/>
          <w:color w:val="1A1A1A" w:themeColor="background1" w:themeShade="1A"/>
          <w:sz w:val="32"/>
          <w:szCs w:val="32"/>
        </w:rPr>
        <w:t>生态环境保护委员会）</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19" w:name="_Toc116030756"/>
      <w:r>
        <w:rPr>
          <w:rFonts w:eastAsia="楷体_GB2312"/>
          <w:b/>
          <w:color w:val="1A1A1A" w:themeColor="background1" w:themeShade="1A"/>
          <w:sz w:val="32"/>
          <w:szCs w:val="32"/>
        </w:rPr>
        <w:t>第</w:t>
      </w:r>
      <w:r>
        <w:rPr>
          <w:rFonts w:hint="eastAsia" w:eastAsia="楷体_GB2312"/>
          <w:b/>
          <w:color w:val="1A1A1A" w:themeColor="background1" w:themeShade="1A"/>
          <w:sz w:val="32"/>
          <w:szCs w:val="32"/>
        </w:rPr>
        <w:t>三</w:t>
      </w:r>
      <w:r>
        <w:rPr>
          <w:rFonts w:eastAsia="楷体_GB2312"/>
          <w:b/>
          <w:color w:val="1A1A1A" w:themeColor="background1" w:themeShade="1A"/>
          <w:sz w:val="32"/>
          <w:szCs w:val="32"/>
        </w:rPr>
        <w:t xml:space="preserve">节  </w:t>
      </w:r>
      <w:r>
        <w:rPr>
          <w:rFonts w:hint="eastAsia" w:eastAsia="楷体_GB2312"/>
          <w:b/>
          <w:color w:val="1A1A1A" w:themeColor="background1" w:themeShade="1A"/>
          <w:sz w:val="32"/>
          <w:szCs w:val="32"/>
        </w:rPr>
        <w:t>落实资金保障</w:t>
      </w:r>
      <w:bookmarkEnd w:id="119"/>
    </w:p>
    <w:p>
      <w:pPr>
        <w:pStyle w:val="46"/>
        <w:spacing w:line="360" w:lineRule="auto"/>
        <w:ind w:firstLine="640"/>
        <w:rPr>
          <w:rFonts w:eastAsia="仿宋_GB2312"/>
          <w:color w:val="1A1A1A" w:themeColor="background1" w:themeShade="1A"/>
          <w:sz w:val="32"/>
          <w:szCs w:val="32"/>
        </w:rPr>
      </w:pPr>
      <w:r>
        <w:rPr>
          <w:rFonts w:hint="eastAsia" w:eastAsia="仿宋_GB2312"/>
          <w:color w:val="1A1A1A" w:themeColor="background1" w:themeShade="1A"/>
          <w:sz w:val="32"/>
          <w:szCs w:val="32"/>
        </w:rPr>
        <w:t>落实环境治理财政支出责任，把生态环境保护作为财政保障重点，逐步建立常态化、稳定的财政资金投入机制。积极落实国家、省、市绿色投融资、绿色信贷等金融政策。落实农业生产废弃物资源化利用政策，支持实施秸秆综合利用和绿色种养循环农业试点。落实生态文明建设财政奖补机制。加大对生态环境保护领域的财政支持力度。全力推进流域横向生态补偿机制落实。合理配置公共资源，引导调控社会资源，拓宽投融资渠道，综合运用土地、规划、金融、价格多种政策引导社会资本投入。积极推行政府和社会资本合作，吸引社会资本参与准公益性和公益性生态环境保护项目。鼓励社会资本以市场化方式设立环境保护基金。鼓励创业投资企业、股权投资企业和社会捐赠资金增加生态环保投入。多措并举筹集资金，推动南四湖流域、黄河流域生态保护和高质量发展重大项目建设，加大对农村清洁取暖、老旧柴油货车淘汰、新能源或高排放阶段柴油货车和非道路移动机械迭代更新、农村生活污水和黑臭水体治理、美丽河湖建设等重点任务的资金保障。</w:t>
      </w:r>
      <w:r>
        <w:rPr>
          <w:rFonts w:hint="eastAsia" w:eastAsia="楷体_GB2312"/>
          <w:color w:val="1A1A1A" w:themeColor="background1" w:themeShade="1A"/>
          <w:sz w:val="32"/>
          <w:szCs w:val="32"/>
        </w:rPr>
        <w:t>（牵头单位：生态环境分局、区财政局；配合单位：中国人民银行（兖州</w:t>
      </w:r>
      <w:bookmarkStart w:id="120" w:name="_Hlk115908484"/>
      <w:r>
        <w:rPr>
          <w:rFonts w:hint="eastAsia" w:eastAsia="楷体_GB2312"/>
          <w:color w:val="1A1A1A" w:themeColor="background1" w:themeShade="1A"/>
          <w:sz w:val="32"/>
          <w:szCs w:val="32"/>
        </w:rPr>
        <w:t>区</w:t>
      </w:r>
      <w:bookmarkEnd w:id="120"/>
      <w:r>
        <w:rPr>
          <w:rFonts w:hint="eastAsia" w:eastAsia="楷体_GB2312"/>
          <w:color w:val="1A1A1A" w:themeColor="background1" w:themeShade="1A"/>
          <w:sz w:val="32"/>
          <w:szCs w:val="32"/>
        </w:rPr>
        <w:t>支行））</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21" w:name="_Toc116030757"/>
      <w:r>
        <w:rPr>
          <w:rFonts w:eastAsia="楷体_GB2312"/>
          <w:b/>
          <w:color w:val="1A1A1A" w:themeColor="background1" w:themeShade="1A"/>
          <w:sz w:val="32"/>
          <w:szCs w:val="32"/>
        </w:rPr>
        <w:t>第四节  推进队伍建设</w:t>
      </w:r>
      <w:bookmarkEnd w:id="121"/>
    </w:p>
    <w:p>
      <w:pPr>
        <w:pStyle w:val="46"/>
        <w:spacing w:line="360" w:lineRule="auto"/>
        <w:ind w:firstLine="640"/>
        <w:rPr>
          <w:rFonts w:eastAsia="仿宋_GB2312"/>
          <w:color w:val="1A1A1A" w:themeColor="background1" w:themeShade="1A"/>
          <w:sz w:val="32"/>
          <w:szCs w:val="32"/>
        </w:rPr>
      </w:pPr>
      <w:r>
        <w:rPr>
          <w:rFonts w:eastAsia="仿宋_GB2312"/>
          <w:color w:val="1A1A1A" w:themeColor="background1" w:themeShade="1A"/>
          <w:sz w:val="32"/>
          <w:szCs w:val="32"/>
        </w:rPr>
        <w:t>推进生态文明建设、创新平台建设。加强应对气候变化、固废和化学品环境管理、土壤环境监管等急需紧缺领域以及自然资源、水利、农业农村、林草、气象等部门生态环保队伍建设。要统筹任用生态环保干部，加强交流使用。</w:t>
      </w:r>
      <w:r>
        <w:rPr>
          <w:rFonts w:hint="eastAsia" w:eastAsia="仿宋_GB2312"/>
          <w:color w:val="1A1A1A" w:themeColor="background1" w:themeShade="1A"/>
          <w:sz w:val="32"/>
          <w:szCs w:val="32"/>
        </w:rPr>
        <w:t>稳定镇街专职生态环保干部队伍建设，提升基层生态环境队伍能力。通过业务培训、比赛竞赛、挂职锻炼、经验交流等多种方式，提高业务本领，建设“政治强、本领高、作风硬、敢担当、特别能吃苦、特别能战斗、特别能奉献”的生态环境保护铁军。</w:t>
      </w:r>
      <w:r>
        <w:rPr>
          <w:rFonts w:hint="eastAsia" w:eastAsia="楷体_GB2312"/>
          <w:color w:val="1A1A1A" w:themeColor="background1" w:themeShade="1A"/>
          <w:sz w:val="32"/>
          <w:szCs w:val="32"/>
        </w:rPr>
        <w:t>（生态环境分局、区自然资源局、区水务局、区农业农村局、区气象局等按职责分工负责）</w:t>
      </w:r>
    </w:p>
    <w:p>
      <w:pPr>
        <w:adjustRightInd w:val="0"/>
        <w:spacing w:before="156" w:beforeLines="50" w:after="156" w:afterLines="50"/>
        <w:jc w:val="center"/>
        <w:textAlignment w:val="baseline"/>
        <w:outlineLvl w:val="1"/>
        <w:rPr>
          <w:rFonts w:eastAsia="楷体_GB2312"/>
          <w:b/>
          <w:color w:val="1A1A1A" w:themeColor="background1" w:themeShade="1A"/>
          <w:sz w:val="32"/>
          <w:szCs w:val="32"/>
        </w:rPr>
      </w:pPr>
      <w:bookmarkStart w:id="122" w:name="_Toc116030758"/>
      <w:r>
        <w:rPr>
          <w:rFonts w:eastAsia="楷体_GB2312"/>
          <w:b/>
          <w:color w:val="1A1A1A" w:themeColor="background1" w:themeShade="1A"/>
          <w:sz w:val="32"/>
          <w:szCs w:val="32"/>
        </w:rPr>
        <w:t xml:space="preserve">第五节  </w:t>
      </w:r>
      <w:r>
        <w:rPr>
          <w:rFonts w:hint="eastAsia" w:eastAsia="楷体_GB2312"/>
          <w:b/>
          <w:color w:val="1A1A1A" w:themeColor="background1" w:themeShade="1A"/>
          <w:sz w:val="32"/>
          <w:szCs w:val="32"/>
        </w:rPr>
        <w:t>推动落实评估</w:t>
      </w:r>
      <w:bookmarkEnd w:id="122"/>
    </w:p>
    <w:p>
      <w:pPr>
        <w:pStyle w:val="46"/>
        <w:spacing w:line="360" w:lineRule="auto"/>
        <w:ind w:firstLine="640"/>
        <w:rPr>
          <w:rFonts w:eastAsia="仿宋_GB2312"/>
          <w:color w:val="1A1A1A" w:themeColor="background1" w:themeShade="1A"/>
          <w:sz w:val="32"/>
          <w:szCs w:val="32"/>
        </w:rPr>
      </w:pPr>
      <w:r>
        <w:rPr>
          <w:rFonts w:eastAsia="仿宋_GB2312"/>
          <w:color w:val="1A1A1A" w:themeColor="background1" w:themeShade="1A"/>
          <w:sz w:val="32"/>
          <w:szCs w:val="32"/>
        </w:rPr>
        <w:t>各</w:t>
      </w:r>
      <w:r>
        <w:rPr>
          <w:rFonts w:hint="eastAsia" w:eastAsia="仿宋_GB2312"/>
          <w:color w:val="1A1A1A" w:themeColor="background1" w:themeShade="1A"/>
          <w:sz w:val="32"/>
          <w:szCs w:val="32"/>
        </w:rPr>
        <w:t>镇街、</w:t>
      </w:r>
      <w:r>
        <w:rPr>
          <w:rFonts w:eastAsia="仿宋_GB2312"/>
          <w:color w:val="1A1A1A" w:themeColor="background1" w:themeShade="1A"/>
          <w:sz w:val="32"/>
          <w:szCs w:val="32"/>
        </w:rPr>
        <w:t>各</w:t>
      </w:r>
      <w:r>
        <w:rPr>
          <w:rFonts w:hint="eastAsia" w:eastAsia="仿宋_GB2312"/>
          <w:color w:val="1A1A1A" w:themeColor="background1" w:themeShade="1A"/>
          <w:sz w:val="32"/>
          <w:szCs w:val="32"/>
        </w:rPr>
        <w:t>有关</w:t>
      </w:r>
      <w:r>
        <w:rPr>
          <w:rFonts w:eastAsia="仿宋_GB2312"/>
          <w:color w:val="1A1A1A" w:themeColor="background1" w:themeShade="1A"/>
          <w:sz w:val="32"/>
          <w:szCs w:val="32"/>
        </w:rPr>
        <w:t>部门要认真落实本规划要求，积极推进任务落实，每年对规划执行情况进行总结。</w:t>
      </w:r>
      <w:r>
        <w:rPr>
          <w:rFonts w:hint="eastAsia" w:eastAsia="仿宋_GB2312"/>
          <w:color w:val="1A1A1A" w:themeColor="background1" w:themeShade="1A"/>
          <w:sz w:val="32"/>
          <w:szCs w:val="32"/>
        </w:rPr>
        <w:t>生态环境分局</w:t>
      </w:r>
      <w:r>
        <w:rPr>
          <w:rFonts w:eastAsia="仿宋_GB2312"/>
          <w:color w:val="1A1A1A" w:themeColor="background1" w:themeShade="1A"/>
          <w:sz w:val="32"/>
          <w:szCs w:val="32"/>
        </w:rPr>
        <w:t>会同相关部门围绕本规划目标指标、重点任务、重大工程进展情况进行调度，</w:t>
      </w:r>
      <w:r>
        <w:rPr>
          <w:rFonts w:hint="eastAsia" w:eastAsia="仿宋_GB2312"/>
          <w:color w:val="1A1A1A" w:themeColor="background1" w:themeShade="1A"/>
          <w:sz w:val="32"/>
          <w:szCs w:val="32"/>
        </w:rPr>
        <w:t>依法开展规划实施评估，强化动态管理，努力提高规划实施的效果。在2023年、2025年年底前，分别对本规划执行情况进行中期评估和终期评估，评估结果向区政府报告，向社会公布。积极建设政府与企业、社会的互动平台，健全信息沟通和交流机制，充分调动全社会力量，增进最大共识度，形成最大凝聚力，促进规划有效实施。</w:t>
      </w:r>
      <w:bookmarkEnd w:id="76"/>
      <w:bookmarkEnd w:id="77"/>
      <w:r>
        <w:rPr>
          <w:rFonts w:hint="eastAsia" w:eastAsia="楷体_GB2312"/>
          <w:color w:val="1A1A1A" w:themeColor="background1" w:themeShade="1A"/>
          <w:sz w:val="32"/>
          <w:szCs w:val="32"/>
        </w:rPr>
        <w:t>（责任单位：生态环境分局）</w:t>
      </w:r>
    </w:p>
    <w:sectPr>
      <w:footerReference r:id="rId4" w:type="default"/>
      <w:pgSz w:w="11906" w:h="16838"/>
      <w:pgMar w:top="1588" w:right="1474" w:bottom="1474" w:left="1588" w:header="851"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oto Sans CJK JP Medium">
    <w:panose1 w:val="020B0600000000000000"/>
    <w:charset w:val="86"/>
    <w:family w:val="swiss"/>
    <w:pitch w:val="default"/>
    <w:sig w:usb0="30000083" w:usb1="2BDF3C10" w:usb2="00000016" w:usb3="00000000" w:csb0="602E0107"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Tahoma">
    <w:altName w:val="Droid Sans"/>
    <w:panose1 w:val="020B0604030504040204"/>
    <w:charset w:val="00"/>
    <w:family w:val="swiss"/>
    <w:pitch w:val="default"/>
    <w:sig w:usb0="00000000" w:usb1="00000000" w:usb2="00000029" w:usb3="00000000" w:csb0="0001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文星仿宋">
    <w:altName w:val="仿宋"/>
    <w:panose1 w:val="00000000000000000000"/>
    <w:charset w:val="86"/>
    <w:family w:val="modern"/>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983234"/>
    </w:sdtPr>
    <w:sdtEndPr>
      <w:rPr>
        <w:sz w:val="21"/>
        <w:szCs w:val="21"/>
      </w:rPr>
    </w:sdtEndPr>
    <w:sdtContent>
      <w:p>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I</w:t>
        </w:r>
        <w:r>
          <w:rPr>
            <w:sz w:val="21"/>
            <w:szCs w:val="21"/>
          </w:rPr>
          <w:fldChar w:fldCharType="end"/>
        </w:r>
      </w:p>
    </w:sdtContent>
  </w:sdt>
  <w:p>
    <w:pPr>
      <w:pStyle w:val="1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hAnsi="仿宋_GB2312" w:eastAsia="仿宋_GB2312" w:cs="仿宋_GB2312"/>
        <w:sz w:val="21"/>
        <w:szCs w:val="22"/>
      </w:rPr>
      <w:id w:val="-226924376"/>
    </w:sdtPr>
    <w:sdtEndPr>
      <w:rPr>
        <w:rFonts w:hint="eastAsia" w:ascii="仿宋_GB2312" w:hAnsi="仿宋_GB2312" w:eastAsia="仿宋_GB2312" w:cs="仿宋_GB2312"/>
        <w:sz w:val="21"/>
        <w:szCs w:val="21"/>
      </w:rPr>
    </w:sdtEndPr>
    <w:sdtContent>
      <w:p>
        <w:pPr>
          <w:pStyle w:val="13"/>
          <w:jc w:val="center"/>
          <w:rPr>
            <w:sz w:val="21"/>
            <w:szCs w:val="21"/>
          </w:rPr>
        </w:pPr>
        <w:r>
          <w:rPr>
            <w:rFonts w:ascii="仿宋_GB2312" w:hAnsi="仿宋_GB2312" w:eastAsia="仿宋_GB2312" w:cs="仿宋_GB2312"/>
            <w:sz w:val="24"/>
            <w:szCs w:val="24"/>
          </w:rPr>
          <w:fldChar w:fldCharType="begin"/>
        </w:r>
        <w:r>
          <w:rPr>
            <w:rFonts w:ascii="仿宋_GB2312" w:hAnsi="仿宋_GB2312" w:eastAsia="仿宋_GB2312" w:cs="仿宋_GB2312"/>
            <w:sz w:val="24"/>
            <w:szCs w:val="24"/>
          </w:rPr>
          <w:instrText xml:space="preserve">PAGE   \* MERGEFORMAT</w:instrText>
        </w:r>
        <w:r>
          <w:rPr>
            <w:rFonts w:ascii="仿宋_GB2312" w:hAnsi="仿宋_GB2312" w:eastAsia="仿宋_GB2312" w:cs="仿宋_GB2312"/>
            <w:sz w:val="24"/>
            <w:szCs w:val="24"/>
          </w:rPr>
          <w:fldChar w:fldCharType="separate"/>
        </w:r>
        <w:r>
          <w:rPr>
            <w:rFonts w:ascii="仿宋_GB2312" w:hAnsi="仿宋_GB2312" w:eastAsia="仿宋_GB2312" w:cs="仿宋_GB2312"/>
            <w:sz w:val="24"/>
            <w:szCs w:val="24"/>
            <w:lang w:val="zh-CN"/>
          </w:rPr>
          <w:t>-</w:t>
        </w:r>
        <w:r>
          <w:rPr>
            <w:rFonts w:ascii="仿宋_GB2312" w:hAnsi="仿宋_GB2312" w:eastAsia="仿宋_GB2312" w:cs="仿宋_GB2312"/>
            <w:sz w:val="24"/>
            <w:szCs w:val="24"/>
          </w:rPr>
          <w:t xml:space="preserve"> 2 -</w:t>
        </w:r>
        <w:r>
          <w:rPr>
            <w:rFonts w:ascii="仿宋_GB2312" w:hAnsi="仿宋_GB2312" w:eastAsia="仿宋_GB2312" w:cs="仿宋_GB2312"/>
            <w:sz w:val="24"/>
            <w:szCs w:val="24"/>
          </w:rPr>
          <w:fldChar w:fldCharType="end"/>
        </w:r>
      </w:p>
    </w:sdtContent>
  </w:sdt>
  <w:p>
    <w:pPr>
      <w:pStyle w:val="13"/>
      <w:jc w:val="right"/>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B2270"/>
    <w:multiLevelType w:val="multilevel"/>
    <w:tmpl w:val="5CCB2270"/>
    <w:lvl w:ilvl="0" w:tentative="0">
      <w:start w:val="1"/>
      <w:numFmt w:val="japaneseCounting"/>
      <w:pStyle w:val="39"/>
      <w:lvlText w:val="（%1）"/>
      <w:lvlJc w:val="left"/>
      <w:pPr>
        <w:ind w:left="2220" w:hanging="1080"/>
      </w:pPr>
      <w:rPr>
        <w:rFonts w:hint="default" w:cs="Times New Roman"/>
      </w:rPr>
    </w:lvl>
    <w:lvl w:ilvl="1" w:tentative="0">
      <w:start w:val="1"/>
      <w:numFmt w:val="lowerLetter"/>
      <w:lvlText w:val="%2)"/>
      <w:lvlJc w:val="left"/>
      <w:pPr>
        <w:ind w:left="1980" w:hanging="420"/>
      </w:pPr>
      <w:rPr>
        <w:rFonts w:cs="Times New Roman"/>
      </w:rPr>
    </w:lvl>
    <w:lvl w:ilvl="2" w:tentative="0">
      <w:start w:val="1"/>
      <w:numFmt w:val="lowerRoman"/>
      <w:lvlText w:val="%3."/>
      <w:lvlJc w:val="right"/>
      <w:pPr>
        <w:ind w:left="2400" w:hanging="420"/>
      </w:pPr>
      <w:rPr>
        <w:rFonts w:cs="Times New Roman"/>
      </w:rPr>
    </w:lvl>
    <w:lvl w:ilvl="3" w:tentative="0">
      <w:start w:val="1"/>
      <w:numFmt w:val="decimal"/>
      <w:lvlText w:val="%4."/>
      <w:lvlJc w:val="left"/>
      <w:pPr>
        <w:ind w:left="2820" w:hanging="420"/>
      </w:pPr>
      <w:rPr>
        <w:rFonts w:cs="Times New Roman"/>
      </w:rPr>
    </w:lvl>
    <w:lvl w:ilvl="4" w:tentative="0">
      <w:start w:val="1"/>
      <w:numFmt w:val="lowerLetter"/>
      <w:lvlText w:val="%5)"/>
      <w:lvlJc w:val="left"/>
      <w:pPr>
        <w:ind w:left="3240" w:hanging="420"/>
      </w:pPr>
      <w:rPr>
        <w:rFonts w:cs="Times New Roman"/>
      </w:rPr>
    </w:lvl>
    <w:lvl w:ilvl="5" w:tentative="0">
      <w:start w:val="1"/>
      <w:numFmt w:val="lowerRoman"/>
      <w:lvlText w:val="%6."/>
      <w:lvlJc w:val="right"/>
      <w:pPr>
        <w:ind w:left="3660" w:hanging="420"/>
      </w:pPr>
      <w:rPr>
        <w:rFonts w:cs="Times New Roman"/>
      </w:rPr>
    </w:lvl>
    <w:lvl w:ilvl="6" w:tentative="0">
      <w:start w:val="1"/>
      <w:numFmt w:val="decimal"/>
      <w:lvlText w:val="%7."/>
      <w:lvlJc w:val="left"/>
      <w:pPr>
        <w:ind w:left="4080" w:hanging="420"/>
      </w:pPr>
      <w:rPr>
        <w:rFonts w:cs="Times New Roman"/>
      </w:rPr>
    </w:lvl>
    <w:lvl w:ilvl="7" w:tentative="0">
      <w:start w:val="1"/>
      <w:numFmt w:val="lowerLetter"/>
      <w:lvlText w:val="%8)"/>
      <w:lvlJc w:val="left"/>
      <w:pPr>
        <w:ind w:left="4500" w:hanging="420"/>
      </w:pPr>
      <w:rPr>
        <w:rFonts w:cs="Times New Roman"/>
      </w:rPr>
    </w:lvl>
    <w:lvl w:ilvl="8" w:tentative="0">
      <w:start w:val="1"/>
      <w:numFmt w:val="lowerRoman"/>
      <w:lvlText w:val="%9."/>
      <w:lvlJc w:val="right"/>
      <w:pPr>
        <w:ind w:left="49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156"/>
  <w:displayHorizontalDrawingGridEvery w:val="2"/>
  <w:displayVerticalDrawingGridEvery w:val="2"/>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ZjA4N2QyM2FkNGQ4NDg0NzdjMTY5ZGMxYWFlZDgifQ=="/>
  </w:docVars>
  <w:rsids>
    <w:rsidRoot w:val="00ED51EE"/>
    <w:rsid w:val="0000029B"/>
    <w:rsid w:val="00000954"/>
    <w:rsid w:val="00001314"/>
    <w:rsid w:val="00001E4B"/>
    <w:rsid w:val="0000259D"/>
    <w:rsid w:val="000032A8"/>
    <w:rsid w:val="00003829"/>
    <w:rsid w:val="00003A96"/>
    <w:rsid w:val="00003BBB"/>
    <w:rsid w:val="000048AA"/>
    <w:rsid w:val="00005B41"/>
    <w:rsid w:val="00006594"/>
    <w:rsid w:val="0000695A"/>
    <w:rsid w:val="00006C67"/>
    <w:rsid w:val="000073CB"/>
    <w:rsid w:val="0000777F"/>
    <w:rsid w:val="0001033C"/>
    <w:rsid w:val="000105F2"/>
    <w:rsid w:val="0001167A"/>
    <w:rsid w:val="00011969"/>
    <w:rsid w:val="00012031"/>
    <w:rsid w:val="000128C3"/>
    <w:rsid w:val="0001294A"/>
    <w:rsid w:val="00012A63"/>
    <w:rsid w:val="000133DE"/>
    <w:rsid w:val="00013F73"/>
    <w:rsid w:val="00014110"/>
    <w:rsid w:val="000143CC"/>
    <w:rsid w:val="00014535"/>
    <w:rsid w:val="00014ABF"/>
    <w:rsid w:val="0001500A"/>
    <w:rsid w:val="000153A1"/>
    <w:rsid w:val="00015A6D"/>
    <w:rsid w:val="00015F30"/>
    <w:rsid w:val="00016E13"/>
    <w:rsid w:val="00017053"/>
    <w:rsid w:val="00017BCD"/>
    <w:rsid w:val="00017FCB"/>
    <w:rsid w:val="00020182"/>
    <w:rsid w:val="00020452"/>
    <w:rsid w:val="000206B9"/>
    <w:rsid w:val="00020BB0"/>
    <w:rsid w:val="00020FA3"/>
    <w:rsid w:val="000210F4"/>
    <w:rsid w:val="00021100"/>
    <w:rsid w:val="0002135B"/>
    <w:rsid w:val="0002195A"/>
    <w:rsid w:val="00022BC7"/>
    <w:rsid w:val="0002301B"/>
    <w:rsid w:val="000230F2"/>
    <w:rsid w:val="00024248"/>
    <w:rsid w:val="000249D7"/>
    <w:rsid w:val="00025442"/>
    <w:rsid w:val="0002577A"/>
    <w:rsid w:val="00025A14"/>
    <w:rsid w:val="00026B4C"/>
    <w:rsid w:val="00027143"/>
    <w:rsid w:val="00027508"/>
    <w:rsid w:val="000275A3"/>
    <w:rsid w:val="00027CF1"/>
    <w:rsid w:val="00027D8F"/>
    <w:rsid w:val="00027E23"/>
    <w:rsid w:val="00030052"/>
    <w:rsid w:val="00030648"/>
    <w:rsid w:val="00030EAA"/>
    <w:rsid w:val="0003150D"/>
    <w:rsid w:val="00031B58"/>
    <w:rsid w:val="000331D9"/>
    <w:rsid w:val="00033369"/>
    <w:rsid w:val="0003342C"/>
    <w:rsid w:val="000337FA"/>
    <w:rsid w:val="00033B13"/>
    <w:rsid w:val="00033B5F"/>
    <w:rsid w:val="00033C2D"/>
    <w:rsid w:val="00034099"/>
    <w:rsid w:val="00034C71"/>
    <w:rsid w:val="00035157"/>
    <w:rsid w:val="00035245"/>
    <w:rsid w:val="0003607E"/>
    <w:rsid w:val="00036643"/>
    <w:rsid w:val="000372CB"/>
    <w:rsid w:val="00037BE9"/>
    <w:rsid w:val="00037C76"/>
    <w:rsid w:val="00037C9A"/>
    <w:rsid w:val="00040480"/>
    <w:rsid w:val="000405AC"/>
    <w:rsid w:val="0004085C"/>
    <w:rsid w:val="00040888"/>
    <w:rsid w:val="00040D7B"/>
    <w:rsid w:val="00040F56"/>
    <w:rsid w:val="00041492"/>
    <w:rsid w:val="000415B7"/>
    <w:rsid w:val="00042342"/>
    <w:rsid w:val="00042C4A"/>
    <w:rsid w:val="00043530"/>
    <w:rsid w:val="00043BB6"/>
    <w:rsid w:val="00043DCC"/>
    <w:rsid w:val="00043EC0"/>
    <w:rsid w:val="00044BBD"/>
    <w:rsid w:val="00044BEA"/>
    <w:rsid w:val="00044E0E"/>
    <w:rsid w:val="000455BE"/>
    <w:rsid w:val="000457B4"/>
    <w:rsid w:val="00046082"/>
    <w:rsid w:val="00046B78"/>
    <w:rsid w:val="000478F0"/>
    <w:rsid w:val="00047952"/>
    <w:rsid w:val="00050693"/>
    <w:rsid w:val="00051C52"/>
    <w:rsid w:val="00051DDB"/>
    <w:rsid w:val="000521B0"/>
    <w:rsid w:val="000527B6"/>
    <w:rsid w:val="00053602"/>
    <w:rsid w:val="0005367B"/>
    <w:rsid w:val="00053739"/>
    <w:rsid w:val="000539BD"/>
    <w:rsid w:val="00053BFD"/>
    <w:rsid w:val="00053C94"/>
    <w:rsid w:val="00054343"/>
    <w:rsid w:val="000544BD"/>
    <w:rsid w:val="00054F11"/>
    <w:rsid w:val="000558E5"/>
    <w:rsid w:val="00056446"/>
    <w:rsid w:val="00056538"/>
    <w:rsid w:val="000569CB"/>
    <w:rsid w:val="00056A60"/>
    <w:rsid w:val="000573DC"/>
    <w:rsid w:val="0005774A"/>
    <w:rsid w:val="00057C15"/>
    <w:rsid w:val="00057E4E"/>
    <w:rsid w:val="000603F9"/>
    <w:rsid w:val="0006043E"/>
    <w:rsid w:val="00060AC6"/>
    <w:rsid w:val="00060F24"/>
    <w:rsid w:val="00061060"/>
    <w:rsid w:val="000611C6"/>
    <w:rsid w:val="00061C80"/>
    <w:rsid w:val="000621F2"/>
    <w:rsid w:val="00062698"/>
    <w:rsid w:val="000626E4"/>
    <w:rsid w:val="0006327F"/>
    <w:rsid w:val="000634D9"/>
    <w:rsid w:val="00063A02"/>
    <w:rsid w:val="00063CF1"/>
    <w:rsid w:val="00063FAD"/>
    <w:rsid w:val="0006401C"/>
    <w:rsid w:val="000650C8"/>
    <w:rsid w:val="000650F5"/>
    <w:rsid w:val="000663C7"/>
    <w:rsid w:val="0006661A"/>
    <w:rsid w:val="0006683D"/>
    <w:rsid w:val="0006716B"/>
    <w:rsid w:val="000672CA"/>
    <w:rsid w:val="000677A1"/>
    <w:rsid w:val="000702E7"/>
    <w:rsid w:val="000707D5"/>
    <w:rsid w:val="00071C82"/>
    <w:rsid w:val="00071ED5"/>
    <w:rsid w:val="0007207E"/>
    <w:rsid w:val="000720E2"/>
    <w:rsid w:val="00072106"/>
    <w:rsid w:val="0007231D"/>
    <w:rsid w:val="00073201"/>
    <w:rsid w:val="0007381C"/>
    <w:rsid w:val="00073BAB"/>
    <w:rsid w:val="000745F5"/>
    <w:rsid w:val="00074A0F"/>
    <w:rsid w:val="00075EB2"/>
    <w:rsid w:val="00075F5E"/>
    <w:rsid w:val="00076225"/>
    <w:rsid w:val="00076482"/>
    <w:rsid w:val="00076F87"/>
    <w:rsid w:val="000773FB"/>
    <w:rsid w:val="00077A88"/>
    <w:rsid w:val="00080125"/>
    <w:rsid w:val="00081AAD"/>
    <w:rsid w:val="00081CA7"/>
    <w:rsid w:val="0008201D"/>
    <w:rsid w:val="0008217D"/>
    <w:rsid w:val="0008396F"/>
    <w:rsid w:val="00083BFC"/>
    <w:rsid w:val="00084148"/>
    <w:rsid w:val="000841FA"/>
    <w:rsid w:val="00084931"/>
    <w:rsid w:val="00084EE5"/>
    <w:rsid w:val="00085268"/>
    <w:rsid w:val="0008584C"/>
    <w:rsid w:val="00085F1A"/>
    <w:rsid w:val="000868A4"/>
    <w:rsid w:val="000869B6"/>
    <w:rsid w:val="000873E1"/>
    <w:rsid w:val="00087AE9"/>
    <w:rsid w:val="000906EA"/>
    <w:rsid w:val="00090721"/>
    <w:rsid w:val="00090DCE"/>
    <w:rsid w:val="00090E9C"/>
    <w:rsid w:val="000919CA"/>
    <w:rsid w:val="00092FE1"/>
    <w:rsid w:val="00093208"/>
    <w:rsid w:val="000935DB"/>
    <w:rsid w:val="0009375E"/>
    <w:rsid w:val="000947AF"/>
    <w:rsid w:val="00094F37"/>
    <w:rsid w:val="00095BA2"/>
    <w:rsid w:val="000977E9"/>
    <w:rsid w:val="000A0175"/>
    <w:rsid w:val="000A0A06"/>
    <w:rsid w:val="000A0DAF"/>
    <w:rsid w:val="000A187D"/>
    <w:rsid w:val="000A1B9F"/>
    <w:rsid w:val="000A2F94"/>
    <w:rsid w:val="000A3C21"/>
    <w:rsid w:val="000A3CA3"/>
    <w:rsid w:val="000A3FE5"/>
    <w:rsid w:val="000A4C11"/>
    <w:rsid w:val="000A5155"/>
    <w:rsid w:val="000A5841"/>
    <w:rsid w:val="000A5F91"/>
    <w:rsid w:val="000A69D8"/>
    <w:rsid w:val="000A6AF2"/>
    <w:rsid w:val="000A731E"/>
    <w:rsid w:val="000A75D4"/>
    <w:rsid w:val="000A7640"/>
    <w:rsid w:val="000A77F7"/>
    <w:rsid w:val="000A7FBA"/>
    <w:rsid w:val="000B031F"/>
    <w:rsid w:val="000B0C7C"/>
    <w:rsid w:val="000B0E2F"/>
    <w:rsid w:val="000B0F83"/>
    <w:rsid w:val="000B14DE"/>
    <w:rsid w:val="000B1522"/>
    <w:rsid w:val="000B203D"/>
    <w:rsid w:val="000B2254"/>
    <w:rsid w:val="000B236D"/>
    <w:rsid w:val="000B24E3"/>
    <w:rsid w:val="000B31CA"/>
    <w:rsid w:val="000B328E"/>
    <w:rsid w:val="000B36B8"/>
    <w:rsid w:val="000B37D2"/>
    <w:rsid w:val="000B3C08"/>
    <w:rsid w:val="000B3F2F"/>
    <w:rsid w:val="000B3F8D"/>
    <w:rsid w:val="000B4185"/>
    <w:rsid w:val="000B4283"/>
    <w:rsid w:val="000B6B1C"/>
    <w:rsid w:val="000B6FD3"/>
    <w:rsid w:val="000C0267"/>
    <w:rsid w:val="000C1392"/>
    <w:rsid w:val="000C17DA"/>
    <w:rsid w:val="000C19AC"/>
    <w:rsid w:val="000C1C9C"/>
    <w:rsid w:val="000C2105"/>
    <w:rsid w:val="000C29E5"/>
    <w:rsid w:val="000C2BED"/>
    <w:rsid w:val="000C39ED"/>
    <w:rsid w:val="000C3D34"/>
    <w:rsid w:val="000C3D49"/>
    <w:rsid w:val="000C4B5A"/>
    <w:rsid w:val="000C4FC3"/>
    <w:rsid w:val="000C50BA"/>
    <w:rsid w:val="000C53BE"/>
    <w:rsid w:val="000C5F2D"/>
    <w:rsid w:val="000C60E6"/>
    <w:rsid w:val="000C65FD"/>
    <w:rsid w:val="000C66AD"/>
    <w:rsid w:val="000C6808"/>
    <w:rsid w:val="000C7080"/>
    <w:rsid w:val="000C7146"/>
    <w:rsid w:val="000C75B3"/>
    <w:rsid w:val="000C79EF"/>
    <w:rsid w:val="000D04DD"/>
    <w:rsid w:val="000D05CE"/>
    <w:rsid w:val="000D07D0"/>
    <w:rsid w:val="000D08C8"/>
    <w:rsid w:val="000D0D6C"/>
    <w:rsid w:val="000D150A"/>
    <w:rsid w:val="000D15C9"/>
    <w:rsid w:val="000D16EE"/>
    <w:rsid w:val="000D176B"/>
    <w:rsid w:val="000D231F"/>
    <w:rsid w:val="000D26E5"/>
    <w:rsid w:val="000D298C"/>
    <w:rsid w:val="000D2F0D"/>
    <w:rsid w:val="000D3896"/>
    <w:rsid w:val="000D4110"/>
    <w:rsid w:val="000D52F6"/>
    <w:rsid w:val="000D646E"/>
    <w:rsid w:val="000D6D42"/>
    <w:rsid w:val="000D790C"/>
    <w:rsid w:val="000D7BD5"/>
    <w:rsid w:val="000E0758"/>
    <w:rsid w:val="000E0BB2"/>
    <w:rsid w:val="000E1151"/>
    <w:rsid w:val="000E1C3E"/>
    <w:rsid w:val="000E200B"/>
    <w:rsid w:val="000E3EA3"/>
    <w:rsid w:val="000E4726"/>
    <w:rsid w:val="000E4D39"/>
    <w:rsid w:val="000E5221"/>
    <w:rsid w:val="000E52A6"/>
    <w:rsid w:val="000E53CC"/>
    <w:rsid w:val="000E5C3B"/>
    <w:rsid w:val="000E69C0"/>
    <w:rsid w:val="000E6B6B"/>
    <w:rsid w:val="000E6B91"/>
    <w:rsid w:val="000E70E1"/>
    <w:rsid w:val="000E75D0"/>
    <w:rsid w:val="000E7705"/>
    <w:rsid w:val="000E7C72"/>
    <w:rsid w:val="000E7D0A"/>
    <w:rsid w:val="000F0624"/>
    <w:rsid w:val="000F0714"/>
    <w:rsid w:val="000F2684"/>
    <w:rsid w:val="000F2857"/>
    <w:rsid w:val="000F28B1"/>
    <w:rsid w:val="000F2961"/>
    <w:rsid w:val="000F304E"/>
    <w:rsid w:val="000F331C"/>
    <w:rsid w:val="000F33A5"/>
    <w:rsid w:val="000F3A2A"/>
    <w:rsid w:val="000F44A8"/>
    <w:rsid w:val="000F4504"/>
    <w:rsid w:val="000F4618"/>
    <w:rsid w:val="000F5179"/>
    <w:rsid w:val="000F54A7"/>
    <w:rsid w:val="000F5919"/>
    <w:rsid w:val="000F5A51"/>
    <w:rsid w:val="000F5B51"/>
    <w:rsid w:val="000F6179"/>
    <w:rsid w:val="000F617F"/>
    <w:rsid w:val="000F63D0"/>
    <w:rsid w:val="000F71E8"/>
    <w:rsid w:val="000F723C"/>
    <w:rsid w:val="000F7A46"/>
    <w:rsid w:val="000F7C5A"/>
    <w:rsid w:val="00100354"/>
    <w:rsid w:val="001004B2"/>
    <w:rsid w:val="00100EDC"/>
    <w:rsid w:val="001012C3"/>
    <w:rsid w:val="001019BC"/>
    <w:rsid w:val="00101B31"/>
    <w:rsid w:val="00101F49"/>
    <w:rsid w:val="00102316"/>
    <w:rsid w:val="001024A1"/>
    <w:rsid w:val="00102F06"/>
    <w:rsid w:val="00103676"/>
    <w:rsid w:val="00104074"/>
    <w:rsid w:val="001045E7"/>
    <w:rsid w:val="001053A8"/>
    <w:rsid w:val="00105A07"/>
    <w:rsid w:val="00105E92"/>
    <w:rsid w:val="00106210"/>
    <w:rsid w:val="00106AB1"/>
    <w:rsid w:val="00106E8D"/>
    <w:rsid w:val="00107483"/>
    <w:rsid w:val="00107506"/>
    <w:rsid w:val="0010779B"/>
    <w:rsid w:val="00107EAC"/>
    <w:rsid w:val="00110DC3"/>
    <w:rsid w:val="001111E9"/>
    <w:rsid w:val="00111404"/>
    <w:rsid w:val="001117B5"/>
    <w:rsid w:val="001119FE"/>
    <w:rsid w:val="00111CAB"/>
    <w:rsid w:val="00111E6E"/>
    <w:rsid w:val="0011219F"/>
    <w:rsid w:val="00112310"/>
    <w:rsid w:val="00113D9E"/>
    <w:rsid w:val="001142E7"/>
    <w:rsid w:val="00114377"/>
    <w:rsid w:val="001146D6"/>
    <w:rsid w:val="0011500C"/>
    <w:rsid w:val="0011549D"/>
    <w:rsid w:val="00115990"/>
    <w:rsid w:val="001165ED"/>
    <w:rsid w:val="00117F3D"/>
    <w:rsid w:val="001204E6"/>
    <w:rsid w:val="001208D4"/>
    <w:rsid w:val="0012117C"/>
    <w:rsid w:val="00121741"/>
    <w:rsid w:val="00122B47"/>
    <w:rsid w:val="00123096"/>
    <w:rsid w:val="00123358"/>
    <w:rsid w:val="0012338B"/>
    <w:rsid w:val="001238AB"/>
    <w:rsid w:val="00123B07"/>
    <w:rsid w:val="00123BAA"/>
    <w:rsid w:val="00123F06"/>
    <w:rsid w:val="001248DC"/>
    <w:rsid w:val="00124DEF"/>
    <w:rsid w:val="00125FDC"/>
    <w:rsid w:val="00126F1F"/>
    <w:rsid w:val="00127B27"/>
    <w:rsid w:val="00127B9B"/>
    <w:rsid w:val="00130905"/>
    <w:rsid w:val="00130955"/>
    <w:rsid w:val="001309EF"/>
    <w:rsid w:val="001311D3"/>
    <w:rsid w:val="00131224"/>
    <w:rsid w:val="00131E29"/>
    <w:rsid w:val="001324F4"/>
    <w:rsid w:val="00132504"/>
    <w:rsid w:val="00132D9C"/>
    <w:rsid w:val="00132DA7"/>
    <w:rsid w:val="00133A3D"/>
    <w:rsid w:val="00134116"/>
    <w:rsid w:val="0013443E"/>
    <w:rsid w:val="001344C1"/>
    <w:rsid w:val="001345BF"/>
    <w:rsid w:val="00135070"/>
    <w:rsid w:val="0013520F"/>
    <w:rsid w:val="00135F8D"/>
    <w:rsid w:val="001369F9"/>
    <w:rsid w:val="00136E87"/>
    <w:rsid w:val="00136EB5"/>
    <w:rsid w:val="0013777B"/>
    <w:rsid w:val="001379ED"/>
    <w:rsid w:val="00137E66"/>
    <w:rsid w:val="00140CC5"/>
    <w:rsid w:val="0014119B"/>
    <w:rsid w:val="00141484"/>
    <w:rsid w:val="001423DB"/>
    <w:rsid w:val="0014243E"/>
    <w:rsid w:val="00142BFC"/>
    <w:rsid w:val="00142D8A"/>
    <w:rsid w:val="00143047"/>
    <w:rsid w:val="001437BB"/>
    <w:rsid w:val="0014380C"/>
    <w:rsid w:val="001441B1"/>
    <w:rsid w:val="001446AE"/>
    <w:rsid w:val="001447ED"/>
    <w:rsid w:val="0014498A"/>
    <w:rsid w:val="001451DD"/>
    <w:rsid w:val="00145ED4"/>
    <w:rsid w:val="0014682F"/>
    <w:rsid w:val="00146CE3"/>
    <w:rsid w:val="00146F12"/>
    <w:rsid w:val="001474CA"/>
    <w:rsid w:val="00147C01"/>
    <w:rsid w:val="00150090"/>
    <w:rsid w:val="00150543"/>
    <w:rsid w:val="00150945"/>
    <w:rsid w:val="001513F2"/>
    <w:rsid w:val="00151468"/>
    <w:rsid w:val="00152816"/>
    <w:rsid w:val="001535E6"/>
    <w:rsid w:val="0015368D"/>
    <w:rsid w:val="00153C8D"/>
    <w:rsid w:val="00153CCE"/>
    <w:rsid w:val="00154479"/>
    <w:rsid w:val="00154BCD"/>
    <w:rsid w:val="00154D21"/>
    <w:rsid w:val="00155108"/>
    <w:rsid w:val="0015531A"/>
    <w:rsid w:val="001553A8"/>
    <w:rsid w:val="00155D3F"/>
    <w:rsid w:val="00155DEA"/>
    <w:rsid w:val="00156063"/>
    <w:rsid w:val="00156545"/>
    <w:rsid w:val="001566CE"/>
    <w:rsid w:val="0015684D"/>
    <w:rsid w:val="0015776E"/>
    <w:rsid w:val="00157F8C"/>
    <w:rsid w:val="0016014D"/>
    <w:rsid w:val="00160212"/>
    <w:rsid w:val="001604DC"/>
    <w:rsid w:val="001606E3"/>
    <w:rsid w:val="00160BB6"/>
    <w:rsid w:val="00161850"/>
    <w:rsid w:val="00162BFE"/>
    <w:rsid w:val="001632EA"/>
    <w:rsid w:val="00164903"/>
    <w:rsid w:val="001650E2"/>
    <w:rsid w:val="00166597"/>
    <w:rsid w:val="00166627"/>
    <w:rsid w:val="0016752C"/>
    <w:rsid w:val="001677B6"/>
    <w:rsid w:val="00170485"/>
    <w:rsid w:val="001707D8"/>
    <w:rsid w:val="00170945"/>
    <w:rsid w:val="00170F10"/>
    <w:rsid w:val="0017102E"/>
    <w:rsid w:val="001713D7"/>
    <w:rsid w:val="001714C2"/>
    <w:rsid w:val="00172868"/>
    <w:rsid w:val="00172A41"/>
    <w:rsid w:val="00173047"/>
    <w:rsid w:val="00173AA7"/>
    <w:rsid w:val="00173DF5"/>
    <w:rsid w:val="001740C7"/>
    <w:rsid w:val="00174180"/>
    <w:rsid w:val="00174B9A"/>
    <w:rsid w:val="00175113"/>
    <w:rsid w:val="001757C0"/>
    <w:rsid w:val="00175EBA"/>
    <w:rsid w:val="001760CA"/>
    <w:rsid w:val="00176228"/>
    <w:rsid w:val="001763ED"/>
    <w:rsid w:val="0017654A"/>
    <w:rsid w:val="00176E5A"/>
    <w:rsid w:val="00177182"/>
    <w:rsid w:val="001775FD"/>
    <w:rsid w:val="001778C4"/>
    <w:rsid w:val="001803DD"/>
    <w:rsid w:val="00180711"/>
    <w:rsid w:val="001807A2"/>
    <w:rsid w:val="001808A5"/>
    <w:rsid w:val="00180E27"/>
    <w:rsid w:val="00181158"/>
    <w:rsid w:val="00181159"/>
    <w:rsid w:val="00181D1B"/>
    <w:rsid w:val="001823C0"/>
    <w:rsid w:val="00182AAE"/>
    <w:rsid w:val="00183976"/>
    <w:rsid w:val="001839E1"/>
    <w:rsid w:val="0018418E"/>
    <w:rsid w:val="00184D11"/>
    <w:rsid w:val="00184D7C"/>
    <w:rsid w:val="0018513C"/>
    <w:rsid w:val="00185220"/>
    <w:rsid w:val="00186173"/>
    <w:rsid w:val="00186627"/>
    <w:rsid w:val="0018692F"/>
    <w:rsid w:val="00187D23"/>
    <w:rsid w:val="001901D9"/>
    <w:rsid w:val="001901E4"/>
    <w:rsid w:val="00190A4E"/>
    <w:rsid w:val="00190B4C"/>
    <w:rsid w:val="00190F6A"/>
    <w:rsid w:val="001910EC"/>
    <w:rsid w:val="00191639"/>
    <w:rsid w:val="001917AA"/>
    <w:rsid w:val="00192660"/>
    <w:rsid w:val="0019292D"/>
    <w:rsid w:val="00193603"/>
    <w:rsid w:val="001938BE"/>
    <w:rsid w:val="00193EA7"/>
    <w:rsid w:val="00193EA9"/>
    <w:rsid w:val="00194209"/>
    <w:rsid w:val="0019429F"/>
    <w:rsid w:val="0019460C"/>
    <w:rsid w:val="001946EC"/>
    <w:rsid w:val="00194AB9"/>
    <w:rsid w:val="00194F58"/>
    <w:rsid w:val="001951CB"/>
    <w:rsid w:val="001958EA"/>
    <w:rsid w:val="00195DCC"/>
    <w:rsid w:val="00195F60"/>
    <w:rsid w:val="001966D3"/>
    <w:rsid w:val="00197B9C"/>
    <w:rsid w:val="00197D2F"/>
    <w:rsid w:val="00197FEC"/>
    <w:rsid w:val="001A03ED"/>
    <w:rsid w:val="001A0B4B"/>
    <w:rsid w:val="001A0B87"/>
    <w:rsid w:val="001A1942"/>
    <w:rsid w:val="001A1C61"/>
    <w:rsid w:val="001A1CCF"/>
    <w:rsid w:val="001A21AD"/>
    <w:rsid w:val="001A2272"/>
    <w:rsid w:val="001A261D"/>
    <w:rsid w:val="001A2B4A"/>
    <w:rsid w:val="001A2B7D"/>
    <w:rsid w:val="001A3B09"/>
    <w:rsid w:val="001A3C4F"/>
    <w:rsid w:val="001A4445"/>
    <w:rsid w:val="001A4587"/>
    <w:rsid w:val="001A4DD9"/>
    <w:rsid w:val="001A4EA4"/>
    <w:rsid w:val="001A5074"/>
    <w:rsid w:val="001A5460"/>
    <w:rsid w:val="001A5681"/>
    <w:rsid w:val="001A57EE"/>
    <w:rsid w:val="001A6429"/>
    <w:rsid w:val="001A65A5"/>
    <w:rsid w:val="001A6D85"/>
    <w:rsid w:val="001A710F"/>
    <w:rsid w:val="001A7303"/>
    <w:rsid w:val="001B018C"/>
    <w:rsid w:val="001B13BF"/>
    <w:rsid w:val="001B1F84"/>
    <w:rsid w:val="001B27EA"/>
    <w:rsid w:val="001B381B"/>
    <w:rsid w:val="001B47BF"/>
    <w:rsid w:val="001B483B"/>
    <w:rsid w:val="001B4988"/>
    <w:rsid w:val="001B5287"/>
    <w:rsid w:val="001B5E86"/>
    <w:rsid w:val="001B6329"/>
    <w:rsid w:val="001B745D"/>
    <w:rsid w:val="001B7C6E"/>
    <w:rsid w:val="001C01F4"/>
    <w:rsid w:val="001C030E"/>
    <w:rsid w:val="001C0488"/>
    <w:rsid w:val="001C0F55"/>
    <w:rsid w:val="001C119E"/>
    <w:rsid w:val="001C1C03"/>
    <w:rsid w:val="001C2349"/>
    <w:rsid w:val="001C2DBF"/>
    <w:rsid w:val="001C343A"/>
    <w:rsid w:val="001C3983"/>
    <w:rsid w:val="001C39FC"/>
    <w:rsid w:val="001C3A92"/>
    <w:rsid w:val="001C4530"/>
    <w:rsid w:val="001C4880"/>
    <w:rsid w:val="001C50CD"/>
    <w:rsid w:val="001C566F"/>
    <w:rsid w:val="001C593F"/>
    <w:rsid w:val="001C5E8A"/>
    <w:rsid w:val="001C6363"/>
    <w:rsid w:val="001C65BE"/>
    <w:rsid w:val="001C6629"/>
    <w:rsid w:val="001C7826"/>
    <w:rsid w:val="001D00B3"/>
    <w:rsid w:val="001D02F1"/>
    <w:rsid w:val="001D0B10"/>
    <w:rsid w:val="001D1122"/>
    <w:rsid w:val="001D137D"/>
    <w:rsid w:val="001D1B02"/>
    <w:rsid w:val="001D1D2C"/>
    <w:rsid w:val="001D2596"/>
    <w:rsid w:val="001D2AF4"/>
    <w:rsid w:val="001D2E75"/>
    <w:rsid w:val="001D39F5"/>
    <w:rsid w:val="001D3C4C"/>
    <w:rsid w:val="001D3E25"/>
    <w:rsid w:val="001D4D2B"/>
    <w:rsid w:val="001D4E84"/>
    <w:rsid w:val="001D51A3"/>
    <w:rsid w:val="001D51A8"/>
    <w:rsid w:val="001D5D4A"/>
    <w:rsid w:val="001D62A5"/>
    <w:rsid w:val="001D6567"/>
    <w:rsid w:val="001D663F"/>
    <w:rsid w:val="001D67C0"/>
    <w:rsid w:val="001D7381"/>
    <w:rsid w:val="001E04CD"/>
    <w:rsid w:val="001E0CAE"/>
    <w:rsid w:val="001E0F25"/>
    <w:rsid w:val="001E10E6"/>
    <w:rsid w:val="001E259E"/>
    <w:rsid w:val="001E289F"/>
    <w:rsid w:val="001E3305"/>
    <w:rsid w:val="001E4DE5"/>
    <w:rsid w:val="001E5B26"/>
    <w:rsid w:val="001E5F56"/>
    <w:rsid w:val="001E6793"/>
    <w:rsid w:val="001E6A9D"/>
    <w:rsid w:val="001E6ECD"/>
    <w:rsid w:val="001E738F"/>
    <w:rsid w:val="001F00F2"/>
    <w:rsid w:val="001F0A76"/>
    <w:rsid w:val="001F135A"/>
    <w:rsid w:val="001F1559"/>
    <w:rsid w:val="001F1B85"/>
    <w:rsid w:val="001F210E"/>
    <w:rsid w:val="001F32FB"/>
    <w:rsid w:val="001F357A"/>
    <w:rsid w:val="001F3918"/>
    <w:rsid w:val="001F412E"/>
    <w:rsid w:val="001F42E8"/>
    <w:rsid w:val="001F4AC9"/>
    <w:rsid w:val="001F4AD3"/>
    <w:rsid w:val="001F4B79"/>
    <w:rsid w:val="001F5C05"/>
    <w:rsid w:val="001F6242"/>
    <w:rsid w:val="001F687B"/>
    <w:rsid w:val="001F6ED8"/>
    <w:rsid w:val="001F704B"/>
    <w:rsid w:val="001F7573"/>
    <w:rsid w:val="0020027D"/>
    <w:rsid w:val="00200804"/>
    <w:rsid w:val="00200AAB"/>
    <w:rsid w:val="00200CCD"/>
    <w:rsid w:val="0020124E"/>
    <w:rsid w:val="002013C2"/>
    <w:rsid w:val="002017FC"/>
    <w:rsid w:val="00201C78"/>
    <w:rsid w:val="00201F8E"/>
    <w:rsid w:val="002022F2"/>
    <w:rsid w:val="00202AC7"/>
    <w:rsid w:val="00202DF7"/>
    <w:rsid w:val="002036D6"/>
    <w:rsid w:val="00203A0A"/>
    <w:rsid w:val="00203D02"/>
    <w:rsid w:val="00203E81"/>
    <w:rsid w:val="0020478F"/>
    <w:rsid w:val="00204AB8"/>
    <w:rsid w:val="00205E31"/>
    <w:rsid w:val="0020649D"/>
    <w:rsid w:val="00206523"/>
    <w:rsid w:val="00206A88"/>
    <w:rsid w:val="00206DE2"/>
    <w:rsid w:val="002072E8"/>
    <w:rsid w:val="00207781"/>
    <w:rsid w:val="00207871"/>
    <w:rsid w:val="0020792D"/>
    <w:rsid w:val="00207C0B"/>
    <w:rsid w:val="00207C67"/>
    <w:rsid w:val="00210639"/>
    <w:rsid w:val="0021101E"/>
    <w:rsid w:val="00211738"/>
    <w:rsid w:val="00211CEF"/>
    <w:rsid w:val="00211E15"/>
    <w:rsid w:val="00211E6D"/>
    <w:rsid w:val="0021220E"/>
    <w:rsid w:val="0021257B"/>
    <w:rsid w:val="00212D4F"/>
    <w:rsid w:val="002130A6"/>
    <w:rsid w:val="0021399D"/>
    <w:rsid w:val="00213C2B"/>
    <w:rsid w:val="0021412A"/>
    <w:rsid w:val="002143B5"/>
    <w:rsid w:val="00214C1D"/>
    <w:rsid w:val="00214F61"/>
    <w:rsid w:val="00215B8F"/>
    <w:rsid w:val="0021601F"/>
    <w:rsid w:val="00216100"/>
    <w:rsid w:val="00217021"/>
    <w:rsid w:val="00217211"/>
    <w:rsid w:val="002176E8"/>
    <w:rsid w:val="0021777F"/>
    <w:rsid w:val="00217796"/>
    <w:rsid w:val="0021788B"/>
    <w:rsid w:val="00217FA8"/>
    <w:rsid w:val="00220402"/>
    <w:rsid w:val="002213CE"/>
    <w:rsid w:val="002227B6"/>
    <w:rsid w:val="00222E86"/>
    <w:rsid w:val="0022362F"/>
    <w:rsid w:val="00223C81"/>
    <w:rsid w:val="00223E09"/>
    <w:rsid w:val="00223E9A"/>
    <w:rsid w:val="00223ED7"/>
    <w:rsid w:val="00224438"/>
    <w:rsid w:val="00224751"/>
    <w:rsid w:val="00224E34"/>
    <w:rsid w:val="00225B09"/>
    <w:rsid w:val="00225DF3"/>
    <w:rsid w:val="00226732"/>
    <w:rsid w:val="00226D97"/>
    <w:rsid w:val="00226EF5"/>
    <w:rsid w:val="00226FA2"/>
    <w:rsid w:val="0022762B"/>
    <w:rsid w:val="002276E2"/>
    <w:rsid w:val="00230350"/>
    <w:rsid w:val="00230A65"/>
    <w:rsid w:val="00230DBF"/>
    <w:rsid w:val="002318AE"/>
    <w:rsid w:val="002319B6"/>
    <w:rsid w:val="002320EF"/>
    <w:rsid w:val="002324BB"/>
    <w:rsid w:val="002324E2"/>
    <w:rsid w:val="0023269D"/>
    <w:rsid w:val="00232989"/>
    <w:rsid w:val="00232D0E"/>
    <w:rsid w:val="00233346"/>
    <w:rsid w:val="00233786"/>
    <w:rsid w:val="00233F43"/>
    <w:rsid w:val="00234B95"/>
    <w:rsid w:val="00234BDE"/>
    <w:rsid w:val="00234C20"/>
    <w:rsid w:val="00234C3D"/>
    <w:rsid w:val="00235359"/>
    <w:rsid w:val="002363B8"/>
    <w:rsid w:val="00236402"/>
    <w:rsid w:val="00236C30"/>
    <w:rsid w:val="0023747C"/>
    <w:rsid w:val="00237ABA"/>
    <w:rsid w:val="00237AE1"/>
    <w:rsid w:val="002401A5"/>
    <w:rsid w:val="002407C6"/>
    <w:rsid w:val="00240C42"/>
    <w:rsid w:val="00241128"/>
    <w:rsid w:val="0024197B"/>
    <w:rsid w:val="00241D36"/>
    <w:rsid w:val="00242119"/>
    <w:rsid w:val="0024233D"/>
    <w:rsid w:val="0024334F"/>
    <w:rsid w:val="002435AC"/>
    <w:rsid w:val="002439DD"/>
    <w:rsid w:val="00243A09"/>
    <w:rsid w:val="00243F08"/>
    <w:rsid w:val="00244588"/>
    <w:rsid w:val="002447FF"/>
    <w:rsid w:val="002452C9"/>
    <w:rsid w:val="0024587F"/>
    <w:rsid w:val="00245D7E"/>
    <w:rsid w:val="00246452"/>
    <w:rsid w:val="002467E2"/>
    <w:rsid w:val="002473C0"/>
    <w:rsid w:val="00247449"/>
    <w:rsid w:val="002502A9"/>
    <w:rsid w:val="00250410"/>
    <w:rsid w:val="00250DDB"/>
    <w:rsid w:val="0025130D"/>
    <w:rsid w:val="00251343"/>
    <w:rsid w:val="00251542"/>
    <w:rsid w:val="00251F4D"/>
    <w:rsid w:val="00252689"/>
    <w:rsid w:val="00252A84"/>
    <w:rsid w:val="00252A97"/>
    <w:rsid w:val="00252E66"/>
    <w:rsid w:val="00253075"/>
    <w:rsid w:val="00253603"/>
    <w:rsid w:val="00254931"/>
    <w:rsid w:val="002553C1"/>
    <w:rsid w:val="0025566D"/>
    <w:rsid w:val="00255AD4"/>
    <w:rsid w:val="00255F9C"/>
    <w:rsid w:val="002561DC"/>
    <w:rsid w:val="00256218"/>
    <w:rsid w:val="00256960"/>
    <w:rsid w:val="00256A9D"/>
    <w:rsid w:val="00257112"/>
    <w:rsid w:val="00257436"/>
    <w:rsid w:val="0025774A"/>
    <w:rsid w:val="00257FFA"/>
    <w:rsid w:val="002601B5"/>
    <w:rsid w:val="0026026D"/>
    <w:rsid w:val="00261643"/>
    <w:rsid w:val="00261772"/>
    <w:rsid w:val="002618F1"/>
    <w:rsid w:val="00261F3E"/>
    <w:rsid w:val="00263392"/>
    <w:rsid w:val="0026394D"/>
    <w:rsid w:val="00263960"/>
    <w:rsid w:val="00263A12"/>
    <w:rsid w:val="00263DAD"/>
    <w:rsid w:val="00264264"/>
    <w:rsid w:val="00264904"/>
    <w:rsid w:val="00264998"/>
    <w:rsid w:val="00264C34"/>
    <w:rsid w:val="00265A18"/>
    <w:rsid w:val="00266017"/>
    <w:rsid w:val="0026668B"/>
    <w:rsid w:val="00266A5E"/>
    <w:rsid w:val="002671BE"/>
    <w:rsid w:val="002678B4"/>
    <w:rsid w:val="002704E5"/>
    <w:rsid w:val="00270C75"/>
    <w:rsid w:val="00270FD1"/>
    <w:rsid w:val="0027196C"/>
    <w:rsid w:val="00271C85"/>
    <w:rsid w:val="002722A0"/>
    <w:rsid w:val="002724C2"/>
    <w:rsid w:val="002729A7"/>
    <w:rsid w:val="00273EA0"/>
    <w:rsid w:val="002742FC"/>
    <w:rsid w:val="002749AE"/>
    <w:rsid w:val="002751DA"/>
    <w:rsid w:val="002756ED"/>
    <w:rsid w:val="00275802"/>
    <w:rsid w:val="0027580B"/>
    <w:rsid w:val="0027664B"/>
    <w:rsid w:val="00276866"/>
    <w:rsid w:val="00276FF4"/>
    <w:rsid w:val="0028013B"/>
    <w:rsid w:val="00281122"/>
    <w:rsid w:val="00281DC8"/>
    <w:rsid w:val="0028280F"/>
    <w:rsid w:val="0028285E"/>
    <w:rsid w:val="00283DBA"/>
    <w:rsid w:val="00284477"/>
    <w:rsid w:val="00284530"/>
    <w:rsid w:val="00284952"/>
    <w:rsid w:val="002849EA"/>
    <w:rsid w:val="00284C5A"/>
    <w:rsid w:val="00286037"/>
    <w:rsid w:val="002861E7"/>
    <w:rsid w:val="00286E6A"/>
    <w:rsid w:val="002872FC"/>
    <w:rsid w:val="002907EF"/>
    <w:rsid w:val="00290B29"/>
    <w:rsid w:val="002911CD"/>
    <w:rsid w:val="00291291"/>
    <w:rsid w:val="0029134B"/>
    <w:rsid w:val="002916BD"/>
    <w:rsid w:val="00292218"/>
    <w:rsid w:val="0029274B"/>
    <w:rsid w:val="00292A45"/>
    <w:rsid w:val="00292FFB"/>
    <w:rsid w:val="002932D0"/>
    <w:rsid w:val="002935DF"/>
    <w:rsid w:val="002936E0"/>
    <w:rsid w:val="0029394E"/>
    <w:rsid w:val="00293DE9"/>
    <w:rsid w:val="00293F2B"/>
    <w:rsid w:val="002945FF"/>
    <w:rsid w:val="00294863"/>
    <w:rsid w:val="00295F3A"/>
    <w:rsid w:val="0029620F"/>
    <w:rsid w:val="0029629A"/>
    <w:rsid w:val="00296461"/>
    <w:rsid w:val="00297001"/>
    <w:rsid w:val="002970BE"/>
    <w:rsid w:val="002A0845"/>
    <w:rsid w:val="002A08EC"/>
    <w:rsid w:val="002A0C9D"/>
    <w:rsid w:val="002A102D"/>
    <w:rsid w:val="002A16DA"/>
    <w:rsid w:val="002A175D"/>
    <w:rsid w:val="002A194B"/>
    <w:rsid w:val="002A1BBD"/>
    <w:rsid w:val="002A1D26"/>
    <w:rsid w:val="002A22E1"/>
    <w:rsid w:val="002A253E"/>
    <w:rsid w:val="002A26B8"/>
    <w:rsid w:val="002A30AA"/>
    <w:rsid w:val="002A4B2A"/>
    <w:rsid w:val="002A4CCD"/>
    <w:rsid w:val="002A4E8D"/>
    <w:rsid w:val="002A4F63"/>
    <w:rsid w:val="002A5361"/>
    <w:rsid w:val="002A5B51"/>
    <w:rsid w:val="002A5D20"/>
    <w:rsid w:val="002A61DC"/>
    <w:rsid w:val="002A61F0"/>
    <w:rsid w:val="002A6973"/>
    <w:rsid w:val="002A6CD1"/>
    <w:rsid w:val="002A6E62"/>
    <w:rsid w:val="002A73D0"/>
    <w:rsid w:val="002A73D6"/>
    <w:rsid w:val="002A7A8B"/>
    <w:rsid w:val="002A7C73"/>
    <w:rsid w:val="002B006A"/>
    <w:rsid w:val="002B052C"/>
    <w:rsid w:val="002B0B4D"/>
    <w:rsid w:val="002B0B55"/>
    <w:rsid w:val="002B0F35"/>
    <w:rsid w:val="002B10DE"/>
    <w:rsid w:val="002B11C9"/>
    <w:rsid w:val="002B13B5"/>
    <w:rsid w:val="002B160C"/>
    <w:rsid w:val="002B1862"/>
    <w:rsid w:val="002B2376"/>
    <w:rsid w:val="002B2937"/>
    <w:rsid w:val="002B2EFF"/>
    <w:rsid w:val="002B31C9"/>
    <w:rsid w:val="002B3292"/>
    <w:rsid w:val="002B3E09"/>
    <w:rsid w:val="002B4034"/>
    <w:rsid w:val="002B45EE"/>
    <w:rsid w:val="002B4E2D"/>
    <w:rsid w:val="002B5079"/>
    <w:rsid w:val="002B5134"/>
    <w:rsid w:val="002B597B"/>
    <w:rsid w:val="002B6C23"/>
    <w:rsid w:val="002B6C48"/>
    <w:rsid w:val="002B72F0"/>
    <w:rsid w:val="002B7731"/>
    <w:rsid w:val="002C011D"/>
    <w:rsid w:val="002C0214"/>
    <w:rsid w:val="002C02BF"/>
    <w:rsid w:val="002C088E"/>
    <w:rsid w:val="002C0B32"/>
    <w:rsid w:val="002C10A5"/>
    <w:rsid w:val="002C122B"/>
    <w:rsid w:val="002C12E2"/>
    <w:rsid w:val="002C136E"/>
    <w:rsid w:val="002C1EDF"/>
    <w:rsid w:val="002C27A9"/>
    <w:rsid w:val="002C39F8"/>
    <w:rsid w:val="002C4154"/>
    <w:rsid w:val="002C4EDC"/>
    <w:rsid w:val="002C533F"/>
    <w:rsid w:val="002C5483"/>
    <w:rsid w:val="002C5507"/>
    <w:rsid w:val="002C5561"/>
    <w:rsid w:val="002C561A"/>
    <w:rsid w:val="002C655F"/>
    <w:rsid w:val="002C68D7"/>
    <w:rsid w:val="002C6A6C"/>
    <w:rsid w:val="002C7656"/>
    <w:rsid w:val="002D00C3"/>
    <w:rsid w:val="002D0597"/>
    <w:rsid w:val="002D096A"/>
    <w:rsid w:val="002D17BB"/>
    <w:rsid w:val="002D1B0B"/>
    <w:rsid w:val="002D35B1"/>
    <w:rsid w:val="002D3972"/>
    <w:rsid w:val="002D4008"/>
    <w:rsid w:val="002D53F2"/>
    <w:rsid w:val="002D55BC"/>
    <w:rsid w:val="002D5F50"/>
    <w:rsid w:val="002D6348"/>
    <w:rsid w:val="002D6382"/>
    <w:rsid w:val="002D6AD4"/>
    <w:rsid w:val="002D6BAF"/>
    <w:rsid w:val="002D7559"/>
    <w:rsid w:val="002D7D45"/>
    <w:rsid w:val="002D7D80"/>
    <w:rsid w:val="002D7E65"/>
    <w:rsid w:val="002E0436"/>
    <w:rsid w:val="002E087F"/>
    <w:rsid w:val="002E0E89"/>
    <w:rsid w:val="002E2A19"/>
    <w:rsid w:val="002E2BC7"/>
    <w:rsid w:val="002E2DD3"/>
    <w:rsid w:val="002E2EA2"/>
    <w:rsid w:val="002E37A8"/>
    <w:rsid w:val="002E3A5F"/>
    <w:rsid w:val="002E3F2B"/>
    <w:rsid w:val="002E4246"/>
    <w:rsid w:val="002E580C"/>
    <w:rsid w:val="002E5D2D"/>
    <w:rsid w:val="002E5EF1"/>
    <w:rsid w:val="002E610D"/>
    <w:rsid w:val="002E6B31"/>
    <w:rsid w:val="002E71B2"/>
    <w:rsid w:val="002E7367"/>
    <w:rsid w:val="002E74A7"/>
    <w:rsid w:val="002E76E9"/>
    <w:rsid w:val="002F062D"/>
    <w:rsid w:val="002F156F"/>
    <w:rsid w:val="002F1674"/>
    <w:rsid w:val="002F1A00"/>
    <w:rsid w:val="002F1B99"/>
    <w:rsid w:val="002F27E6"/>
    <w:rsid w:val="002F284A"/>
    <w:rsid w:val="002F28E7"/>
    <w:rsid w:val="002F2CD6"/>
    <w:rsid w:val="002F314B"/>
    <w:rsid w:val="002F3288"/>
    <w:rsid w:val="002F358F"/>
    <w:rsid w:val="002F3950"/>
    <w:rsid w:val="002F3B0E"/>
    <w:rsid w:val="002F3D35"/>
    <w:rsid w:val="002F429D"/>
    <w:rsid w:val="002F444D"/>
    <w:rsid w:val="002F52A7"/>
    <w:rsid w:val="002F5589"/>
    <w:rsid w:val="002F5C37"/>
    <w:rsid w:val="002F5C58"/>
    <w:rsid w:val="002F5F8C"/>
    <w:rsid w:val="002F64EB"/>
    <w:rsid w:val="002F6BF1"/>
    <w:rsid w:val="002F6FC3"/>
    <w:rsid w:val="002F761B"/>
    <w:rsid w:val="002F7A0B"/>
    <w:rsid w:val="00300835"/>
    <w:rsid w:val="0030085C"/>
    <w:rsid w:val="00301519"/>
    <w:rsid w:val="00301DCD"/>
    <w:rsid w:val="00302692"/>
    <w:rsid w:val="00302D53"/>
    <w:rsid w:val="003032A7"/>
    <w:rsid w:val="003032BE"/>
    <w:rsid w:val="00303B64"/>
    <w:rsid w:val="00303C94"/>
    <w:rsid w:val="0030441D"/>
    <w:rsid w:val="00304970"/>
    <w:rsid w:val="00304ABA"/>
    <w:rsid w:val="00304B79"/>
    <w:rsid w:val="0030512B"/>
    <w:rsid w:val="003063BC"/>
    <w:rsid w:val="0030646E"/>
    <w:rsid w:val="00307C1A"/>
    <w:rsid w:val="00307DE8"/>
    <w:rsid w:val="003101CC"/>
    <w:rsid w:val="0031075D"/>
    <w:rsid w:val="0031087F"/>
    <w:rsid w:val="00310B2A"/>
    <w:rsid w:val="0031117C"/>
    <w:rsid w:val="00311567"/>
    <w:rsid w:val="0031182F"/>
    <w:rsid w:val="00311AE6"/>
    <w:rsid w:val="003122DD"/>
    <w:rsid w:val="00313215"/>
    <w:rsid w:val="0031345B"/>
    <w:rsid w:val="00313EC5"/>
    <w:rsid w:val="003143E8"/>
    <w:rsid w:val="00314FE6"/>
    <w:rsid w:val="003162E9"/>
    <w:rsid w:val="00316603"/>
    <w:rsid w:val="00316C27"/>
    <w:rsid w:val="0031721F"/>
    <w:rsid w:val="003203E5"/>
    <w:rsid w:val="00320AFA"/>
    <w:rsid w:val="003212C9"/>
    <w:rsid w:val="00321C8F"/>
    <w:rsid w:val="00321E02"/>
    <w:rsid w:val="00321E97"/>
    <w:rsid w:val="00322C2F"/>
    <w:rsid w:val="003230FF"/>
    <w:rsid w:val="0032348E"/>
    <w:rsid w:val="00323D67"/>
    <w:rsid w:val="00323DCC"/>
    <w:rsid w:val="00324061"/>
    <w:rsid w:val="00324889"/>
    <w:rsid w:val="00324A23"/>
    <w:rsid w:val="00324D32"/>
    <w:rsid w:val="00325C10"/>
    <w:rsid w:val="003268F0"/>
    <w:rsid w:val="00326A8F"/>
    <w:rsid w:val="00326D91"/>
    <w:rsid w:val="00326E50"/>
    <w:rsid w:val="003276D1"/>
    <w:rsid w:val="00327EFC"/>
    <w:rsid w:val="00327FBF"/>
    <w:rsid w:val="003305D8"/>
    <w:rsid w:val="00330865"/>
    <w:rsid w:val="00330A95"/>
    <w:rsid w:val="00330F34"/>
    <w:rsid w:val="003311F4"/>
    <w:rsid w:val="003315C3"/>
    <w:rsid w:val="00331BF6"/>
    <w:rsid w:val="00331C37"/>
    <w:rsid w:val="0033309A"/>
    <w:rsid w:val="00333B60"/>
    <w:rsid w:val="00333D83"/>
    <w:rsid w:val="00333E0E"/>
    <w:rsid w:val="00333E83"/>
    <w:rsid w:val="003344EE"/>
    <w:rsid w:val="003345D4"/>
    <w:rsid w:val="0033486C"/>
    <w:rsid w:val="00334EBB"/>
    <w:rsid w:val="00336F26"/>
    <w:rsid w:val="00337070"/>
    <w:rsid w:val="003376BC"/>
    <w:rsid w:val="003411EA"/>
    <w:rsid w:val="003414A6"/>
    <w:rsid w:val="00341915"/>
    <w:rsid w:val="003422D5"/>
    <w:rsid w:val="00342743"/>
    <w:rsid w:val="00343260"/>
    <w:rsid w:val="003432C0"/>
    <w:rsid w:val="003436F0"/>
    <w:rsid w:val="00343894"/>
    <w:rsid w:val="003438E8"/>
    <w:rsid w:val="003448ED"/>
    <w:rsid w:val="00344E83"/>
    <w:rsid w:val="00345546"/>
    <w:rsid w:val="003459F1"/>
    <w:rsid w:val="003461B9"/>
    <w:rsid w:val="003465A8"/>
    <w:rsid w:val="00346B02"/>
    <w:rsid w:val="00346E57"/>
    <w:rsid w:val="00346FD9"/>
    <w:rsid w:val="0034709C"/>
    <w:rsid w:val="00347506"/>
    <w:rsid w:val="003477C7"/>
    <w:rsid w:val="00347C02"/>
    <w:rsid w:val="0035031D"/>
    <w:rsid w:val="00350401"/>
    <w:rsid w:val="003505E0"/>
    <w:rsid w:val="00350BC9"/>
    <w:rsid w:val="003512A7"/>
    <w:rsid w:val="00351FF0"/>
    <w:rsid w:val="00352000"/>
    <w:rsid w:val="00352524"/>
    <w:rsid w:val="00352C2A"/>
    <w:rsid w:val="0035352E"/>
    <w:rsid w:val="003538E4"/>
    <w:rsid w:val="003539CF"/>
    <w:rsid w:val="00354DB2"/>
    <w:rsid w:val="003550D8"/>
    <w:rsid w:val="0035549F"/>
    <w:rsid w:val="00355E81"/>
    <w:rsid w:val="00355EED"/>
    <w:rsid w:val="00356048"/>
    <w:rsid w:val="00356108"/>
    <w:rsid w:val="00356246"/>
    <w:rsid w:val="003578A7"/>
    <w:rsid w:val="00357C48"/>
    <w:rsid w:val="0036012A"/>
    <w:rsid w:val="00360283"/>
    <w:rsid w:val="0036058B"/>
    <w:rsid w:val="003608C7"/>
    <w:rsid w:val="003617EC"/>
    <w:rsid w:val="00361869"/>
    <w:rsid w:val="0036214B"/>
    <w:rsid w:val="00362166"/>
    <w:rsid w:val="00362505"/>
    <w:rsid w:val="00362BA4"/>
    <w:rsid w:val="0036380C"/>
    <w:rsid w:val="00363E3D"/>
    <w:rsid w:val="00364B59"/>
    <w:rsid w:val="0036558E"/>
    <w:rsid w:val="003661FD"/>
    <w:rsid w:val="00366CE2"/>
    <w:rsid w:val="00367024"/>
    <w:rsid w:val="003672D2"/>
    <w:rsid w:val="003700A3"/>
    <w:rsid w:val="00370667"/>
    <w:rsid w:val="003709F9"/>
    <w:rsid w:val="00371446"/>
    <w:rsid w:val="00371DB2"/>
    <w:rsid w:val="00372D1C"/>
    <w:rsid w:val="0037365F"/>
    <w:rsid w:val="00374C27"/>
    <w:rsid w:val="00374E6C"/>
    <w:rsid w:val="00375449"/>
    <w:rsid w:val="003758AE"/>
    <w:rsid w:val="00375A46"/>
    <w:rsid w:val="00376CC2"/>
    <w:rsid w:val="0037715E"/>
    <w:rsid w:val="00377170"/>
    <w:rsid w:val="003775B5"/>
    <w:rsid w:val="00377769"/>
    <w:rsid w:val="00377A71"/>
    <w:rsid w:val="0038013B"/>
    <w:rsid w:val="003804F1"/>
    <w:rsid w:val="003805F6"/>
    <w:rsid w:val="00381719"/>
    <w:rsid w:val="003817FF"/>
    <w:rsid w:val="00381B8E"/>
    <w:rsid w:val="00381CD0"/>
    <w:rsid w:val="00381E46"/>
    <w:rsid w:val="00383795"/>
    <w:rsid w:val="00383A79"/>
    <w:rsid w:val="00383E3A"/>
    <w:rsid w:val="003841E6"/>
    <w:rsid w:val="003843D9"/>
    <w:rsid w:val="00384CA3"/>
    <w:rsid w:val="00384F7D"/>
    <w:rsid w:val="003857FE"/>
    <w:rsid w:val="00385916"/>
    <w:rsid w:val="003863FA"/>
    <w:rsid w:val="0038672A"/>
    <w:rsid w:val="00386B7E"/>
    <w:rsid w:val="00387039"/>
    <w:rsid w:val="003875CC"/>
    <w:rsid w:val="00387813"/>
    <w:rsid w:val="00387C09"/>
    <w:rsid w:val="0039001B"/>
    <w:rsid w:val="00390952"/>
    <w:rsid w:val="00390A0D"/>
    <w:rsid w:val="00390C1D"/>
    <w:rsid w:val="00391B98"/>
    <w:rsid w:val="00391BC1"/>
    <w:rsid w:val="00392B02"/>
    <w:rsid w:val="00392F2D"/>
    <w:rsid w:val="003930DA"/>
    <w:rsid w:val="003930EC"/>
    <w:rsid w:val="00394135"/>
    <w:rsid w:val="00394462"/>
    <w:rsid w:val="003945A8"/>
    <w:rsid w:val="00394687"/>
    <w:rsid w:val="00394A88"/>
    <w:rsid w:val="00394BA6"/>
    <w:rsid w:val="00394FF8"/>
    <w:rsid w:val="00395AFA"/>
    <w:rsid w:val="00396050"/>
    <w:rsid w:val="003962C4"/>
    <w:rsid w:val="00396944"/>
    <w:rsid w:val="003974AF"/>
    <w:rsid w:val="003977C8"/>
    <w:rsid w:val="0039780E"/>
    <w:rsid w:val="003A0B60"/>
    <w:rsid w:val="003A0B72"/>
    <w:rsid w:val="003A0CA4"/>
    <w:rsid w:val="003A1B23"/>
    <w:rsid w:val="003A1B9C"/>
    <w:rsid w:val="003A1BE1"/>
    <w:rsid w:val="003A1C6A"/>
    <w:rsid w:val="003A1F49"/>
    <w:rsid w:val="003A2995"/>
    <w:rsid w:val="003A341F"/>
    <w:rsid w:val="003A370F"/>
    <w:rsid w:val="003A3AA7"/>
    <w:rsid w:val="003A3D21"/>
    <w:rsid w:val="003A3F91"/>
    <w:rsid w:val="003A4026"/>
    <w:rsid w:val="003A4340"/>
    <w:rsid w:val="003A44BB"/>
    <w:rsid w:val="003A4E82"/>
    <w:rsid w:val="003A5076"/>
    <w:rsid w:val="003A5A16"/>
    <w:rsid w:val="003A5B7F"/>
    <w:rsid w:val="003A64B0"/>
    <w:rsid w:val="003A6ABF"/>
    <w:rsid w:val="003A7FBB"/>
    <w:rsid w:val="003B1BC3"/>
    <w:rsid w:val="003B1C22"/>
    <w:rsid w:val="003B1F66"/>
    <w:rsid w:val="003B24E8"/>
    <w:rsid w:val="003B294E"/>
    <w:rsid w:val="003B2C1B"/>
    <w:rsid w:val="003B2CC4"/>
    <w:rsid w:val="003B2E33"/>
    <w:rsid w:val="003B3328"/>
    <w:rsid w:val="003B353E"/>
    <w:rsid w:val="003B36A5"/>
    <w:rsid w:val="003B45CF"/>
    <w:rsid w:val="003B4F87"/>
    <w:rsid w:val="003B6450"/>
    <w:rsid w:val="003B6769"/>
    <w:rsid w:val="003B677F"/>
    <w:rsid w:val="003B68CA"/>
    <w:rsid w:val="003B6ABA"/>
    <w:rsid w:val="003B6F59"/>
    <w:rsid w:val="003B77C7"/>
    <w:rsid w:val="003C0228"/>
    <w:rsid w:val="003C272F"/>
    <w:rsid w:val="003C296D"/>
    <w:rsid w:val="003C2FB0"/>
    <w:rsid w:val="003C3448"/>
    <w:rsid w:val="003C4B2B"/>
    <w:rsid w:val="003C54DD"/>
    <w:rsid w:val="003C5755"/>
    <w:rsid w:val="003C636F"/>
    <w:rsid w:val="003C6D98"/>
    <w:rsid w:val="003C6FB1"/>
    <w:rsid w:val="003C77E3"/>
    <w:rsid w:val="003D0969"/>
    <w:rsid w:val="003D0A86"/>
    <w:rsid w:val="003D0AB4"/>
    <w:rsid w:val="003D0D5B"/>
    <w:rsid w:val="003D12FB"/>
    <w:rsid w:val="003D13D2"/>
    <w:rsid w:val="003D15E9"/>
    <w:rsid w:val="003D1836"/>
    <w:rsid w:val="003D1B24"/>
    <w:rsid w:val="003D1E6D"/>
    <w:rsid w:val="003D1F45"/>
    <w:rsid w:val="003D2595"/>
    <w:rsid w:val="003D2735"/>
    <w:rsid w:val="003D27E4"/>
    <w:rsid w:val="003D2C41"/>
    <w:rsid w:val="003D2E12"/>
    <w:rsid w:val="003D30B8"/>
    <w:rsid w:val="003D3505"/>
    <w:rsid w:val="003D3A88"/>
    <w:rsid w:val="003D3E43"/>
    <w:rsid w:val="003D479E"/>
    <w:rsid w:val="003D50AC"/>
    <w:rsid w:val="003D50BB"/>
    <w:rsid w:val="003D55BA"/>
    <w:rsid w:val="003D5F5F"/>
    <w:rsid w:val="003D666E"/>
    <w:rsid w:val="003D7033"/>
    <w:rsid w:val="003D7052"/>
    <w:rsid w:val="003D70B8"/>
    <w:rsid w:val="003D750F"/>
    <w:rsid w:val="003D78A4"/>
    <w:rsid w:val="003E2276"/>
    <w:rsid w:val="003E2580"/>
    <w:rsid w:val="003E26AB"/>
    <w:rsid w:val="003E2A2E"/>
    <w:rsid w:val="003E2B3A"/>
    <w:rsid w:val="003E2CFD"/>
    <w:rsid w:val="003E321C"/>
    <w:rsid w:val="003E37C7"/>
    <w:rsid w:val="003E3938"/>
    <w:rsid w:val="003E444A"/>
    <w:rsid w:val="003E4677"/>
    <w:rsid w:val="003E4DE8"/>
    <w:rsid w:val="003E561E"/>
    <w:rsid w:val="003E56F6"/>
    <w:rsid w:val="003E58F9"/>
    <w:rsid w:val="003E621D"/>
    <w:rsid w:val="003F059B"/>
    <w:rsid w:val="003F0623"/>
    <w:rsid w:val="003F09C5"/>
    <w:rsid w:val="003F0D6F"/>
    <w:rsid w:val="003F12E5"/>
    <w:rsid w:val="003F1997"/>
    <w:rsid w:val="003F1D2F"/>
    <w:rsid w:val="003F1EEE"/>
    <w:rsid w:val="003F2499"/>
    <w:rsid w:val="003F2936"/>
    <w:rsid w:val="003F395D"/>
    <w:rsid w:val="003F3C18"/>
    <w:rsid w:val="003F4187"/>
    <w:rsid w:val="003F4262"/>
    <w:rsid w:val="003F5FDA"/>
    <w:rsid w:val="003F66A6"/>
    <w:rsid w:val="003F701D"/>
    <w:rsid w:val="003F70CE"/>
    <w:rsid w:val="003F7164"/>
    <w:rsid w:val="003F7AB4"/>
    <w:rsid w:val="003F7C5F"/>
    <w:rsid w:val="004001F0"/>
    <w:rsid w:val="00401121"/>
    <w:rsid w:val="0040223E"/>
    <w:rsid w:val="00402ABA"/>
    <w:rsid w:val="004031D7"/>
    <w:rsid w:val="00403F3A"/>
    <w:rsid w:val="00404170"/>
    <w:rsid w:val="00404C26"/>
    <w:rsid w:val="00405A16"/>
    <w:rsid w:val="00405A2D"/>
    <w:rsid w:val="004073FD"/>
    <w:rsid w:val="0040742D"/>
    <w:rsid w:val="004079B6"/>
    <w:rsid w:val="00407D35"/>
    <w:rsid w:val="004100D6"/>
    <w:rsid w:val="0041013C"/>
    <w:rsid w:val="00410BCB"/>
    <w:rsid w:val="00410DBE"/>
    <w:rsid w:val="00410ED5"/>
    <w:rsid w:val="00411165"/>
    <w:rsid w:val="00412091"/>
    <w:rsid w:val="00412665"/>
    <w:rsid w:val="00412E6B"/>
    <w:rsid w:val="00413304"/>
    <w:rsid w:val="0041364F"/>
    <w:rsid w:val="00413704"/>
    <w:rsid w:val="004141CC"/>
    <w:rsid w:val="00414706"/>
    <w:rsid w:val="004147F5"/>
    <w:rsid w:val="00414FBD"/>
    <w:rsid w:val="00415027"/>
    <w:rsid w:val="00415360"/>
    <w:rsid w:val="004155D2"/>
    <w:rsid w:val="00415AA5"/>
    <w:rsid w:val="00415B1F"/>
    <w:rsid w:val="00416151"/>
    <w:rsid w:val="004161FC"/>
    <w:rsid w:val="004164B9"/>
    <w:rsid w:val="004165CB"/>
    <w:rsid w:val="004171C6"/>
    <w:rsid w:val="00417546"/>
    <w:rsid w:val="00417650"/>
    <w:rsid w:val="004178F6"/>
    <w:rsid w:val="00417F04"/>
    <w:rsid w:val="004203CE"/>
    <w:rsid w:val="0042061B"/>
    <w:rsid w:val="00420A07"/>
    <w:rsid w:val="00421299"/>
    <w:rsid w:val="0042169A"/>
    <w:rsid w:val="00421800"/>
    <w:rsid w:val="00421FA0"/>
    <w:rsid w:val="00422650"/>
    <w:rsid w:val="004235B0"/>
    <w:rsid w:val="004236DD"/>
    <w:rsid w:val="00423C57"/>
    <w:rsid w:val="00423FD1"/>
    <w:rsid w:val="004241FC"/>
    <w:rsid w:val="004242FB"/>
    <w:rsid w:val="00425F14"/>
    <w:rsid w:val="004260BD"/>
    <w:rsid w:val="0042611C"/>
    <w:rsid w:val="00426317"/>
    <w:rsid w:val="00426333"/>
    <w:rsid w:val="0042688F"/>
    <w:rsid w:val="00426947"/>
    <w:rsid w:val="004269EC"/>
    <w:rsid w:val="00426A47"/>
    <w:rsid w:val="0042738C"/>
    <w:rsid w:val="0042740D"/>
    <w:rsid w:val="00427DED"/>
    <w:rsid w:val="00427DF1"/>
    <w:rsid w:val="0043030B"/>
    <w:rsid w:val="004310F3"/>
    <w:rsid w:val="004311BC"/>
    <w:rsid w:val="00431C06"/>
    <w:rsid w:val="00431E94"/>
    <w:rsid w:val="0043282B"/>
    <w:rsid w:val="00432960"/>
    <w:rsid w:val="0043450B"/>
    <w:rsid w:val="004346A7"/>
    <w:rsid w:val="004349BF"/>
    <w:rsid w:val="00434E91"/>
    <w:rsid w:val="0043548F"/>
    <w:rsid w:val="004358DD"/>
    <w:rsid w:val="00435933"/>
    <w:rsid w:val="0043647B"/>
    <w:rsid w:val="00436678"/>
    <w:rsid w:val="00436AE6"/>
    <w:rsid w:val="0043712B"/>
    <w:rsid w:val="0043714E"/>
    <w:rsid w:val="00437310"/>
    <w:rsid w:val="004375DD"/>
    <w:rsid w:val="00437DCF"/>
    <w:rsid w:val="00440018"/>
    <w:rsid w:val="00440181"/>
    <w:rsid w:val="0044058F"/>
    <w:rsid w:val="00440A18"/>
    <w:rsid w:val="00440E0C"/>
    <w:rsid w:val="004410D2"/>
    <w:rsid w:val="004417F5"/>
    <w:rsid w:val="00441D78"/>
    <w:rsid w:val="004421DE"/>
    <w:rsid w:val="00442DF3"/>
    <w:rsid w:val="00442EE7"/>
    <w:rsid w:val="004436B3"/>
    <w:rsid w:val="00443A6D"/>
    <w:rsid w:val="00443C0E"/>
    <w:rsid w:val="004442EC"/>
    <w:rsid w:val="0044551A"/>
    <w:rsid w:val="00445830"/>
    <w:rsid w:val="004459E2"/>
    <w:rsid w:val="004461B8"/>
    <w:rsid w:val="00446C60"/>
    <w:rsid w:val="004473CB"/>
    <w:rsid w:val="00447653"/>
    <w:rsid w:val="004478FC"/>
    <w:rsid w:val="00447E4C"/>
    <w:rsid w:val="004503AB"/>
    <w:rsid w:val="00450C2A"/>
    <w:rsid w:val="0045100D"/>
    <w:rsid w:val="00451055"/>
    <w:rsid w:val="0045116A"/>
    <w:rsid w:val="004511C2"/>
    <w:rsid w:val="0045149A"/>
    <w:rsid w:val="00451741"/>
    <w:rsid w:val="00451943"/>
    <w:rsid w:val="00451CEE"/>
    <w:rsid w:val="0045340A"/>
    <w:rsid w:val="0045383B"/>
    <w:rsid w:val="004540EC"/>
    <w:rsid w:val="00454478"/>
    <w:rsid w:val="00454E04"/>
    <w:rsid w:val="00454F4A"/>
    <w:rsid w:val="00455110"/>
    <w:rsid w:val="00455619"/>
    <w:rsid w:val="00455C55"/>
    <w:rsid w:val="00456203"/>
    <w:rsid w:val="0045660E"/>
    <w:rsid w:val="00456CAA"/>
    <w:rsid w:val="004608B6"/>
    <w:rsid w:val="00460C61"/>
    <w:rsid w:val="004621E6"/>
    <w:rsid w:val="00462DAD"/>
    <w:rsid w:val="00462F2B"/>
    <w:rsid w:val="00463976"/>
    <w:rsid w:val="00464207"/>
    <w:rsid w:val="004647ED"/>
    <w:rsid w:val="004649D4"/>
    <w:rsid w:val="00465EAE"/>
    <w:rsid w:val="004665A2"/>
    <w:rsid w:val="00466BF9"/>
    <w:rsid w:val="00466DBA"/>
    <w:rsid w:val="00466F66"/>
    <w:rsid w:val="00467088"/>
    <w:rsid w:val="004673A1"/>
    <w:rsid w:val="00467A9D"/>
    <w:rsid w:val="004703E5"/>
    <w:rsid w:val="00470998"/>
    <w:rsid w:val="00470E0A"/>
    <w:rsid w:val="00470EA8"/>
    <w:rsid w:val="00471A93"/>
    <w:rsid w:val="004724EA"/>
    <w:rsid w:val="0047269B"/>
    <w:rsid w:val="004728F2"/>
    <w:rsid w:val="00472EA6"/>
    <w:rsid w:val="00473067"/>
    <w:rsid w:val="00473A25"/>
    <w:rsid w:val="00473D5A"/>
    <w:rsid w:val="00473FFE"/>
    <w:rsid w:val="004743F6"/>
    <w:rsid w:val="0047504D"/>
    <w:rsid w:val="00475551"/>
    <w:rsid w:val="0047639E"/>
    <w:rsid w:val="00476723"/>
    <w:rsid w:val="00476B7C"/>
    <w:rsid w:val="00476C2D"/>
    <w:rsid w:val="00476FF4"/>
    <w:rsid w:val="0047730E"/>
    <w:rsid w:val="0047756C"/>
    <w:rsid w:val="004779A4"/>
    <w:rsid w:val="00477E33"/>
    <w:rsid w:val="00477F35"/>
    <w:rsid w:val="004804B3"/>
    <w:rsid w:val="00480923"/>
    <w:rsid w:val="00480CE4"/>
    <w:rsid w:val="00482005"/>
    <w:rsid w:val="0048392E"/>
    <w:rsid w:val="004845BD"/>
    <w:rsid w:val="00484881"/>
    <w:rsid w:val="0048565D"/>
    <w:rsid w:val="004858EC"/>
    <w:rsid w:val="00485EF8"/>
    <w:rsid w:val="00486A95"/>
    <w:rsid w:val="004870CE"/>
    <w:rsid w:val="00487145"/>
    <w:rsid w:val="00487E87"/>
    <w:rsid w:val="004901FA"/>
    <w:rsid w:val="004902C7"/>
    <w:rsid w:val="00490338"/>
    <w:rsid w:val="004907EB"/>
    <w:rsid w:val="004907EC"/>
    <w:rsid w:val="00490E04"/>
    <w:rsid w:val="004912EA"/>
    <w:rsid w:val="004917DC"/>
    <w:rsid w:val="004918BF"/>
    <w:rsid w:val="00491A8D"/>
    <w:rsid w:val="00492025"/>
    <w:rsid w:val="004922C8"/>
    <w:rsid w:val="004924F7"/>
    <w:rsid w:val="004924FA"/>
    <w:rsid w:val="00492A11"/>
    <w:rsid w:val="00492D9D"/>
    <w:rsid w:val="0049372C"/>
    <w:rsid w:val="004938B8"/>
    <w:rsid w:val="00493E39"/>
    <w:rsid w:val="004947A4"/>
    <w:rsid w:val="00494A42"/>
    <w:rsid w:val="004956CA"/>
    <w:rsid w:val="00496011"/>
    <w:rsid w:val="004960FE"/>
    <w:rsid w:val="00496AE0"/>
    <w:rsid w:val="00496D6C"/>
    <w:rsid w:val="004974EF"/>
    <w:rsid w:val="00497718"/>
    <w:rsid w:val="00497917"/>
    <w:rsid w:val="00497C08"/>
    <w:rsid w:val="00497D2F"/>
    <w:rsid w:val="004A100E"/>
    <w:rsid w:val="004A111A"/>
    <w:rsid w:val="004A117F"/>
    <w:rsid w:val="004A13F1"/>
    <w:rsid w:val="004A14B1"/>
    <w:rsid w:val="004A1534"/>
    <w:rsid w:val="004A2397"/>
    <w:rsid w:val="004A2871"/>
    <w:rsid w:val="004A2941"/>
    <w:rsid w:val="004A2A28"/>
    <w:rsid w:val="004A34DB"/>
    <w:rsid w:val="004A37C0"/>
    <w:rsid w:val="004A37FB"/>
    <w:rsid w:val="004A3BDB"/>
    <w:rsid w:val="004A4170"/>
    <w:rsid w:val="004A44F4"/>
    <w:rsid w:val="004A47FB"/>
    <w:rsid w:val="004A597B"/>
    <w:rsid w:val="004A5D9A"/>
    <w:rsid w:val="004A5F5D"/>
    <w:rsid w:val="004A6010"/>
    <w:rsid w:val="004A630A"/>
    <w:rsid w:val="004A78E5"/>
    <w:rsid w:val="004A7B31"/>
    <w:rsid w:val="004A7CBA"/>
    <w:rsid w:val="004B017C"/>
    <w:rsid w:val="004B07CB"/>
    <w:rsid w:val="004B0855"/>
    <w:rsid w:val="004B0F52"/>
    <w:rsid w:val="004B14C1"/>
    <w:rsid w:val="004B18F0"/>
    <w:rsid w:val="004B1CBB"/>
    <w:rsid w:val="004B1CDB"/>
    <w:rsid w:val="004B20C0"/>
    <w:rsid w:val="004B2504"/>
    <w:rsid w:val="004B2648"/>
    <w:rsid w:val="004B28B0"/>
    <w:rsid w:val="004B298D"/>
    <w:rsid w:val="004B2D68"/>
    <w:rsid w:val="004B3774"/>
    <w:rsid w:val="004B3DA0"/>
    <w:rsid w:val="004B4484"/>
    <w:rsid w:val="004B58F3"/>
    <w:rsid w:val="004B5A03"/>
    <w:rsid w:val="004B603E"/>
    <w:rsid w:val="004B6293"/>
    <w:rsid w:val="004B6592"/>
    <w:rsid w:val="004B70FB"/>
    <w:rsid w:val="004B7FCD"/>
    <w:rsid w:val="004C0F4A"/>
    <w:rsid w:val="004C11D2"/>
    <w:rsid w:val="004C1A13"/>
    <w:rsid w:val="004C2569"/>
    <w:rsid w:val="004C2C73"/>
    <w:rsid w:val="004C317F"/>
    <w:rsid w:val="004C3FE3"/>
    <w:rsid w:val="004C4007"/>
    <w:rsid w:val="004C44AA"/>
    <w:rsid w:val="004C4DDD"/>
    <w:rsid w:val="004C4FF6"/>
    <w:rsid w:val="004C52C0"/>
    <w:rsid w:val="004C55C7"/>
    <w:rsid w:val="004C5617"/>
    <w:rsid w:val="004C5DF6"/>
    <w:rsid w:val="004C659C"/>
    <w:rsid w:val="004C667F"/>
    <w:rsid w:val="004C720B"/>
    <w:rsid w:val="004C755E"/>
    <w:rsid w:val="004C7E28"/>
    <w:rsid w:val="004D06C5"/>
    <w:rsid w:val="004D06E4"/>
    <w:rsid w:val="004D0B68"/>
    <w:rsid w:val="004D104D"/>
    <w:rsid w:val="004D1870"/>
    <w:rsid w:val="004D1A94"/>
    <w:rsid w:val="004D1CE8"/>
    <w:rsid w:val="004D1E4C"/>
    <w:rsid w:val="004D2150"/>
    <w:rsid w:val="004D23E3"/>
    <w:rsid w:val="004D2F92"/>
    <w:rsid w:val="004D37A7"/>
    <w:rsid w:val="004D42BF"/>
    <w:rsid w:val="004D4708"/>
    <w:rsid w:val="004D4B04"/>
    <w:rsid w:val="004D4E64"/>
    <w:rsid w:val="004D5C1B"/>
    <w:rsid w:val="004D63EC"/>
    <w:rsid w:val="004D6FBD"/>
    <w:rsid w:val="004D75F8"/>
    <w:rsid w:val="004D7835"/>
    <w:rsid w:val="004D7C3C"/>
    <w:rsid w:val="004D7DAA"/>
    <w:rsid w:val="004D7FC8"/>
    <w:rsid w:val="004E0061"/>
    <w:rsid w:val="004E06F5"/>
    <w:rsid w:val="004E0888"/>
    <w:rsid w:val="004E0D85"/>
    <w:rsid w:val="004E236E"/>
    <w:rsid w:val="004E2700"/>
    <w:rsid w:val="004E2747"/>
    <w:rsid w:val="004E2941"/>
    <w:rsid w:val="004E301A"/>
    <w:rsid w:val="004E3146"/>
    <w:rsid w:val="004E33F0"/>
    <w:rsid w:val="004E41DD"/>
    <w:rsid w:val="004E4FFE"/>
    <w:rsid w:val="004E5255"/>
    <w:rsid w:val="004E5379"/>
    <w:rsid w:val="004E58C0"/>
    <w:rsid w:val="004E5B76"/>
    <w:rsid w:val="004E5C4B"/>
    <w:rsid w:val="004E623E"/>
    <w:rsid w:val="004E65DD"/>
    <w:rsid w:val="004E6C03"/>
    <w:rsid w:val="004E76B3"/>
    <w:rsid w:val="004E78D2"/>
    <w:rsid w:val="004E7F69"/>
    <w:rsid w:val="004F006F"/>
    <w:rsid w:val="004F0246"/>
    <w:rsid w:val="004F0D7D"/>
    <w:rsid w:val="004F0E8E"/>
    <w:rsid w:val="004F1235"/>
    <w:rsid w:val="004F14AC"/>
    <w:rsid w:val="004F1515"/>
    <w:rsid w:val="004F18E4"/>
    <w:rsid w:val="004F2C5E"/>
    <w:rsid w:val="004F3047"/>
    <w:rsid w:val="004F3432"/>
    <w:rsid w:val="004F3A85"/>
    <w:rsid w:val="004F3CEF"/>
    <w:rsid w:val="004F3E6C"/>
    <w:rsid w:val="004F483C"/>
    <w:rsid w:val="004F49A0"/>
    <w:rsid w:val="004F5CD9"/>
    <w:rsid w:val="004F5F9A"/>
    <w:rsid w:val="004F62E5"/>
    <w:rsid w:val="004F7B4A"/>
    <w:rsid w:val="004F7C28"/>
    <w:rsid w:val="004F7CAB"/>
    <w:rsid w:val="00500430"/>
    <w:rsid w:val="00500CBA"/>
    <w:rsid w:val="00500D82"/>
    <w:rsid w:val="005015D1"/>
    <w:rsid w:val="00501951"/>
    <w:rsid w:val="00501EB8"/>
    <w:rsid w:val="00502164"/>
    <w:rsid w:val="00502918"/>
    <w:rsid w:val="00502D8A"/>
    <w:rsid w:val="00502E34"/>
    <w:rsid w:val="00503005"/>
    <w:rsid w:val="00503242"/>
    <w:rsid w:val="00503FE6"/>
    <w:rsid w:val="00504489"/>
    <w:rsid w:val="00504531"/>
    <w:rsid w:val="005050FA"/>
    <w:rsid w:val="00505863"/>
    <w:rsid w:val="00505D90"/>
    <w:rsid w:val="005071B2"/>
    <w:rsid w:val="005074A2"/>
    <w:rsid w:val="00507851"/>
    <w:rsid w:val="005078AB"/>
    <w:rsid w:val="00510215"/>
    <w:rsid w:val="00511001"/>
    <w:rsid w:val="00512CE4"/>
    <w:rsid w:val="0051303F"/>
    <w:rsid w:val="0051326C"/>
    <w:rsid w:val="005138E4"/>
    <w:rsid w:val="00513D32"/>
    <w:rsid w:val="00513EA4"/>
    <w:rsid w:val="0051424D"/>
    <w:rsid w:val="00514433"/>
    <w:rsid w:val="00515C4C"/>
    <w:rsid w:val="00516017"/>
    <w:rsid w:val="00516087"/>
    <w:rsid w:val="00516657"/>
    <w:rsid w:val="005171EC"/>
    <w:rsid w:val="00520376"/>
    <w:rsid w:val="00520B07"/>
    <w:rsid w:val="005215D6"/>
    <w:rsid w:val="00521C02"/>
    <w:rsid w:val="00521D2D"/>
    <w:rsid w:val="00521E32"/>
    <w:rsid w:val="00521FD7"/>
    <w:rsid w:val="005224AF"/>
    <w:rsid w:val="005231C3"/>
    <w:rsid w:val="00523332"/>
    <w:rsid w:val="00523A5F"/>
    <w:rsid w:val="00524FD9"/>
    <w:rsid w:val="00525080"/>
    <w:rsid w:val="005255A2"/>
    <w:rsid w:val="00525E73"/>
    <w:rsid w:val="005263DC"/>
    <w:rsid w:val="005273A9"/>
    <w:rsid w:val="005275B7"/>
    <w:rsid w:val="00527956"/>
    <w:rsid w:val="00527E1D"/>
    <w:rsid w:val="00530262"/>
    <w:rsid w:val="00530723"/>
    <w:rsid w:val="00530C78"/>
    <w:rsid w:val="0053102C"/>
    <w:rsid w:val="0053128E"/>
    <w:rsid w:val="0053159E"/>
    <w:rsid w:val="00531694"/>
    <w:rsid w:val="00532E43"/>
    <w:rsid w:val="00533D12"/>
    <w:rsid w:val="00533E3E"/>
    <w:rsid w:val="00534108"/>
    <w:rsid w:val="00534A1F"/>
    <w:rsid w:val="00534FC0"/>
    <w:rsid w:val="005354E1"/>
    <w:rsid w:val="005357D4"/>
    <w:rsid w:val="00536BCE"/>
    <w:rsid w:val="00536DAF"/>
    <w:rsid w:val="00540C73"/>
    <w:rsid w:val="005416F3"/>
    <w:rsid w:val="00542DCC"/>
    <w:rsid w:val="005431AE"/>
    <w:rsid w:val="005435E7"/>
    <w:rsid w:val="0054377E"/>
    <w:rsid w:val="00544737"/>
    <w:rsid w:val="00544859"/>
    <w:rsid w:val="00544926"/>
    <w:rsid w:val="0054492A"/>
    <w:rsid w:val="00544CD5"/>
    <w:rsid w:val="00545044"/>
    <w:rsid w:val="00545156"/>
    <w:rsid w:val="00545765"/>
    <w:rsid w:val="005459EF"/>
    <w:rsid w:val="00546285"/>
    <w:rsid w:val="00546973"/>
    <w:rsid w:val="00546E5A"/>
    <w:rsid w:val="00547FB8"/>
    <w:rsid w:val="00547FD3"/>
    <w:rsid w:val="0055000E"/>
    <w:rsid w:val="0055039F"/>
    <w:rsid w:val="005508A1"/>
    <w:rsid w:val="00550C28"/>
    <w:rsid w:val="00550F29"/>
    <w:rsid w:val="00551059"/>
    <w:rsid w:val="00551673"/>
    <w:rsid w:val="00551715"/>
    <w:rsid w:val="005523D5"/>
    <w:rsid w:val="0055247A"/>
    <w:rsid w:val="0055257B"/>
    <w:rsid w:val="00552958"/>
    <w:rsid w:val="00552A99"/>
    <w:rsid w:val="00552B84"/>
    <w:rsid w:val="00552E7A"/>
    <w:rsid w:val="00553493"/>
    <w:rsid w:val="005544F1"/>
    <w:rsid w:val="00554758"/>
    <w:rsid w:val="0055516C"/>
    <w:rsid w:val="00555354"/>
    <w:rsid w:val="00555F16"/>
    <w:rsid w:val="0055621E"/>
    <w:rsid w:val="00556A22"/>
    <w:rsid w:val="00556E4E"/>
    <w:rsid w:val="0055721D"/>
    <w:rsid w:val="00557EAB"/>
    <w:rsid w:val="00560896"/>
    <w:rsid w:val="00560A82"/>
    <w:rsid w:val="00560C92"/>
    <w:rsid w:val="00560D41"/>
    <w:rsid w:val="00564959"/>
    <w:rsid w:val="00565277"/>
    <w:rsid w:val="00565EFA"/>
    <w:rsid w:val="00565F0E"/>
    <w:rsid w:val="00566020"/>
    <w:rsid w:val="00566171"/>
    <w:rsid w:val="00566A56"/>
    <w:rsid w:val="00566BF8"/>
    <w:rsid w:val="00566D04"/>
    <w:rsid w:val="005672D6"/>
    <w:rsid w:val="00567525"/>
    <w:rsid w:val="00567750"/>
    <w:rsid w:val="005679F6"/>
    <w:rsid w:val="00567B62"/>
    <w:rsid w:val="00567CBF"/>
    <w:rsid w:val="00567D76"/>
    <w:rsid w:val="00570185"/>
    <w:rsid w:val="00570441"/>
    <w:rsid w:val="00570D29"/>
    <w:rsid w:val="00571EA1"/>
    <w:rsid w:val="0057222D"/>
    <w:rsid w:val="00572400"/>
    <w:rsid w:val="005733B7"/>
    <w:rsid w:val="0057366E"/>
    <w:rsid w:val="00573B1E"/>
    <w:rsid w:val="00574327"/>
    <w:rsid w:val="00574DEF"/>
    <w:rsid w:val="0057510C"/>
    <w:rsid w:val="00575187"/>
    <w:rsid w:val="00575629"/>
    <w:rsid w:val="00575734"/>
    <w:rsid w:val="00575FB5"/>
    <w:rsid w:val="005765C6"/>
    <w:rsid w:val="00576660"/>
    <w:rsid w:val="00576748"/>
    <w:rsid w:val="0057736F"/>
    <w:rsid w:val="005774CA"/>
    <w:rsid w:val="00577946"/>
    <w:rsid w:val="00577C10"/>
    <w:rsid w:val="00577D96"/>
    <w:rsid w:val="00580240"/>
    <w:rsid w:val="0058062D"/>
    <w:rsid w:val="00580660"/>
    <w:rsid w:val="005806C2"/>
    <w:rsid w:val="00580B2C"/>
    <w:rsid w:val="00581A01"/>
    <w:rsid w:val="0058225C"/>
    <w:rsid w:val="005823F7"/>
    <w:rsid w:val="005830D2"/>
    <w:rsid w:val="00583CE5"/>
    <w:rsid w:val="0058436E"/>
    <w:rsid w:val="00585272"/>
    <w:rsid w:val="0058546D"/>
    <w:rsid w:val="005857DB"/>
    <w:rsid w:val="005868FF"/>
    <w:rsid w:val="00586D0D"/>
    <w:rsid w:val="00587447"/>
    <w:rsid w:val="00587A34"/>
    <w:rsid w:val="0059036A"/>
    <w:rsid w:val="005904DD"/>
    <w:rsid w:val="00590AD7"/>
    <w:rsid w:val="00590E27"/>
    <w:rsid w:val="005919E3"/>
    <w:rsid w:val="00591CC9"/>
    <w:rsid w:val="00591D3C"/>
    <w:rsid w:val="00591E0D"/>
    <w:rsid w:val="00592439"/>
    <w:rsid w:val="00592B61"/>
    <w:rsid w:val="00593E92"/>
    <w:rsid w:val="00594A07"/>
    <w:rsid w:val="00595D10"/>
    <w:rsid w:val="00596D42"/>
    <w:rsid w:val="00597FD4"/>
    <w:rsid w:val="005A03CE"/>
    <w:rsid w:val="005A0756"/>
    <w:rsid w:val="005A0CA9"/>
    <w:rsid w:val="005A1931"/>
    <w:rsid w:val="005A1CE8"/>
    <w:rsid w:val="005A212D"/>
    <w:rsid w:val="005A2468"/>
    <w:rsid w:val="005A2494"/>
    <w:rsid w:val="005A2B31"/>
    <w:rsid w:val="005A328F"/>
    <w:rsid w:val="005A3A0B"/>
    <w:rsid w:val="005A3ABF"/>
    <w:rsid w:val="005A4101"/>
    <w:rsid w:val="005A4420"/>
    <w:rsid w:val="005A5084"/>
    <w:rsid w:val="005A5132"/>
    <w:rsid w:val="005A5580"/>
    <w:rsid w:val="005A5EA0"/>
    <w:rsid w:val="005A5EDD"/>
    <w:rsid w:val="005A647D"/>
    <w:rsid w:val="005A663B"/>
    <w:rsid w:val="005A738D"/>
    <w:rsid w:val="005A7747"/>
    <w:rsid w:val="005A7BC6"/>
    <w:rsid w:val="005B1324"/>
    <w:rsid w:val="005B27BD"/>
    <w:rsid w:val="005B294D"/>
    <w:rsid w:val="005B2ABA"/>
    <w:rsid w:val="005B44D0"/>
    <w:rsid w:val="005B5C3A"/>
    <w:rsid w:val="005B6B55"/>
    <w:rsid w:val="005B6C0C"/>
    <w:rsid w:val="005B7761"/>
    <w:rsid w:val="005B7D1E"/>
    <w:rsid w:val="005C0925"/>
    <w:rsid w:val="005C18F3"/>
    <w:rsid w:val="005C1D7C"/>
    <w:rsid w:val="005C1F18"/>
    <w:rsid w:val="005C2767"/>
    <w:rsid w:val="005C2F6B"/>
    <w:rsid w:val="005C2FBF"/>
    <w:rsid w:val="005C310A"/>
    <w:rsid w:val="005C35D6"/>
    <w:rsid w:val="005C39BD"/>
    <w:rsid w:val="005C3EAE"/>
    <w:rsid w:val="005C40D0"/>
    <w:rsid w:val="005C473A"/>
    <w:rsid w:val="005C566F"/>
    <w:rsid w:val="005C68F5"/>
    <w:rsid w:val="005C699E"/>
    <w:rsid w:val="005C7BB2"/>
    <w:rsid w:val="005C7D7C"/>
    <w:rsid w:val="005D0208"/>
    <w:rsid w:val="005D03B0"/>
    <w:rsid w:val="005D0451"/>
    <w:rsid w:val="005D09CB"/>
    <w:rsid w:val="005D0D2C"/>
    <w:rsid w:val="005D1307"/>
    <w:rsid w:val="005D161B"/>
    <w:rsid w:val="005D18F7"/>
    <w:rsid w:val="005D1DF1"/>
    <w:rsid w:val="005D2764"/>
    <w:rsid w:val="005D30AA"/>
    <w:rsid w:val="005D37A7"/>
    <w:rsid w:val="005D399B"/>
    <w:rsid w:val="005D3E3F"/>
    <w:rsid w:val="005D4395"/>
    <w:rsid w:val="005D4FD4"/>
    <w:rsid w:val="005D5031"/>
    <w:rsid w:val="005D536E"/>
    <w:rsid w:val="005D5C24"/>
    <w:rsid w:val="005D61B0"/>
    <w:rsid w:val="005D66C5"/>
    <w:rsid w:val="005D6AA9"/>
    <w:rsid w:val="005D6C71"/>
    <w:rsid w:val="005D6D0E"/>
    <w:rsid w:val="005D7796"/>
    <w:rsid w:val="005D78B9"/>
    <w:rsid w:val="005E05C1"/>
    <w:rsid w:val="005E08C0"/>
    <w:rsid w:val="005E0969"/>
    <w:rsid w:val="005E09ED"/>
    <w:rsid w:val="005E0E18"/>
    <w:rsid w:val="005E1096"/>
    <w:rsid w:val="005E1157"/>
    <w:rsid w:val="005E1283"/>
    <w:rsid w:val="005E19A6"/>
    <w:rsid w:val="005E328B"/>
    <w:rsid w:val="005E4613"/>
    <w:rsid w:val="005E5545"/>
    <w:rsid w:val="005E582A"/>
    <w:rsid w:val="005E5AB9"/>
    <w:rsid w:val="005E5BDC"/>
    <w:rsid w:val="005E5FC9"/>
    <w:rsid w:val="005E6465"/>
    <w:rsid w:val="005E64F6"/>
    <w:rsid w:val="005E6E5E"/>
    <w:rsid w:val="005E6F70"/>
    <w:rsid w:val="005E6FFD"/>
    <w:rsid w:val="005E789B"/>
    <w:rsid w:val="005F005C"/>
    <w:rsid w:val="005F01C1"/>
    <w:rsid w:val="005F02FB"/>
    <w:rsid w:val="005F0598"/>
    <w:rsid w:val="005F05BB"/>
    <w:rsid w:val="005F079E"/>
    <w:rsid w:val="005F13FD"/>
    <w:rsid w:val="005F1524"/>
    <w:rsid w:val="005F155B"/>
    <w:rsid w:val="005F15E8"/>
    <w:rsid w:val="005F2664"/>
    <w:rsid w:val="005F2A33"/>
    <w:rsid w:val="005F2B0C"/>
    <w:rsid w:val="005F2DF1"/>
    <w:rsid w:val="005F30CA"/>
    <w:rsid w:val="005F38BE"/>
    <w:rsid w:val="005F3CEB"/>
    <w:rsid w:val="005F437A"/>
    <w:rsid w:val="005F474A"/>
    <w:rsid w:val="005F4BCD"/>
    <w:rsid w:val="005F4DC3"/>
    <w:rsid w:val="005F4E2A"/>
    <w:rsid w:val="005F5377"/>
    <w:rsid w:val="005F55FA"/>
    <w:rsid w:val="005F6B78"/>
    <w:rsid w:val="005F6EEF"/>
    <w:rsid w:val="005F72DF"/>
    <w:rsid w:val="005F74B8"/>
    <w:rsid w:val="005F7A74"/>
    <w:rsid w:val="005F7B95"/>
    <w:rsid w:val="0060028D"/>
    <w:rsid w:val="006008F4"/>
    <w:rsid w:val="00600D92"/>
    <w:rsid w:val="00601613"/>
    <w:rsid w:val="00602CE3"/>
    <w:rsid w:val="006032AA"/>
    <w:rsid w:val="00603481"/>
    <w:rsid w:val="00603E40"/>
    <w:rsid w:val="00603FF3"/>
    <w:rsid w:val="006044EF"/>
    <w:rsid w:val="006049FB"/>
    <w:rsid w:val="00604DE4"/>
    <w:rsid w:val="00605212"/>
    <w:rsid w:val="00605A08"/>
    <w:rsid w:val="00605A24"/>
    <w:rsid w:val="00605A55"/>
    <w:rsid w:val="00606BFC"/>
    <w:rsid w:val="00606D57"/>
    <w:rsid w:val="00607117"/>
    <w:rsid w:val="006076D0"/>
    <w:rsid w:val="006104E4"/>
    <w:rsid w:val="006105AE"/>
    <w:rsid w:val="00610F47"/>
    <w:rsid w:val="00610F92"/>
    <w:rsid w:val="00611564"/>
    <w:rsid w:val="0061190E"/>
    <w:rsid w:val="00612074"/>
    <w:rsid w:val="00612E85"/>
    <w:rsid w:val="006131FE"/>
    <w:rsid w:val="00613905"/>
    <w:rsid w:val="00613C15"/>
    <w:rsid w:val="00613CA0"/>
    <w:rsid w:val="00614237"/>
    <w:rsid w:val="006142C4"/>
    <w:rsid w:val="006152FF"/>
    <w:rsid w:val="006154CA"/>
    <w:rsid w:val="006162D5"/>
    <w:rsid w:val="0061722C"/>
    <w:rsid w:val="00617A32"/>
    <w:rsid w:val="0062031B"/>
    <w:rsid w:val="0062058E"/>
    <w:rsid w:val="006205F0"/>
    <w:rsid w:val="0062150C"/>
    <w:rsid w:val="006220FF"/>
    <w:rsid w:val="006223A4"/>
    <w:rsid w:val="00622CEE"/>
    <w:rsid w:val="00623411"/>
    <w:rsid w:val="006236B8"/>
    <w:rsid w:val="00623D9C"/>
    <w:rsid w:val="0062404B"/>
    <w:rsid w:val="006241CC"/>
    <w:rsid w:val="006249E2"/>
    <w:rsid w:val="00625158"/>
    <w:rsid w:val="00625B68"/>
    <w:rsid w:val="0062685D"/>
    <w:rsid w:val="006270C7"/>
    <w:rsid w:val="006274BF"/>
    <w:rsid w:val="00630221"/>
    <w:rsid w:val="006302B1"/>
    <w:rsid w:val="00631839"/>
    <w:rsid w:val="00631EE6"/>
    <w:rsid w:val="006323DE"/>
    <w:rsid w:val="0063264D"/>
    <w:rsid w:val="00632724"/>
    <w:rsid w:val="00632C28"/>
    <w:rsid w:val="00633A48"/>
    <w:rsid w:val="00633B2E"/>
    <w:rsid w:val="00633DEC"/>
    <w:rsid w:val="00634164"/>
    <w:rsid w:val="00634A12"/>
    <w:rsid w:val="0063544D"/>
    <w:rsid w:val="00635482"/>
    <w:rsid w:val="006356A8"/>
    <w:rsid w:val="00635916"/>
    <w:rsid w:val="00635CEE"/>
    <w:rsid w:val="00635DAC"/>
    <w:rsid w:val="00636112"/>
    <w:rsid w:val="00637B0B"/>
    <w:rsid w:val="00640060"/>
    <w:rsid w:val="006403BF"/>
    <w:rsid w:val="006403EB"/>
    <w:rsid w:val="006406D1"/>
    <w:rsid w:val="0064123F"/>
    <w:rsid w:val="006412DD"/>
    <w:rsid w:val="00641AD8"/>
    <w:rsid w:val="00641E43"/>
    <w:rsid w:val="00641FD2"/>
    <w:rsid w:val="00642715"/>
    <w:rsid w:val="00642976"/>
    <w:rsid w:val="00642AE5"/>
    <w:rsid w:val="00642BA4"/>
    <w:rsid w:val="006447F7"/>
    <w:rsid w:val="00644C9F"/>
    <w:rsid w:val="00644D01"/>
    <w:rsid w:val="00644F72"/>
    <w:rsid w:val="00645321"/>
    <w:rsid w:val="00646462"/>
    <w:rsid w:val="0064659D"/>
    <w:rsid w:val="00646CE3"/>
    <w:rsid w:val="006472EC"/>
    <w:rsid w:val="0064786B"/>
    <w:rsid w:val="006504C4"/>
    <w:rsid w:val="006506D5"/>
    <w:rsid w:val="00650B35"/>
    <w:rsid w:val="00650CC4"/>
    <w:rsid w:val="006512CC"/>
    <w:rsid w:val="0065132C"/>
    <w:rsid w:val="00651C14"/>
    <w:rsid w:val="00652102"/>
    <w:rsid w:val="00652127"/>
    <w:rsid w:val="00652201"/>
    <w:rsid w:val="00652259"/>
    <w:rsid w:val="00652D38"/>
    <w:rsid w:val="0065331F"/>
    <w:rsid w:val="006535EC"/>
    <w:rsid w:val="006536C0"/>
    <w:rsid w:val="00653B95"/>
    <w:rsid w:val="00653F9D"/>
    <w:rsid w:val="00654AB2"/>
    <w:rsid w:val="00655038"/>
    <w:rsid w:val="006559F0"/>
    <w:rsid w:val="00656837"/>
    <w:rsid w:val="00657DC1"/>
    <w:rsid w:val="00657E6B"/>
    <w:rsid w:val="006605B3"/>
    <w:rsid w:val="00660E94"/>
    <w:rsid w:val="00661678"/>
    <w:rsid w:val="0066232F"/>
    <w:rsid w:val="00663167"/>
    <w:rsid w:val="006631B9"/>
    <w:rsid w:val="00663478"/>
    <w:rsid w:val="00663A6B"/>
    <w:rsid w:val="00663EC4"/>
    <w:rsid w:val="00664106"/>
    <w:rsid w:val="00664776"/>
    <w:rsid w:val="00664A69"/>
    <w:rsid w:val="00664D45"/>
    <w:rsid w:val="00666193"/>
    <w:rsid w:val="00666D8E"/>
    <w:rsid w:val="00667095"/>
    <w:rsid w:val="00667173"/>
    <w:rsid w:val="006677ED"/>
    <w:rsid w:val="006679BB"/>
    <w:rsid w:val="006679D1"/>
    <w:rsid w:val="00667AAD"/>
    <w:rsid w:val="0067025C"/>
    <w:rsid w:val="00670572"/>
    <w:rsid w:val="00670771"/>
    <w:rsid w:val="006709F4"/>
    <w:rsid w:val="00670CC2"/>
    <w:rsid w:val="00670EFF"/>
    <w:rsid w:val="006716A8"/>
    <w:rsid w:val="00671B96"/>
    <w:rsid w:val="00671E40"/>
    <w:rsid w:val="00672648"/>
    <w:rsid w:val="006727A1"/>
    <w:rsid w:val="006730B9"/>
    <w:rsid w:val="00673705"/>
    <w:rsid w:val="00674136"/>
    <w:rsid w:val="006749D2"/>
    <w:rsid w:val="00674B5D"/>
    <w:rsid w:val="00674C28"/>
    <w:rsid w:val="00675996"/>
    <w:rsid w:val="00675D5A"/>
    <w:rsid w:val="006764EA"/>
    <w:rsid w:val="00676DCC"/>
    <w:rsid w:val="00676F70"/>
    <w:rsid w:val="0067754C"/>
    <w:rsid w:val="00677967"/>
    <w:rsid w:val="006801CD"/>
    <w:rsid w:val="006804E0"/>
    <w:rsid w:val="00680C85"/>
    <w:rsid w:val="006813A6"/>
    <w:rsid w:val="006817A9"/>
    <w:rsid w:val="006817F3"/>
    <w:rsid w:val="00681967"/>
    <w:rsid w:val="00681B90"/>
    <w:rsid w:val="00681E56"/>
    <w:rsid w:val="006826EA"/>
    <w:rsid w:val="00682840"/>
    <w:rsid w:val="00682CFC"/>
    <w:rsid w:val="00682F68"/>
    <w:rsid w:val="0068416E"/>
    <w:rsid w:val="006844D2"/>
    <w:rsid w:val="00684815"/>
    <w:rsid w:val="006851B9"/>
    <w:rsid w:val="00685492"/>
    <w:rsid w:val="00685798"/>
    <w:rsid w:val="00686DC5"/>
    <w:rsid w:val="0068723F"/>
    <w:rsid w:val="00687ADD"/>
    <w:rsid w:val="00690250"/>
    <w:rsid w:val="0069057C"/>
    <w:rsid w:val="00691C0E"/>
    <w:rsid w:val="00691DAB"/>
    <w:rsid w:val="00692065"/>
    <w:rsid w:val="006924F1"/>
    <w:rsid w:val="006925D6"/>
    <w:rsid w:val="00692B3D"/>
    <w:rsid w:val="00692B8E"/>
    <w:rsid w:val="0069385F"/>
    <w:rsid w:val="00693A70"/>
    <w:rsid w:val="00693E4E"/>
    <w:rsid w:val="00693FA8"/>
    <w:rsid w:val="00694211"/>
    <w:rsid w:val="006943AA"/>
    <w:rsid w:val="00694CC0"/>
    <w:rsid w:val="006951F4"/>
    <w:rsid w:val="006952E1"/>
    <w:rsid w:val="0069542C"/>
    <w:rsid w:val="00695675"/>
    <w:rsid w:val="00695A98"/>
    <w:rsid w:val="00695EC0"/>
    <w:rsid w:val="00695F3C"/>
    <w:rsid w:val="00695F3D"/>
    <w:rsid w:val="006969DC"/>
    <w:rsid w:val="00697119"/>
    <w:rsid w:val="0069738A"/>
    <w:rsid w:val="0069749A"/>
    <w:rsid w:val="006977EE"/>
    <w:rsid w:val="00697807"/>
    <w:rsid w:val="00697D92"/>
    <w:rsid w:val="00697F00"/>
    <w:rsid w:val="006A0929"/>
    <w:rsid w:val="006A0EA7"/>
    <w:rsid w:val="006A0EAE"/>
    <w:rsid w:val="006A0F5D"/>
    <w:rsid w:val="006A106A"/>
    <w:rsid w:val="006A1E0B"/>
    <w:rsid w:val="006A28E3"/>
    <w:rsid w:val="006A293E"/>
    <w:rsid w:val="006A2F9B"/>
    <w:rsid w:val="006A346B"/>
    <w:rsid w:val="006A34E1"/>
    <w:rsid w:val="006A3FF9"/>
    <w:rsid w:val="006A41EA"/>
    <w:rsid w:val="006A4365"/>
    <w:rsid w:val="006A497B"/>
    <w:rsid w:val="006A4A67"/>
    <w:rsid w:val="006A559B"/>
    <w:rsid w:val="006A611B"/>
    <w:rsid w:val="006A6241"/>
    <w:rsid w:val="006A6721"/>
    <w:rsid w:val="006A6DBB"/>
    <w:rsid w:val="006A741D"/>
    <w:rsid w:val="006A7D8F"/>
    <w:rsid w:val="006B0817"/>
    <w:rsid w:val="006B0CC3"/>
    <w:rsid w:val="006B0EA1"/>
    <w:rsid w:val="006B12BA"/>
    <w:rsid w:val="006B12DA"/>
    <w:rsid w:val="006B1966"/>
    <w:rsid w:val="006B2794"/>
    <w:rsid w:val="006B27BE"/>
    <w:rsid w:val="006B2CDA"/>
    <w:rsid w:val="006B352F"/>
    <w:rsid w:val="006B3544"/>
    <w:rsid w:val="006B35C5"/>
    <w:rsid w:val="006B3BFF"/>
    <w:rsid w:val="006B4608"/>
    <w:rsid w:val="006B50E6"/>
    <w:rsid w:val="006B51B8"/>
    <w:rsid w:val="006B557F"/>
    <w:rsid w:val="006B5856"/>
    <w:rsid w:val="006B5BB2"/>
    <w:rsid w:val="006B623C"/>
    <w:rsid w:val="006B683E"/>
    <w:rsid w:val="006B6932"/>
    <w:rsid w:val="006B6B4A"/>
    <w:rsid w:val="006B7990"/>
    <w:rsid w:val="006B7D02"/>
    <w:rsid w:val="006B7EA6"/>
    <w:rsid w:val="006C0223"/>
    <w:rsid w:val="006C0550"/>
    <w:rsid w:val="006C088B"/>
    <w:rsid w:val="006C09F0"/>
    <w:rsid w:val="006C13CF"/>
    <w:rsid w:val="006C1410"/>
    <w:rsid w:val="006C142A"/>
    <w:rsid w:val="006C170A"/>
    <w:rsid w:val="006C19A9"/>
    <w:rsid w:val="006C2030"/>
    <w:rsid w:val="006C2910"/>
    <w:rsid w:val="006C2CD0"/>
    <w:rsid w:val="006C2E5B"/>
    <w:rsid w:val="006C3A31"/>
    <w:rsid w:val="006C3BC8"/>
    <w:rsid w:val="006C4C4B"/>
    <w:rsid w:val="006C54E2"/>
    <w:rsid w:val="006C5BCD"/>
    <w:rsid w:val="006C60C5"/>
    <w:rsid w:val="006C60D0"/>
    <w:rsid w:val="006C61A3"/>
    <w:rsid w:val="006C64F9"/>
    <w:rsid w:val="006C7047"/>
    <w:rsid w:val="006D04CE"/>
    <w:rsid w:val="006D0A4C"/>
    <w:rsid w:val="006D1A00"/>
    <w:rsid w:val="006D2104"/>
    <w:rsid w:val="006D25E7"/>
    <w:rsid w:val="006D2611"/>
    <w:rsid w:val="006D2AAB"/>
    <w:rsid w:val="006D2B7F"/>
    <w:rsid w:val="006D2ECC"/>
    <w:rsid w:val="006D3752"/>
    <w:rsid w:val="006D37AB"/>
    <w:rsid w:val="006D387D"/>
    <w:rsid w:val="006D3B15"/>
    <w:rsid w:val="006D3BEE"/>
    <w:rsid w:val="006D4457"/>
    <w:rsid w:val="006D4592"/>
    <w:rsid w:val="006D46DF"/>
    <w:rsid w:val="006D477C"/>
    <w:rsid w:val="006D53C8"/>
    <w:rsid w:val="006D57D5"/>
    <w:rsid w:val="006D5D71"/>
    <w:rsid w:val="006D5F38"/>
    <w:rsid w:val="006D604A"/>
    <w:rsid w:val="006D6114"/>
    <w:rsid w:val="006D6971"/>
    <w:rsid w:val="006D6A34"/>
    <w:rsid w:val="006D6B5A"/>
    <w:rsid w:val="006D6B61"/>
    <w:rsid w:val="006D78F4"/>
    <w:rsid w:val="006E1594"/>
    <w:rsid w:val="006E190C"/>
    <w:rsid w:val="006E22C7"/>
    <w:rsid w:val="006E22CE"/>
    <w:rsid w:val="006E2A5B"/>
    <w:rsid w:val="006E2CA3"/>
    <w:rsid w:val="006E3C96"/>
    <w:rsid w:val="006E3DE9"/>
    <w:rsid w:val="006E41E5"/>
    <w:rsid w:val="006E62B7"/>
    <w:rsid w:val="006E73D3"/>
    <w:rsid w:val="006E7481"/>
    <w:rsid w:val="006E786E"/>
    <w:rsid w:val="006E7FDB"/>
    <w:rsid w:val="006F0616"/>
    <w:rsid w:val="006F082F"/>
    <w:rsid w:val="006F0B51"/>
    <w:rsid w:val="006F0C3E"/>
    <w:rsid w:val="006F114C"/>
    <w:rsid w:val="006F132D"/>
    <w:rsid w:val="006F14C1"/>
    <w:rsid w:val="006F2461"/>
    <w:rsid w:val="006F2CC9"/>
    <w:rsid w:val="006F2FE1"/>
    <w:rsid w:val="006F2FE5"/>
    <w:rsid w:val="006F34BA"/>
    <w:rsid w:val="006F350D"/>
    <w:rsid w:val="006F3CA9"/>
    <w:rsid w:val="006F3D59"/>
    <w:rsid w:val="006F4A09"/>
    <w:rsid w:val="006F4C20"/>
    <w:rsid w:val="006F4D28"/>
    <w:rsid w:val="006F5FDB"/>
    <w:rsid w:val="006F60B3"/>
    <w:rsid w:val="006F61AF"/>
    <w:rsid w:val="006F62D0"/>
    <w:rsid w:val="006F6732"/>
    <w:rsid w:val="006F6AA3"/>
    <w:rsid w:val="006F6BFC"/>
    <w:rsid w:val="006F7868"/>
    <w:rsid w:val="00700EBB"/>
    <w:rsid w:val="00701577"/>
    <w:rsid w:val="00701EC0"/>
    <w:rsid w:val="00702570"/>
    <w:rsid w:val="0070295C"/>
    <w:rsid w:val="007029CB"/>
    <w:rsid w:val="00702A3C"/>
    <w:rsid w:val="00702CE2"/>
    <w:rsid w:val="0070303B"/>
    <w:rsid w:val="00703533"/>
    <w:rsid w:val="007039CC"/>
    <w:rsid w:val="00703BCD"/>
    <w:rsid w:val="00703C3F"/>
    <w:rsid w:val="0070414E"/>
    <w:rsid w:val="007049EE"/>
    <w:rsid w:val="00705C39"/>
    <w:rsid w:val="0070636B"/>
    <w:rsid w:val="00706494"/>
    <w:rsid w:val="007066EE"/>
    <w:rsid w:val="007067D6"/>
    <w:rsid w:val="00707239"/>
    <w:rsid w:val="0070744F"/>
    <w:rsid w:val="0070779A"/>
    <w:rsid w:val="00707DE0"/>
    <w:rsid w:val="0071048D"/>
    <w:rsid w:val="00710FE2"/>
    <w:rsid w:val="00712179"/>
    <w:rsid w:val="0071222C"/>
    <w:rsid w:val="00712F4D"/>
    <w:rsid w:val="0071312D"/>
    <w:rsid w:val="00713E50"/>
    <w:rsid w:val="00714A1A"/>
    <w:rsid w:val="00714DC7"/>
    <w:rsid w:val="00715DB5"/>
    <w:rsid w:val="00716055"/>
    <w:rsid w:val="00716690"/>
    <w:rsid w:val="00716794"/>
    <w:rsid w:val="007167C1"/>
    <w:rsid w:val="00716917"/>
    <w:rsid w:val="00716D0D"/>
    <w:rsid w:val="00717A40"/>
    <w:rsid w:val="00717F63"/>
    <w:rsid w:val="007204A1"/>
    <w:rsid w:val="00720685"/>
    <w:rsid w:val="00720C92"/>
    <w:rsid w:val="00720F23"/>
    <w:rsid w:val="00722056"/>
    <w:rsid w:val="00722153"/>
    <w:rsid w:val="00722364"/>
    <w:rsid w:val="007226AF"/>
    <w:rsid w:val="0072295D"/>
    <w:rsid w:val="00722A1B"/>
    <w:rsid w:val="0072320A"/>
    <w:rsid w:val="00723286"/>
    <w:rsid w:val="00723A8E"/>
    <w:rsid w:val="00723CE7"/>
    <w:rsid w:val="00724057"/>
    <w:rsid w:val="00724305"/>
    <w:rsid w:val="00724347"/>
    <w:rsid w:val="0072442D"/>
    <w:rsid w:val="00724461"/>
    <w:rsid w:val="007244BA"/>
    <w:rsid w:val="00724C37"/>
    <w:rsid w:val="0072523B"/>
    <w:rsid w:val="007259A2"/>
    <w:rsid w:val="00725CE9"/>
    <w:rsid w:val="007262B2"/>
    <w:rsid w:val="007264C6"/>
    <w:rsid w:val="00726773"/>
    <w:rsid w:val="00726B9D"/>
    <w:rsid w:val="00726DA7"/>
    <w:rsid w:val="00726FB7"/>
    <w:rsid w:val="00727AFB"/>
    <w:rsid w:val="00730C5D"/>
    <w:rsid w:val="00731006"/>
    <w:rsid w:val="00731514"/>
    <w:rsid w:val="00731AA1"/>
    <w:rsid w:val="007326E8"/>
    <w:rsid w:val="00732A0C"/>
    <w:rsid w:val="007330A6"/>
    <w:rsid w:val="00733E56"/>
    <w:rsid w:val="00733E77"/>
    <w:rsid w:val="0073478C"/>
    <w:rsid w:val="00734E0B"/>
    <w:rsid w:val="00734E82"/>
    <w:rsid w:val="0073506A"/>
    <w:rsid w:val="00735845"/>
    <w:rsid w:val="00736352"/>
    <w:rsid w:val="00736A8E"/>
    <w:rsid w:val="00736D52"/>
    <w:rsid w:val="00737220"/>
    <w:rsid w:val="0073767E"/>
    <w:rsid w:val="00737F47"/>
    <w:rsid w:val="007403EF"/>
    <w:rsid w:val="00740403"/>
    <w:rsid w:val="00740BCA"/>
    <w:rsid w:val="00740DC0"/>
    <w:rsid w:val="0074139E"/>
    <w:rsid w:val="007416FE"/>
    <w:rsid w:val="007429B3"/>
    <w:rsid w:val="00742F0D"/>
    <w:rsid w:val="00742FF8"/>
    <w:rsid w:val="00743110"/>
    <w:rsid w:val="00743803"/>
    <w:rsid w:val="00743C19"/>
    <w:rsid w:val="00743E0A"/>
    <w:rsid w:val="00744F55"/>
    <w:rsid w:val="00745200"/>
    <w:rsid w:val="0074540C"/>
    <w:rsid w:val="00745B9E"/>
    <w:rsid w:val="00746507"/>
    <w:rsid w:val="007467AE"/>
    <w:rsid w:val="00747394"/>
    <w:rsid w:val="00747466"/>
    <w:rsid w:val="0074761E"/>
    <w:rsid w:val="00747C02"/>
    <w:rsid w:val="007500DF"/>
    <w:rsid w:val="007502BD"/>
    <w:rsid w:val="007508F2"/>
    <w:rsid w:val="007513BD"/>
    <w:rsid w:val="007515C9"/>
    <w:rsid w:val="00751971"/>
    <w:rsid w:val="007526D3"/>
    <w:rsid w:val="0075290E"/>
    <w:rsid w:val="00752C15"/>
    <w:rsid w:val="00753297"/>
    <w:rsid w:val="007534C6"/>
    <w:rsid w:val="00753C0E"/>
    <w:rsid w:val="00753F40"/>
    <w:rsid w:val="0075432D"/>
    <w:rsid w:val="00754DC2"/>
    <w:rsid w:val="0075517F"/>
    <w:rsid w:val="007559C6"/>
    <w:rsid w:val="00756599"/>
    <w:rsid w:val="00757185"/>
    <w:rsid w:val="00757320"/>
    <w:rsid w:val="007577C2"/>
    <w:rsid w:val="00757F9F"/>
    <w:rsid w:val="00757FA1"/>
    <w:rsid w:val="0076012E"/>
    <w:rsid w:val="00760225"/>
    <w:rsid w:val="0076068B"/>
    <w:rsid w:val="00760C99"/>
    <w:rsid w:val="007618EC"/>
    <w:rsid w:val="00762441"/>
    <w:rsid w:val="00762627"/>
    <w:rsid w:val="00762C32"/>
    <w:rsid w:val="00762D7B"/>
    <w:rsid w:val="0076313B"/>
    <w:rsid w:val="0076337E"/>
    <w:rsid w:val="00763A80"/>
    <w:rsid w:val="00763F25"/>
    <w:rsid w:val="00764050"/>
    <w:rsid w:val="0076485E"/>
    <w:rsid w:val="00765106"/>
    <w:rsid w:val="0076535F"/>
    <w:rsid w:val="00765895"/>
    <w:rsid w:val="007660E7"/>
    <w:rsid w:val="0076784D"/>
    <w:rsid w:val="00767EFB"/>
    <w:rsid w:val="0077047C"/>
    <w:rsid w:val="00771814"/>
    <w:rsid w:val="00771C70"/>
    <w:rsid w:val="00771C7F"/>
    <w:rsid w:val="00771D11"/>
    <w:rsid w:val="00771F87"/>
    <w:rsid w:val="00772211"/>
    <w:rsid w:val="0077224A"/>
    <w:rsid w:val="00772DF6"/>
    <w:rsid w:val="00774127"/>
    <w:rsid w:val="0077487F"/>
    <w:rsid w:val="007748E6"/>
    <w:rsid w:val="007749C9"/>
    <w:rsid w:val="00774C56"/>
    <w:rsid w:val="0077574A"/>
    <w:rsid w:val="0077589E"/>
    <w:rsid w:val="00776443"/>
    <w:rsid w:val="0077683A"/>
    <w:rsid w:val="00776EC1"/>
    <w:rsid w:val="00776F07"/>
    <w:rsid w:val="00777B88"/>
    <w:rsid w:val="00777D6A"/>
    <w:rsid w:val="00777F19"/>
    <w:rsid w:val="007803EB"/>
    <w:rsid w:val="00781028"/>
    <w:rsid w:val="007810EE"/>
    <w:rsid w:val="00781469"/>
    <w:rsid w:val="00782790"/>
    <w:rsid w:val="007829FF"/>
    <w:rsid w:val="007831E8"/>
    <w:rsid w:val="00783F41"/>
    <w:rsid w:val="00784EB6"/>
    <w:rsid w:val="0078541E"/>
    <w:rsid w:val="00785426"/>
    <w:rsid w:val="00785D0C"/>
    <w:rsid w:val="00785D82"/>
    <w:rsid w:val="00785DAD"/>
    <w:rsid w:val="007864B3"/>
    <w:rsid w:val="007874DE"/>
    <w:rsid w:val="00787D8F"/>
    <w:rsid w:val="00790234"/>
    <w:rsid w:val="007904A7"/>
    <w:rsid w:val="00790EAD"/>
    <w:rsid w:val="007913EB"/>
    <w:rsid w:val="00791C58"/>
    <w:rsid w:val="00792373"/>
    <w:rsid w:val="00792399"/>
    <w:rsid w:val="00792FCD"/>
    <w:rsid w:val="007937EA"/>
    <w:rsid w:val="0079490C"/>
    <w:rsid w:val="007949D6"/>
    <w:rsid w:val="00794E78"/>
    <w:rsid w:val="00794E93"/>
    <w:rsid w:val="0079509F"/>
    <w:rsid w:val="0079519F"/>
    <w:rsid w:val="0079659F"/>
    <w:rsid w:val="007966D1"/>
    <w:rsid w:val="00796F47"/>
    <w:rsid w:val="007971CA"/>
    <w:rsid w:val="00797F18"/>
    <w:rsid w:val="007A0905"/>
    <w:rsid w:val="007A0CC1"/>
    <w:rsid w:val="007A0EAE"/>
    <w:rsid w:val="007A110D"/>
    <w:rsid w:val="007A2037"/>
    <w:rsid w:val="007A25E6"/>
    <w:rsid w:val="007A2A88"/>
    <w:rsid w:val="007A3297"/>
    <w:rsid w:val="007A3469"/>
    <w:rsid w:val="007A4349"/>
    <w:rsid w:val="007A4530"/>
    <w:rsid w:val="007A49A6"/>
    <w:rsid w:val="007A4F3F"/>
    <w:rsid w:val="007A5332"/>
    <w:rsid w:val="007A53A7"/>
    <w:rsid w:val="007A5F0E"/>
    <w:rsid w:val="007A6523"/>
    <w:rsid w:val="007A6B0C"/>
    <w:rsid w:val="007A7300"/>
    <w:rsid w:val="007A7557"/>
    <w:rsid w:val="007A7577"/>
    <w:rsid w:val="007A765E"/>
    <w:rsid w:val="007B0084"/>
    <w:rsid w:val="007B041F"/>
    <w:rsid w:val="007B1862"/>
    <w:rsid w:val="007B18AB"/>
    <w:rsid w:val="007B1A4E"/>
    <w:rsid w:val="007B1B5F"/>
    <w:rsid w:val="007B1BF7"/>
    <w:rsid w:val="007B244D"/>
    <w:rsid w:val="007B2D1A"/>
    <w:rsid w:val="007B33F7"/>
    <w:rsid w:val="007B3463"/>
    <w:rsid w:val="007B3EC1"/>
    <w:rsid w:val="007B419B"/>
    <w:rsid w:val="007B4488"/>
    <w:rsid w:val="007B4674"/>
    <w:rsid w:val="007B4F3B"/>
    <w:rsid w:val="007B5BA5"/>
    <w:rsid w:val="007B6496"/>
    <w:rsid w:val="007B6DC0"/>
    <w:rsid w:val="007B7032"/>
    <w:rsid w:val="007B7616"/>
    <w:rsid w:val="007B7E0C"/>
    <w:rsid w:val="007C0381"/>
    <w:rsid w:val="007C074E"/>
    <w:rsid w:val="007C0E52"/>
    <w:rsid w:val="007C1BE7"/>
    <w:rsid w:val="007C1ED9"/>
    <w:rsid w:val="007C1F10"/>
    <w:rsid w:val="007C24CD"/>
    <w:rsid w:val="007C334F"/>
    <w:rsid w:val="007C3C44"/>
    <w:rsid w:val="007C3EC3"/>
    <w:rsid w:val="007C48D8"/>
    <w:rsid w:val="007C4EF6"/>
    <w:rsid w:val="007C5677"/>
    <w:rsid w:val="007C59A9"/>
    <w:rsid w:val="007C6CD4"/>
    <w:rsid w:val="007C7472"/>
    <w:rsid w:val="007D018D"/>
    <w:rsid w:val="007D0428"/>
    <w:rsid w:val="007D0BA6"/>
    <w:rsid w:val="007D1496"/>
    <w:rsid w:val="007D1561"/>
    <w:rsid w:val="007D1740"/>
    <w:rsid w:val="007D1824"/>
    <w:rsid w:val="007D19A9"/>
    <w:rsid w:val="007D1B89"/>
    <w:rsid w:val="007D289C"/>
    <w:rsid w:val="007D38F7"/>
    <w:rsid w:val="007D3C30"/>
    <w:rsid w:val="007D4048"/>
    <w:rsid w:val="007D444F"/>
    <w:rsid w:val="007D457C"/>
    <w:rsid w:val="007D4B21"/>
    <w:rsid w:val="007D4B41"/>
    <w:rsid w:val="007D5439"/>
    <w:rsid w:val="007D5853"/>
    <w:rsid w:val="007D598A"/>
    <w:rsid w:val="007D59B2"/>
    <w:rsid w:val="007D5B29"/>
    <w:rsid w:val="007D5C39"/>
    <w:rsid w:val="007D62E9"/>
    <w:rsid w:val="007D6853"/>
    <w:rsid w:val="007D6D5D"/>
    <w:rsid w:val="007D7318"/>
    <w:rsid w:val="007D74B0"/>
    <w:rsid w:val="007D74E5"/>
    <w:rsid w:val="007D7FEC"/>
    <w:rsid w:val="007D7FF7"/>
    <w:rsid w:val="007E0D1A"/>
    <w:rsid w:val="007E16C4"/>
    <w:rsid w:val="007E1B4E"/>
    <w:rsid w:val="007E275D"/>
    <w:rsid w:val="007E29A6"/>
    <w:rsid w:val="007E2E6A"/>
    <w:rsid w:val="007E377D"/>
    <w:rsid w:val="007E3B3D"/>
    <w:rsid w:val="007E3BA0"/>
    <w:rsid w:val="007E41D6"/>
    <w:rsid w:val="007E42E5"/>
    <w:rsid w:val="007E4330"/>
    <w:rsid w:val="007E43CF"/>
    <w:rsid w:val="007E4955"/>
    <w:rsid w:val="007E4DD8"/>
    <w:rsid w:val="007E5304"/>
    <w:rsid w:val="007E542F"/>
    <w:rsid w:val="007E57D7"/>
    <w:rsid w:val="007E5B95"/>
    <w:rsid w:val="007E5B96"/>
    <w:rsid w:val="007E5EA7"/>
    <w:rsid w:val="007E6256"/>
    <w:rsid w:val="007E6594"/>
    <w:rsid w:val="007E7091"/>
    <w:rsid w:val="007E7345"/>
    <w:rsid w:val="007E7D57"/>
    <w:rsid w:val="007E7F17"/>
    <w:rsid w:val="007F005E"/>
    <w:rsid w:val="007F0469"/>
    <w:rsid w:val="007F08B3"/>
    <w:rsid w:val="007F0C89"/>
    <w:rsid w:val="007F0CE6"/>
    <w:rsid w:val="007F1108"/>
    <w:rsid w:val="007F1166"/>
    <w:rsid w:val="007F1AAB"/>
    <w:rsid w:val="007F2753"/>
    <w:rsid w:val="007F2EB6"/>
    <w:rsid w:val="007F35D1"/>
    <w:rsid w:val="007F3911"/>
    <w:rsid w:val="007F4196"/>
    <w:rsid w:val="007F4300"/>
    <w:rsid w:val="007F4320"/>
    <w:rsid w:val="007F480C"/>
    <w:rsid w:val="007F4DE8"/>
    <w:rsid w:val="007F5AF2"/>
    <w:rsid w:val="007F5B91"/>
    <w:rsid w:val="007F61E0"/>
    <w:rsid w:val="007F6A05"/>
    <w:rsid w:val="007F6B52"/>
    <w:rsid w:val="007F6B68"/>
    <w:rsid w:val="007F774F"/>
    <w:rsid w:val="007F7D4D"/>
    <w:rsid w:val="00800393"/>
    <w:rsid w:val="00800477"/>
    <w:rsid w:val="0080091E"/>
    <w:rsid w:val="00800ABC"/>
    <w:rsid w:val="00800EC5"/>
    <w:rsid w:val="00801020"/>
    <w:rsid w:val="00801066"/>
    <w:rsid w:val="00801334"/>
    <w:rsid w:val="0080157F"/>
    <w:rsid w:val="008017E8"/>
    <w:rsid w:val="00801CD3"/>
    <w:rsid w:val="0080212E"/>
    <w:rsid w:val="008027D0"/>
    <w:rsid w:val="00802931"/>
    <w:rsid w:val="00802955"/>
    <w:rsid w:val="00803CF6"/>
    <w:rsid w:val="008044A3"/>
    <w:rsid w:val="008053BC"/>
    <w:rsid w:val="00805ABD"/>
    <w:rsid w:val="00805D20"/>
    <w:rsid w:val="0080692F"/>
    <w:rsid w:val="0080701A"/>
    <w:rsid w:val="0080776F"/>
    <w:rsid w:val="008077CD"/>
    <w:rsid w:val="00807909"/>
    <w:rsid w:val="00807EF6"/>
    <w:rsid w:val="00810678"/>
    <w:rsid w:val="00810AD1"/>
    <w:rsid w:val="00812206"/>
    <w:rsid w:val="00812690"/>
    <w:rsid w:val="0081320E"/>
    <w:rsid w:val="008132F9"/>
    <w:rsid w:val="00814174"/>
    <w:rsid w:val="00814560"/>
    <w:rsid w:val="00815AD4"/>
    <w:rsid w:val="00815F02"/>
    <w:rsid w:val="00815F1B"/>
    <w:rsid w:val="00816946"/>
    <w:rsid w:val="00816B06"/>
    <w:rsid w:val="008170E9"/>
    <w:rsid w:val="00820365"/>
    <w:rsid w:val="0082039F"/>
    <w:rsid w:val="0082063C"/>
    <w:rsid w:val="008207BE"/>
    <w:rsid w:val="00820C87"/>
    <w:rsid w:val="0082133C"/>
    <w:rsid w:val="00821EC8"/>
    <w:rsid w:val="008222F6"/>
    <w:rsid w:val="0082256A"/>
    <w:rsid w:val="0082295E"/>
    <w:rsid w:val="0082296E"/>
    <w:rsid w:val="008231FB"/>
    <w:rsid w:val="00823719"/>
    <w:rsid w:val="00823A20"/>
    <w:rsid w:val="00823B7C"/>
    <w:rsid w:val="00823FEE"/>
    <w:rsid w:val="00824073"/>
    <w:rsid w:val="00824218"/>
    <w:rsid w:val="00824A01"/>
    <w:rsid w:val="00825107"/>
    <w:rsid w:val="00826564"/>
    <w:rsid w:val="0082695B"/>
    <w:rsid w:val="00827B37"/>
    <w:rsid w:val="00830895"/>
    <w:rsid w:val="008309FD"/>
    <w:rsid w:val="00831489"/>
    <w:rsid w:val="008314B8"/>
    <w:rsid w:val="008314FF"/>
    <w:rsid w:val="0083181F"/>
    <w:rsid w:val="00831F98"/>
    <w:rsid w:val="00832920"/>
    <w:rsid w:val="00832B34"/>
    <w:rsid w:val="00832E33"/>
    <w:rsid w:val="0083346D"/>
    <w:rsid w:val="0083410E"/>
    <w:rsid w:val="00834601"/>
    <w:rsid w:val="00834703"/>
    <w:rsid w:val="008347F3"/>
    <w:rsid w:val="00834835"/>
    <w:rsid w:val="00834904"/>
    <w:rsid w:val="0083518E"/>
    <w:rsid w:val="00836F09"/>
    <w:rsid w:val="00837270"/>
    <w:rsid w:val="00837619"/>
    <w:rsid w:val="008378FE"/>
    <w:rsid w:val="00840805"/>
    <w:rsid w:val="00840A6D"/>
    <w:rsid w:val="00841097"/>
    <w:rsid w:val="0084174B"/>
    <w:rsid w:val="0084180D"/>
    <w:rsid w:val="00841C4A"/>
    <w:rsid w:val="008421CD"/>
    <w:rsid w:val="00842223"/>
    <w:rsid w:val="008429E4"/>
    <w:rsid w:val="00842F39"/>
    <w:rsid w:val="00843530"/>
    <w:rsid w:val="008436AE"/>
    <w:rsid w:val="008442BF"/>
    <w:rsid w:val="008442CE"/>
    <w:rsid w:val="00844ED9"/>
    <w:rsid w:val="00845079"/>
    <w:rsid w:val="00845883"/>
    <w:rsid w:val="00846A6E"/>
    <w:rsid w:val="00847845"/>
    <w:rsid w:val="00847BEF"/>
    <w:rsid w:val="00847EBC"/>
    <w:rsid w:val="00847F8E"/>
    <w:rsid w:val="008500E7"/>
    <w:rsid w:val="0085057C"/>
    <w:rsid w:val="008506B1"/>
    <w:rsid w:val="00850988"/>
    <w:rsid w:val="00850B8E"/>
    <w:rsid w:val="00851531"/>
    <w:rsid w:val="008518F7"/>
    <w:rsid w:val="00851D7D"/>
    <w:rsid w:val="00852B47"/>
    <w:rsid w:val="00852EE1"/>
    <w:rsid w:val="00853224"/>
    <w:rsid w:val="00853356"/>
    <w:rsid w:val="00853A77"/>
    <w:rsid w:val="00854107"/>
    <w:rsid w:val="008541E7"/>
    <w:rsid w:val="0085544E"/>
    <w:rsid w:val="00855A4A"/>
    <w:rsid w:val="00855B0A"/>
    <w:rsid w:val="00855DA4"/>
    <w:rsid w:val="00855E3C"/>
    <w:rsid w:val="00855F41"/>
    <w:rsid w:val="008566FF"/>
    <w:rsid w:val="00856D39"/>
    <w:rsid w:val="00857197"/>
    <w:rsid w:val="0085758F"/>
    <w:rsid w:val="008575D6"/>
    <w:rsid w:val="00857FC3"/>
    <w:rsid w:val="008604D0"/>
    <w:rsid w:val="00860B29"/>
    <w:rsid w:val="00860D9E"/>
    <w:rsid w:val="0086101B"/>
    <w:rsid w:val="008614C5"/>
    <w:rsid w:val="00861881"/>
    <w:rsid w:val="008625DA"/>
    <w:rsid w:val="00862C1B"/>
    <w:rsid w:val="008641A4"/>
    <w:rsid w:val="00864395"/>
    <w:rsid w:val="00864778"/>
    <w:rsid w:val="00865122"/>
    <w:rsid w:val="00865518"/>
    <w:rsid w:val="00865AF3"/>
    <w:rsid w:val="0086604B"/>
    <w:rsid w:val="00866213"/>
    <w:rsid w:val="00866BA1"/>
    <w:rsid w:val="00867CC4"/>
    <w:rsid w:val="00867DC1"/>
    <w:rsid w:val="00867F1F"/>
    <w:rsid w:val="00870B9D"/>
    <w:rsid w:val="00870D9F"/>
    <w:rsid w:val="0087178C"/>
    <w:rsid w:val="00871D8A"/>
    <w:rsid w:val="0087228F"/>
    <w:rsid w:val="0087252D"/>
    <w:rsid w:val="00874321"/>
    <w:rsid w:val="00874328"/>
    <w:rsid w:val="008743BE"/>
    <w:rsid w:val="00874EC9"/>
    <w:rsid w:val="00874ECE"/>
    <w:rsid w:val="008750BA"/>
    <w:rsid w:val="0087666A"/>
    <w:rsid w:val="00876BCB"/>
    <w:rsid w:val="008814A2"/>
    <w:rsid w:val="00881AA2"/>
    <w:rsid w:val="008820CA"/>
    <w:rsid w:val="0088304B"/>
    <w:rsid w:val="00883839"/>
    <w:rsid w:val="0088385C"/>
    <w:rsid w:val="00884BED"/>
    <w:rsid w:val="00885512"/>
    <w:rsid w:val="008856AD"/>
    <w:rsid w:val="00885B39"/>
    <w:rsid w:val="008862C5"/>
    <w:rsid w:val="008866C3"/>
    <w:rsid w:val="00886F2F"/>
    <w:rsid w:val="008874FA"/>
    <w:rsid w:val="00887700"/>
    <w:rsid w:val="008900B9"/>
    <w:rsid w:val="0089048E"/>
    <w:rsid w:val="00890854"/>
    <w:rsid w:val="00891019"/>
    <w:rsid w:val="008910B5"/>
    <w:rsid w:val="00891516"/>
    <w:rsid w:val="00891821"/>
    <w:rsid w:val="008920F4"/>
    <w:rsid w:val="008925ED"/>
    <w:rsid w:val="008926BE"/>
    <w:rsid w:val="00892B3C"/>
    <w:rsid w:val="00892CDA"/>
    <w:rsid w:val="00892FDF"/>
    <w:rsid w:val="00893FA7"/>
    <w:rsid w:val="008940CB"/>
    <w:rsid w:val="00894311"/>
    <w:rsid w:val="00895719"/>
    <w:rsid w:val="008958B7"/>
    <w:rsid w:val="008961DA"/>
    <w:rsid w:val="00896BCB"/>
    <w:rsid w:val="00896E1F"/>
    <w:rsid w:val="008975AB"/>
    <w:rsid w:val="00897688"/>
    <w:rsid w:val="00897933"/>
    <w:rsid w:val="00897AC2"/>
    <w:rsid w:val="008A0595"/>
    <w:rsid w:val="008A081C"/>
    <w:rsid w:val="008A0848"/>
    <w:rsid w:val="008A1617"/>
    <w:rsid w:val="008A1861"/>
    <w:rsid w:val="008A223D"/>
    <w:rsid w:val="008A23A2"/>
    <w:rsid w:val="008A27ED"/>
    <w:rsid w:val="008A30BB"/>
    <w:rsid w:val="008A30C2"/>
    <w:rsid w:val="008A354F"/>
    <w:rsid w:val="008A390A"/>
    <w:rsid w:val="008A3EA7"/>
    <w:rsid w:val="008A3F76"/>
    <w:rsid w:val="008A429C"/>
    <w:rsid w:val="008A477C"/>
    <w:rsid w:val="008A4877"/>
    <w:rsid w:val="008A5225"/>
    <w:rsid w:val="008A5460"/>
    <w:rsid w:val="008A5776"/>
    <w:rsid w:val="008A5A19"/>
    <w:rsid w:val="008A6B5A"/>
    <w:rsid w:val="008A6D64"/>
    <w:rsid w:val="008A7C55"/>
    <w:rsid w:val="008A7EF8"/>
    <w:rsid w:val="008B13D4"/>
    <w:rsid w:val="008B1498"/>
    <w:rsid w:val="008B15A3"/>
    <w:rsid w:val="008B1644"/>
    <w:rsid w:val="008B19B1"/>
    <w:rsid w:val="008B1C23"/>
    <w:rsid w:val="008B1D78"/>
    <w:rsid w:val="008B3074"/>
    <w:rsid w:val="008B3185"/>
    <w:rsid w:val="008B3ED5"/>
    <w:rsid w:val="008B4870"/>
    <w:rsid w:val="008B4CFA"/>
    <w:rsid w:val="008B5080"/>
    <w:rsid w:val="008B70D7"/>
    <w:rsid w:val="008B730D"/>
    <w:rsid w:val="008B76A4"/>
    <w:rsid w:val="008B76E0"/>
    <w:rsid w:val="008B7884"/>
    <w:rsid w:val="008B7C8D"/>
    <w:rsid w:val="008C01F9"/>
    <w:rsid w:val="008C039A"/>
    <w:rsid w:val="008C0401"/>
    <w:rsid w:val="008C04F1"/>
    <w:rsid w:val="008C0588"/>
    <w:rsid w:val="008C08E8"/>
    <w:rsid w:val="008C0DDD"/>
    <w:rsid w:val="008C133B"/>
    <w:rsid w:val="008C17EB"/>
    <w:rsid w:val="008C1EAF"/>
    <w:rsid w:val="008C3A11"/>
    <w:rsid w:val="008C4D77"/>
    <w:rsid w:val="008C5460"/>
    <w:rsid w:val="008C5564"/>
    <w:rsid w:val="008C57C2"/>
    <w:rsid w:val="008C6E6A"/>
    <w:rsid w:val="008C710E"/>
    <w:rsid w:val="008C74E0"/>
    <w:rsid w:val="008C76A0"/>
    <w:rsid w:val="008C7939"/>
    <w:rsid w:val="008C7A98"/>
    <w:rsid w:val="008C7F1A"/>
    <w:rsid w:val="008D04A2"/>
    <w:rsid w:val="008D052D"/>
    <w:rsid w:val="008D07FB"/>
    <w:rsid w:val="008D0CBE"/>
    <w:rsid w:val="008D0D1C"/>
    <w:rsid w:val="008D1260"/>
    <w:rsid w:val="008D1B14"/>
    <w:rsid w:val="008D1CEA"/>
    <w:rsid w:val="008D1D9C"/>
    <w:rsid w:val="008D1F6D"/>
    <w:rsid w:val="008D234D"/>
    <w:rsid w:val="008D3484"/>
    <w:rsid w:val="008D3813"/>
    <w:rsid w:val="008D3B36"/>
    <w:rsid w:val="008D40AF"/>
    <w:rsid w:val="008D47A2"/>
    <w:rsid w:val="008D5239"/>
    <w:rsid w:val="008D578E"/>
    <w:rsid w:val="008D590D"/>
    <w:rsid w:val="008D5922"/>
    <w:rsid w:val="008D61BB"/>
    <w:rsid w:val="008D722C"/>
    <w:rsid w:val="008E01A0"/>
    <w:rsid w:val="008E02AE"/>
    <w:rsid w:val="008E0F13"/>
    <w:rsid w:val="008E168E"/>
    <w:rsid w:val="008E2268"/>
    <w:rsid w:val="008E2D35"/>
    <w:rsid w:val="008E3D77"/>
    <w:rsid w:val="008E42E2"/>
    <w:rsid w:val="008E45BF"/>
    <w:rsid w:val="008E45DB"/>
    <w:rsid w:val="008E4CAC"/>
    <w:rsid w:val="008E57B1"/>
    <w:rsid w:val="008E5D06"/>
    <w:rsid w:val="008E5D6F"/>
    <w:rsid w:val="008E5FD0"/>
    <w:rsid w:val="008E673C"/>
    <w:rsid w:val="008E6B55"/>
    <w:rsid w:val="008E6BCF"/>
    <w:rsid w:val="008E7ADD"/>
    <w:rsid w:val="008E7D0F"/>
    <w:rsid w:val="008E7D93"/>
    <w:rsid w:val="008E7E02"/>
    <w:rsid w:val="008F0679"/>
    <w:rsid w:val="008F117B"/>
    <w:rsid w:val="008F143D"/>
    <w:rsid w:val="008F231B"/>
    <w:rsid w:val="008F33C5"/>
    <w:rsid w:val="008F3815"/>
    <w:rsid w:val="008F38C0"/>
    <w:rsid w:val="008F3DDA"/>
    <w:rsid w:val="008F50AD"/>
    <w:rsid w:val="008F52C9"/>
    <w:rsid w:val="008F5409"/>
    <w:rsid w:val="008F5FC3"/>
    <w:rsid w:val="008F620D"/>
    <w:rsid w:val="008F73CC"/>
    <w:rsid w:val="008F7C18"/>
    <w:rsid w:val="008F7DAB"/>
    <w:rsid w:val="008F7FAE"/>
    <w:rsid w:val="00900581"/>
    <w:rsid w:val="00900BEB"/>
    <w:rsid w:val="00900DB4"/>
    <w:rsid w:val="0090192F"/>
    <w:rsid w:val="0090242B"/>
    <w:rsid w:val="00902470"/>
    <w:rsid w:val="009026D7"/>
    <w:rsid w:val="00902ED5"/>
    <w:rsid w:val="00904046"/>
    <w:rsid w:val="0090438A"/>
    <w:rsid w:val="0090526C"/>
    <w:rsid w:val="009053CD"/>
    <w:rsid w:val="009059E2"/>
    <w:rsid w:val="00905E70"/>
    <w:rsid w:val="00906461"/>
    <w:rsid w:val="009066BA"/>
    <w:rsid w:val="00906DCE"/>
    <w:rsid w:val="00906E67"/>
    <w:rsid w:val="00906ED2"/>
    <w:rsid w:val="00907168"/>
    <w:rsid w:val="00907DFD"/>
    <w:rsid w:val="00910063"/>
    <w:rsid w:val="009100B3"/>
    <w:rsid w:val="009108E9"/>
    <w:rsid w:val="00911B83"/>
    <w:rsid w:val="00912218"/>
    <w:rsid w:val="009131E6"/>
    <w:rsid w:val="00913476"/>
    <w:rsid w:val="0091366C"/>
    <w:rsid w:val="0091371B"/>
    <w:rsid w:val="00914BA5"/>
    <w:rsid w:val="0091559C"/>
    <w:rsid w:val="00915BB6"/>
    <w:rsid w:val="00916214"/>
    <w:rsid w:val="0091631D"/>
    <w:rsid w:val="00916783"/>
    <w:rsid w:val="00917288"/>
    <w:rsid w:val="00917BE4"/>
    <w:rsid w:val="00917FB2"/>
    <w:rsid w:val="0092065F"/>
    <w:rsid w:val="00920DEE"/>
    <w:rsid w:val="009214F2"/>
    <w:rsid w:val="0092156E"/>
    <w:rsid w:val="009217D6"/>
    <w:rsid w:val="00921CC6"/>
    <w:rsid w:val="00921E11"/>
    <w:rsid w:val="0092206D"/>
    <w:rsid w:val="009226F4"/>
    <w:rsid w:val="00923F23"/>
    <w:rsid w:val="00924C14"/>
    <w:rsid w:val="009251D9"/>
    <w:rsid w:val="00925618"/>
    <w:rsid w:val="009259BE"/>
    <w:rsid w:val="00925AB7"/>
    <w:rsid w:val="00926C2F"/>
    <w:rsid w:val="009270F9"/>
    <w:rsid w:val="00927D98"/>
    <w:rsid w:val="009303E5"/>
    <w:rsid w:val="0093047D"/>
    <w:rsid w:val="0093064C"/>
    <w:rsid w:val="009306AA"/>
    <w:rsid w:val="00931CF8"/>
    <w:rsid w:val="00931D77"/>
    <w:rsid w:val="00931FB3"/>
    <w:rsid w:val="0093205E"/>
    <w:rsid w:val="00932293"/>
    <w:rsid w:val="009323A1"/>
    <w:rsid w:val="00932635"/>
    <w:rsid w:val="009327E2"/>
    <w:rsid w:val="009331DA"/>
    <w:rsid w:val="00933340"/>
    <w:rsid w:val="0093385C"/>
    <w:rsid w:val="00933949"/>
    <w:rsid w:val="00933C15"/>
    <w:rsid w:val="00933D45"/>
    <w:rsid w:val="00933F5E"/>
    <w:rsid w:val="0093437A"/>
    <w:rsid w:val="00934400"/>
    <w:rsid w:val="0093448F"/>
    <w:rsid w:val="009349E1"/>
    <w:rsid w:val="00934E62"/>
    <w:rsid w:val="00935143"/>
    <w:rsid w:val="00936789"/>
    <w:rsid w:val="00937EB0"/>
    <w:rsid w:val="009428BF"/>
    <w:rsid w:val="0094356B"/>
    <w:rsid w:val="009435D8"/>
    <w:rsid w:val="00943A21"/>
    <w:rsid w:val="00943D6E"/>
    <w:rsid w:val="00943DD3"/>
    <w:rsid w:val="00943F00"/>
    <w:rsid w:val="0094422B"/>
    <w:rsid w:val="00944C47"/>
    <w:rsid w:val="00944E2D"/>
    <w:rsid w:val="00945E54"/>
    <w:rsid w:val="00945FA3"/>
    <w:rsid w:val="0094624B"/>
    <w:rsid w:val="00946990"/>
    <w:rsid w:val="00946FB6"/>
    <w:rsid w:val="0094744F"/>
    <w:rsid w:val="009478E3"/>
    <w:rsid w:val="00947B44"/>
    <w:rsid w:val="00947C13"/>
    <w:rsid w:val="00947C97"/>
    <w:rsid w:val="00947EB5"/>
    <w:rsid w:val="0095046B"/>
    <w:rsid w:val="00950559"/>
    <w:rsid w:val="00950E41"/>
    <w:rsid w:val="00951004"/>
    <w:rsid w:val="00951D1E"/>
    <w:rsid w:val="009525BF"/>
    <w:rsid w:val="00952946"/>
    <w:rsid w:val="00952DDC"/>
    <w:rsid w:val="00953744"/>
    <w:rsid w:val="00954305"/>
    <w:rsid w:val="009543B3"/>
    <w:rsid w:val="009544D6"/>
    <w:rsid w:val="0095454F"/>
    <w:rsid w:val="009548F7"/>
    <w:rsid w:val="00954E16"/>
    <w:rsid w:val="00955001"/>
    <w:rsid w:val="009550FB"/>
    <w:rsid w:val="00955584"/>
    <w:rsid w:val="00955721"/>
    <w:rsid w:val="00957182"/>
    <w:rsid w:val="00960C12"/>
    <w:rsid w:val="009612D3"/>
    <w:rsid w:val="009612D6"/>
    <w:rsid w:val="00961BAA"/>
    <w:rsid w:val="00961EA4"/>
    <w:rsid w:val="00962FC5"/>
    <w:rsid w:val="009630AF"/>
    <w:rsid w:val="009632A0"/>
    <w:rsid w:val="0096340A"/>
    <w:rsid w:val="0096393E"/>
    <w:rsid w:val="0096430C"/>
    <w:rsid w:val="0096482E"/>
    <w:rsid w:val="00964A57"/>
    <w:rsid w:val="00964BF2"/>
    <w:rsid w:val="00964CFF"/>
    <w:rsid w:val="009656FD"/>
    <w:rsid w:val="0096656D"/>
    <w:rsid w:val="00966AD5"/>
    <w:rsid w:val="009673C2"/>
    <w:rsid w:val="0096762C"/>
    <w:rsid w:val="009678FF"/>
    <w:rsid w:val="00967EAD"/>
    <w:rsid w:val="00970ECE"/>
    <w:rsid w:val="009713B6"/>
    <w:rsid w:val="009714E7"/>
    <w:rsid w:val="009719C2"/>
    <w:rsid w:val="00971A02"/>
    <w:rsid w:val="00972717"/>
    <w:rsid w:val="009732BE"/>
    <w:rsid w:val="009734F5"/>
    <w:rsid w:val="00973D12"/>
    <w:rsid w:val="00973E83"/>
    <w:rsid w:val="0097437F"/>
    <w:rsid w:val="009743EB"/>
    <w:rsid w:val="00974B82"/>
    <w:rsid w:val="00974E36"/>
    <w:rsid w:val="00975261"/>
    <w:rsid w:val="0097676B"/>
    <w:rsid w:val="0097687C"/>
    <w:rsid w:val="009771FB"/>
    <w:rsid w:val="0097735D"/>
    <w:rsid w:val="009777CA"/>
    <w:rsid w:val="009807FC"/>
    <w:rsid w:val="00980E66"/>
    <w:rsid w:val="009813CF"/>
    <w:rsid w:val="00981477"/>
    <w:rsid w:val="009814F4"/>
    <w:rsid w:val="0098164C"/>
    <w:rsid w:val="00981D92"/>
    <w:rsid w:val="0098237A"/>
    <w:rsid w:val="0098280F"/>
    <w:rsid w:val="00984565"/>
    <w:rsid w:val="00984567"/>
    <w:rsid w:val="00984EE0"/>
    <w:rsid w:val="0098672F"/>
    <w:rsid w:val="009877DC"/>
    <w:rsid w:val="0098794E"/>
    <w:rsid w:val="00987C87"/>
    <w:rsid w:val="00987CC4"/>
    <w:rsid w:val="009900D9"/>
    <w:rsid w:val="00990381"/>
    <w:rsid w:val="00990DD3"/>
    <w:rsid w:val="00992063"/>
    <w:rsid w:val="0099261B"/>
    <w:rsid w:val="009928C8"/>
    <w:rsid w:val="009929CB"/>
    <w:rsid w:val="00992D0C"/>
    <w:rsid w:val="0099357E"/>
    <w:rsid w:val="0099461A"/>
    <w:rsid w:val="0099599C"/>
    <w:rsid w:val="00995A67"/>
    <w:rsid w:val="00995A88"/>
    <w:rsid w:val="00996998"/>
    <w:rsid w:val="009969CA"/>
    <w:rsid w:val="00996C0C"/>
    <w:rsid w:val="00996E09"/>
    <w:rsid w:val="00996FD6"/>
    <w:rsid w:val="009974B1"/>
    <w:rsid w:val="009978FD"/>
    <w:rsid w:val="00997A5C"/>
    <w:rsid w:val="009A132C"/>
    <w:rsid w:val="009A193C"/>
    <w:rsid w:val="009A30C8"/>
    <w:rsid w:val="009A40F1"/>
    <w:rsid w:val="009A46A7"/>
    <w:rsid w:val="009A4F0C"/>
    <w:rsid w:val="009A4F32"/>
    <w:rsid w:val="009A545B"/>
    <w:rsid w:val="009A5ADB"/>
    <w:rsid w:val="009A5E09"/>
    <w:rsid w:val="009A6578"/>
    <w:rsid w:val="009A6725"/>
    <w:rsid w:val="009A6EE0"/>
    <w:rsid w:val="009B018C"/>
    <w:rsid w:val="009B0318"/>
    <w:rsid w:val="009B038C"/>
    <w:rsid w:val="009B080D"/>
    <w:rsid w:val="009B136A"/>
    <w:rsid w:val="009B1D9F"/>
    <w:rsid w:val="009B219A"/>
    <w:rsid w:val="009B29E9"/>
    <w:rsid w:val="009B2D7B"/>
    <w:rsid w:val="009B49EB"/>
    <w:rsid w:val="009B4A2E"/>
    <w:rsid w:val="009B50D8"/>
    <w:rsid w:val="009B53E1"/>
    <w:rsid w:val="009B5F38"/>
    <w:rsid w:val="009B60EF"/>
    <w:rsid w:val="009B6349"/>
    <w:rsid w:val="009B6623"/>
    <w:rsid w:val="009B6673"/>
    <w:rsid w:val="009B6717"/>
    <w:rsid w:val="009B6795"/>
    <w:rsid w:val="009B6B11"/>
    <w:rsid w:val="009C0C70"/>
    <w:rsid w:val="009C10C4"/>
    <w:rsid w:val="009C1F89"/>
    <w:rsid w:val="009C20A1"/>
    <w:rsid w:val="009C24AF"/>
    <w:rsid w:val="009C2CF7"/>
    <w:rsid w:val="009C45CD"/>
    <w:rsid w:val="009C49DB"/>
    <w:rsid w:val="009C4C51"/>
    <w:rsid w:val="009C58AB"/>
    <w:rsid w:val="009C5E88"/>
    <w:rsid w:val="009C6989"/>
    <w:rsid w:val="009C6EAA"/>
    <w:rsid w:val="009C7275"/>
    <w:rsid w:val="009C7663"/>
    <w:rsid w:val="009C7A29"/>
    <w:rsid w:val="009C7E48"/>
    <w:rsid w:val="009C7FE4"/>
    <w:rsid w:val="009D0433"/>
    <w:rsid w:val="009D0A36"/>
    <w:rsid w:val="009D0AC9"/>
    <w:rsid w:val="009D0AFF"/>
    <w:rsid w:val="009D1FA6"/>
    <w:rsid w:val="009D239B"/>
    <w:rsid w:val="009D2882"/>
    <w:rsid w:val="009D359E"/>
    <w:rsid w:val="009D36C6"/>
    <w:rsid w:val="009D39BE"/>
    <w:rsid w:val="009D3E69"/>
    <w:rsid w:val="009D4177"/>
    <w:rsid w:val="009D4C84"/>
    <w:rsid w:val="009D4E99"/>
    <w:rsid w:val="009D540A"/>
    <w:rsid w:val="009D5448"/>
    <w:rsid w:val="009D564D"/>
    <w:rsid w:val="009D5671"/>
    <w:rsid w:val="009D5F5C"/>
    <w:rsid w:val="009D6006"/>
    <w:rsid w:val="009D72CC"/>
    <w:rsid w:val="009D7AA3"/>
    <w:rsid w:val="009D7CE7"/>
    <w:rsid w:val="009E0555"/>
    <w:rsid w:val="009E0841"/>
    <w:rsid w:val="009E0B5A"/>
    <w:rsid w:val="009E0DDD"/>
    <w:rsid w:val="009E102E"/>
    <w:rsid w:val="009E13BB"/>
    <w:rsid w:val="009E15BD"/>
    <w:rsid w:val="009E1C58"/>
    <w:rsid w:val="009E289A"/>
    <w:rsid w:val="009E29F8"/>
    <w:rsid w:val="009E2FAE"/>
    <w:rsid w:val="009E3532"/>
    <w:rsid w:val="009E3B7D"/>
    <w:rsid w:val="009E521A"/>
    <w:rsid w:val="009E54EB"/>
    <w:rsid w:val="009E5B62"/>
    <w:rsid w:val="009E6B02"/>
    <w:rsid w:val="009E7406"/>
    <w:rsid w:val="009E7CD7"/>
    <w:rsid w:val="009F0710"/>
    <w:rsid w:val="009F189B"/>
    <w:rsid w:val="009F192F"/>
    <w:rsid w:val="009F1B1F"/>
    <w:rsid w:val="009F22CF"/>
    <w:rsid w:val="009F2630"/>
    <w:rsid w:val="009F2A83"/>
    <w:rsid w:val="009F2F16"/>
    <w:rsid w:val="009F30EF"/>
    <w:rsid w:val="009F3DF2"/>
    <w:rsid w:val="009F41A6"/>
    <w:rsid w:val="009F4294"/>
    <w:rsid w:val="009F4932"/>
    <w:rsid w:val="009F4DFE"/>
    <w:rsid w:val="009F4E84"/>
    <w:rsid w:val="009F56EE"/>
    <w:rsid w:val="009F5803"/>
    <w:rsid w:val="009F5881"/>
    <w:rsid w:val="009F5EF1"/>
    <w:rsid w:val="009F6903"/>
    <w:rsid w:val="009F6A26"/>
    <w:rsid w:val="009F6C83"/>
    <w:rsid w:val="009F71E3"/>
    <w:rsid w:val="00A00668"/>
    <w:rsid w:val="00A00903"/>
    <w:rsid w:val="00A00D7D"/>
    <w:rsid w:val="00A01324"/>
    <w:rsid w:val="00A01342"/>
    <w:rsid w:val="00A01367"/>
    <w:rsid w:val="00A013A3"/>
    <w:rsid w:val="00A0150D"/>
    <w:rsid w:val="00A02758"/>
    <w:rsid w:val="00A02C92"/>
    <w:rsid w:val="00A03D28"/>
    <w:rsid w:val="00A05E50"/>
    <w:rsid w:val="00A06243"/>
    <w:rsid w:val="00A0666B"/>
    <w:rsid w:val="00A06752"/>
    <w:rsid w:val="00A07C75"/>
    <w:rsid w:val="00A07E36"/>
    <w:rsid w:val="00A10F88"/>
    <w:rsid w:val="00A10FB3"/>
    <w:rsid w:val="00A11266"/>
    <w:rsid w:val="00A11714"/>
    <w:rsid w:val="00A11B1D"/>
    <w:rsid w:val="00A11C12"/>
    <w:rsid w:val="00A125FD"/>
    <w:rsid w:val="00A129F7"/>
    <w:rsid w:val="00A12AA9"/>
    <w:rsid w:val="00A12C7D"/>
    <w:rsid w:val="00A1359D"/>
    <w:rsid w:val="00A13BC4"/>
    <w:rsid w:val="00A13E68"/>
    <w:rsid w:val="00A13E92"/>
    <w:rsid w:val="00A1432F"/>
    <w:rsid w:val="00A146B6"/>
    <w:rsid w:val="00A1486A"/>
    <w:rsid w:val="00A1503F"/>
    <w:rsid w:val="00A157FA"/>
    <w:rsid w:val="00A1584C"/>
    <w:rsid w:val="00A1597C"/>
    <w:rsid w:val="00A16497"/>
    <w:rsid w:val="00A16CD4"/>
    <w:rsid w:val="00A16EBB"/>
    <w:rsid w:val="00A16FC3"/>
    <w:rsid w:val="00A17366"/>
    <w:rsid w:val="00A17475"/>
    <w:rsid w:val="00A17B04"/>
    <w:rsid w:val="00A17B30"/>
    <w:rsid w:val="00A2003D"/>
    <w:rsid w:val="00A204A9"/>
    <w:rsid w:val="00A20A9F"/>
    <w:rsid w:val="00A21138"/>
    <w:rsid w:val="00A2137F"/>
    <w:rsid w:val="00A2207E"/>
    <w:rsid w:val="00A22308"/>
    <w:rsid w:val="00A23CB9"/>
    <w:rsid w:val="00A2419B"/>
    <w:rsid w:val="00A243A2"/>
    <w:rsid w:val="00A24DE9"/>
    <w:rsid w:val="00A2565D"/>
    <w:rsid w:val="00A25DE8"/>
    <w:rsid w:val="00A25ECD"/>
    <w:rsid w:val="00A261B1"/>
    <w:rsid w:val="00A263DE"/>
    <w:rsid w:val="00A2697C"/>
    <w:rsid w:val="00A2722D"/>
    <w:rsid w:val="00A2750F"/>
    <w:rsid w:val="00A2762B"/>
    <w:rsid w:val="00A27994"/>
    <w:rsid w:val="00A27FCA"/>
    <w:rsid w:val="00A3070F"/>
    <w:rsid w:val="00A308CE"/>
    <w:rsid w:val="00A30ADA"/>
    <w:rsid w:val="00A30C65"/>
    <w:rsid w:val="00A30CEC"/>
    <w:rsid w:val="00A30E9D"/>
    <w:rsid w:val="00A31E56"/>
    <w:rsid w:val="00A32005"/>
    <w:rsid w:val="00A320A0"/>
    <w:rsid w:val="00A32679"/>
    <w:rsid w:val="00A3273A"/>
    <w:rsid w:val="00A32B5E"/>
    <w:rsid w:val="00A32E8F"/>
    <w:rsid w:val="00A341E3"/>
    <w:rsid w:val="00A342F5"/>
    <w:rsid w:val="00A35BB4"/>
    <w:rsid w:val="00A363BA"/>
    <w:rsid w:val="00A36953"/>
    <w:rsid w:val="00A36DF2"/>
    <w:rsid w:val="00A36E8D"/>
    <w:rsid w:val="00A3766F"/>
    <w:rsid w:val="00A379AE"/>
    <w:rsid w:val="00A37CC4"/>
    <w:rsid w:val="00A40201"/>
    <w:rsid w:val="00A40462"/>
    <w:rsid w:val="00A40558"/>
    <w:rsid w:val="00A40583"/>
    <w:rsid w:val="00A40804"/>
    <w:rsid w:val="00A40E79"/>
    <w:rsid w:val="00A40F86"/>
    <w:rsid w:val="00A412BF"/>
    <w:rsid w:val="00A41A54"/>
    <w:rsid w:val="00A41F6C"/>
    <w:rsid w:val="00A4236D"/>
    <w:rsid w:val="00A427BA"/>
    <w:rsid w:val="00A42AC7"/>
    <w:rsid w:val="00A42C3F"/>
    <w:rsid w:val="00A430CC"/>
    <w:rsid w:val="00A433BD"/>
    <w:rsid w:val="00A43939"/>
    <w:rsid w:val="00A43D61"/>
    <w:rsid w:val="00A43D6A"/>
    <w:rsid w:val="00A44AD5"/>
    <w:rsid w:val="00A44E4E"/>
    <w:rsid w:val="00A4503A"/>
    <w:rsid w:val="00A458DF"/>
    <w:rsid w:val="00A45DF5"/>
    <w:rsid w:val="00A4625F"/>
    <w:rsid w:val="00A463D6"/>
    <w:rsid w:val="00A47793"/>
    <w:rsid w:val="00A47882"/>
    <w:rsid w:val="00A47A3C"/>
    <w:rsid w:val="00A47ACE"/>
    <w:rsid w:val="00A5021E"/>
    <w:rsid w:val="00A50438"/>
    <w:rsid w:val="00A504F3"/>
    <w:rsid w:val="00A50B2D"/>
    <w:rsid w:val="00A5106F"/>
    <w:rsid w:val="00A5197A"/>
    <w:rsid w:val="00A52CFE"/>
    <w:rsid w:val="00A52E7B"/>
    <w:rsid w:val="00A53141"/>
    <w:rsid w:val="00A531C6"/>
    <w:rsid w:val="00A534E3"/>
    <w:rsid w:val="00A53506"/>
    <w:rsid w:val="00A5399D"/>
    <w:rsid w:val="00A53F96"/>
    <w:rsid w:val="00A5445D"/>
    <w:rsid w:val="00A54A87"/>
    <w:rsid w:val="00A54B5E"/>
    <w:rsid w:val="00A55798"/>
    <w:rsid w:val="00A56A8D"/>
    <w:rsid w:val="00A57051"/>
    <w:rsid w:val="00A5709E"/>
    <w:rsid w:val="00A5756B"/>
    <w:rsid w:val="00A57F8C"/>
    <w:rsid w:val="00A602FC"/>
    <w:rsid w:val="00A61355"/>
    <w:rsid w:val="00A62339"/>
    <w:rsid w:val="00A62D44"/>
    <w:rsid w:val="00A62FE2"/>
    <w:rsid w:val="00A63F29"/>
    <w:rsid w:val="00A650C0"/>
    <w:rsid w:val="00A651A8"/>
    <w:rsid w:val="00A6543D"/>
    <w:rsid w:val="00A65D57"/>
    <w:rsid w:val="00A662E5"/>
    <w:rsid w:val="00A66F60"/>
    <w:rsid w:val="00A67063"/>
    <w:rsid w:val="00A6788C"/>
    <w:rsid w:val="00A705E8"/>
    <w:rsid w:val="00A7083E"/>
    <w:rsid w:val="00A70970"/>
    <w:rsid w:val="00A70F53"/>
    <w:rsid w:val="00A716B1"/>
    <w:rsid w:val="00A71727"/>
    <w:rsid w:val="00A722E1"/>
    <w:rsid w:val="00A72469"/>
    <w:rsid w:val="00A72868"/>
    <w:rsid w:val="00A72FB3"/>
    <w:rsid w:val="00A734C2"/>
    <w:rsid w:val="00A73F38"/>
    <w:rsid w:val="00A73FDE"/>
    <w:rsid w:val="00A7556D"/>
    <w:rsid w:val="00A77182"/>
    <w:rsid w:val="00A77C92"/>
    <w:rsid w:val="00A77D43"/>
    <w:rsid w:val="00A8025D"/>
    <w:rsid w:val="00A806CF"/>
    <w:rsid w:val="00A80B76"/>
    <w:rsid w:val="00A80DEB"/>
    <w:rsid w:val="00A8117A"/>
    <w:rsid w:val="00A82263"/>
    <w:rsid w:val="00A82FD1"/>
    <w:rsid w:val="00A830F1"/>
    <w:rsid w:val="00A83526"/>
    <w:rsid w:val="00A8406B"/>
    <w:rsid w:val="00A842BC"/>
    <w:rsid w:val="00A84509"/>
    <w:rsid w:val="00A845D5"/>
    <w:rsid w:val="00A84692"/>
    <w:rsid w:val="00A84D95"/>
    <w:rsid w:val="00A857CE"/>
    <w:rsid w:val="00A86FF0"/>
    <w:rsid w:val="00A870B0"/>
    <w:rsid w:val="00A87303"/>
    <w:rsid w:val="00A8754F"/>
    <w:rsid w:val="00A87EE2"/>
    <w:rsid w:val="00A900BD"/>
    <w:rsid w:val="00A90D48"/>
    <w:rsid w:val="00A9168C"/>
    <w:rsid w:val="00A9222E"/>
    <w:rsid w:val="00A926C3"/>
    <w:rsid w:val="00A92F2E"/>
    <w:rsid w:val="00A930AE"/>
    <w:rsid w:val="00A930E5"/>
    <w:rsid w:val="00A935CF"/>
    <w:rsid w:val="00A935E1"/>
    <w:rsid w:val="00A9388B"/>
    <w:rsid w:val="00A93ECF"/>
    <w:rsid w:val="00A94763"/>
    <w:rsid w:val="00A94D58"/>
    <w:rsid w:val="00A952D2"/>
    <w:rsid w:val="00A955DD"/>
    <w:rsid w:val="00A95EA6"/>
    <w:rsid w:val="00A96443"/>
    <w:rsid w:val="00A972B2"/>
    <w:rsid w:val="00A979A0"/>
    <w:rsid w:val="00AA089A"/>
    <w:rsid w:val="00AA0E57"/>
    <w:rsid w:val="00AA1947"/>
    <w:rsid w:val="00AA1A07"/>
    <w:rsid w:val="00AA22E7"/>
    <w:rsid w:val="00AA2460"/>
    <w:rsid w:val="00AA316A"/>
    <w:rsid w:val="00AA3E63"/>
    <w:rsid w:val="00AA4A55"/>
    <w:rsid w:val="00AA5A1B"/>
    <w:rsid w:val="00AA628C"/>
    <w:rsid w:val="00AA6A38"/>
    <w:rsid w:val="00AA6EF3"/>
    <w:rsid w:val="00AA71AC"/>
    <w:rsid w:val="00AA7E5C"/>
    <w:rsid w:val="00AB07F8"/>
    <w:rsid w:val="00AB0A0F"/>
    <w:rsid w:val="00AB0FD5"/>
    <w:rsid w:val="00AB1C2C"/>
    <w:rsid w:val="00AB1CB5"/>
    <w:rsid w:val="00AB2740"/>
    <w:rsid w:val="00AB2B0B"/>
    <w:rsid w:val="00AB2B27"/>
    <w:rsid w:val="00AB38E0"/>
    <w:rsid w:val="00AB4C8E"/>
    <w:rsid w:val="00AB52A6"/>
    <w:rsid w:val="00AB59BB"/>
    <w:rsid w:val="00AB5BF5"/>
    <w:rsid w:val="00AB6DCA"/>
    <w:rsid w:val="00AB779A"/>
    <w:rsid w:val="00AB7AE5"/>
    <w:rsid w:val="00AC01A1"/>
    <w:rsid w:val="00AC027F"/>
    <w:rsid w:val="00AC0682"/>
    <w:rsid w:val="00AC0AE0"/>
    <w:rsid w:val="00AC0D5F"/>
    <w:rsid w:val="00AC1607"/>
    <w:rsid w:val="00AC1817"/>
    <w:rsid w:val="00AC1B8D"/>
    <w:rsid w:val="00AC4363"/>
    <w:rsid w:val="00AC460B"/>
    <w:rsid w:val="00AC4B6F"/>
    <w:rsid w:val="00AC4EFC"/>
    <w:rsid w:val="00AC52B0"/>
    <w:rsid w:val="00AC5408"/>
    <w:rsid w:val="00AC6288"/>
    <w:rsid w:val="00AC6609"/>
    <w:rsid w:val="00AC669A"/>
    <w:rsid w:val="00AC678E"/>
    <w:rsid w:val="00AC708B"/>
    <w:rsid w:val="00AC7A14"/>
    <w:rsid w:val="00AC7A8F"/>
    <w:rsid w:val="00AC7FC4"/>
    <w:rsid w:val="00AD014A"/>
    <w:rsid w:val="00AD04AE"/>
    <w:rsid w:val="00AD0A72"/>
    <w:rsid w:val="00AD0BF0"/>
    <w:rsid w:val="00AD0EA7"/>
    <w:rsid w:val="00AD155A"/>
    <w:rsid w:val="00AD1666"/>
    <w:rsid w:val="00AD1C47"/>
    <w:rsid w:val="00AD1CCA"/>
    <w:rsid w:val="00AD1D36"/>
    <w:rsid w:val="00AD1EA7"/>
    <w:rsid w:val="00AD2715"/>
    <w:rsid w:val="00AD287A"/>
    <w:rsid w:val="00AD2D25"/>
    <w:rsid w:val="00AD338A"/>
    <w:rsid w:val="00AD3EA8"/>
    <w:rsid w:val="00AD40C8"/>
    <w:rsid w:val="00AD44EA"/>
    <w:rsid w:val="00AD4BA6"/>
    <w:rsid w:val="00AD4CF8"/>
    <w:rsid w:val="00AD542F"/>
    <w:rsid w:val="00AD60E4"/>
    <w:rsid w:val="00AD622F"/>
    <w:rsid w:val="00AD6790"/>
    <w:rsid w:val="00AD6D21"/>
    <w:rsid w:val="00AD6F4B"/>
    <w:rsid w:val="00AD7039"/>
    <w:rsid w:val="00AD78C2"/>
    <w:rsid w:val="00AD7B7C"/>
    <w:rsid w:val="00AD7EE0"/>
    <w:rsid w:val="00AE0197"/>
    <w:rsid w:val="00AE0B59"/>
    <w:rsid w:val="00AE0B91"/>
    <w:rsid w:val="00AE0C5E"/>
    <w:rsid w:val="00AE0C97"/>
    <w:rsid w:val="00AE105A"/>
    <w:rsid w:val="00AE117F"/>
    <w:rsid w:val="00AE14DC"/>
    <w:rsid w:val="00AE19A4"/>
    <w:rsid w:val="00AE1CA9"/>
    <w:rsid w:val="00AE2206"/>
    <w:rsid w:val="00AE2265"/>
    <w:rsid w:val="00AE278D"/>
    <w:rsid w:val="00AE2DAD"/>
    <w:rsid w:val="00AE33B1"/>
    <w:rsid w:val="00AE3BCA"/>
    <w:rsid w:val="00AE3C08"/>
    <w:rsid w:val="00AE4A1D"/>
    <w:rsid w:val="00AE4DB3"/>
    <w:rsid w:val="00AE5A10"/>
    <w:rsid w:val="00AE6CB9"/>
    <w:rsid w:val="00AE75CF"/>
    <w:rsid w:val="00AE775F"/>
    <w:rsid w:val="00AE7837"/>
    <w:rsid w:val="00AE7DE3"/>
    <w:rsid w:val="00AE7E87"/>
    <w:rsid w:val="00AF0F06"/>
    <w:rsid w:val="00AF203F"/>
    <w:rsid w:val="00AF2109"/>
    <w:rsid w:val="00AF2305"/>
    <w:rsid w:val="00AF281A"/>
    <w:rsid w:val="00AF28C3"/>
    <w:rsid w:val="00AF2BA9"/>
    <w:rsid w:val="00AF3134"/>
    <w:rsid w:val="00AF3419"/>
    <w:rsid w:val="00AF349E"/>
    <w:rsid w:val="00AF3EBF"/>
    <w:rsid w:val="00AF4340"/>
    <w:rsid w:val="00AF4921"/>
    <w:rsid w:val="00AF50CB"/>
    <w:rsid w:val="00AF5851"/>
    <w:rsid w:val="00AF7101"/>
    <w:rsid w:val="00AF7B19"/>
    <w:rsid w:val="00B00C83"/>
    <w:rsid w:val="00B00CAC"/>
    <w:rsid w:val="00B010B3"/>
    <w:rsid w:val="00B010B7"/>
    <w:rsid w:val="00B01B18"/>
    <w:rsid w:val="00B030DF"/>
    <w:rsid w:val="00B03352"/>
    <w:rsid w:val="00B03A7B"/>
    <w:rsid w:val="00B0456F"/>
    <w:rsid w:val="00B054FB"/>
    <w:rsid w:val="00B05866"/>
    <w:rsid w:val="00B05C65"/>
    <w:rsid w:val="00B06059"/>
    <w:rsid w:val="00B063CE"/>
    <w:rsid w:val="00B06C38"/>
    <w:rsid w:val="00B06C3C"/>
    <w:rsid w:val="00B1021B"/>
    <w:rsid w:val="00B10664"/>
    <w:rsid w:val="00B10FCA"/>
    <w:rsid w:val="00B11277"/>
    <w:rsid w:val="00B11537"/>
    <w:rsid w:val="00B11BD7"/>
    <w:rsid w:val="00B11CCB"/>
    <w:rsid w:val="00B126E4"/>
    <w:rsid w:val="00B1274E"/>
    <w:rsid w:val="00B127D4"/>
    <w:rsid w:val="00B1337A"/>
    <w:rsid w:val="00B139EA"/>
    <w:rsid w:val="00B13ADC"/>
    <w:rsid w:val="00B13E9A"/>
    <w:rsid w:val="00B14C84"/>
    <w:rsid w:val="00B153A8"/>
    <w:rsid w:val="00B15AEA"/>
    <w:rsid w:val="00B16C0F"/>
    <w:rsid w:val="00B16FFF"/>
    <w:rsid w:val="00B17001"/>
    <w:rsid w:val="00B170AA"/>
    <w:rsid w:val="00B17A32"/>
    <w:rsid w:val="00B17B77"/>
    <w:rsid w:val="00B205F9"/>
    <w:rsid w:val="00B20C55"/>
    <w:rsid w:val="00B21D29"/>
    <w:rsid w:val="00B22927"/>
    <w:rsid w:val="00B22EAB"/>
    <w:rsid w:val="00B2381D"/>
    <w:rsid w:val="00B23A10"/>
    <w:rsid w:val="00B23A9E"/>
    <w:rsid w:val="00B248DB"/>
    <w:rsid w:val="00B25145"/>
    <w:rsid w:val="00B2602B"/>
    <w:rsid w:val="00B26820"/>
    <w:rsid w:val="00B27330"/>
    <w:rsid w:val="00B273F2"/>
    <w:rsid w:val="00B30C10"/>
    <w:rsid w:val="00B313B6"/>
    <w:rsid w:val="00B3183D"/>
    <w:rsid w:val="00B32196"/>
    <w:rsid w:val="00B328FE"/>
    <w:rsid w:val="00B32C00"/>
    <w:rsid w:val="00B33212"/>
    <w:rsid w:val="00B33EB1"/>
    <w:rsid w:val="00B34369"/>
    <w:rsid w:val="00B343C6"/>
    <w:rsid w:val="00B3469D"/>
    <w:rsid w:val="00B34E38"/>
    <w:rsid w:val="00B353EC"/>
    <w:rsid w:val="00B361C3"/>
    <w:rsid w:val="00B362C2"/>
    <w:rsid w:val="00B36B9C"/>
    <w:rsid w:val="00B371B9"/>
    <w:rsid w:val="00B373A2"/>
    <w:rsid w:val="00B3755A"/>
    <w:rsid w:val="00B37790"/>
    <w:rsid w:val="00B37889"/>
    <w:rsid w:val="00B37A1B"/>
    <w:rsid w:val="00B40924"/>
    <w:rsid w:val="00B409C7"/>
    <w:rsid w:val="00B40AB9"/>
    <w:rsid w:val="00B40F42"/>
    <w:rsid w:val="00B40FD1"/>
    <w:rsid w:val="00B4101D"/>
    <w:rsid w:val="00B41D15"/>
    <w:rsid w:val="00B41D25"/>
    <w:rsid w:val="00B427CA"/>
    <w:rsid w:val="00B42AC9"/>
    <w:rsid w:val="00B43466"/>
    <w:rsid w:val="00B43BD0"/>
    <w:rsid w:val="00B44170"/>
    <w:rsid w:val="00B441EA"/>
    <w:rsid w:val="00B444F7"/>
    <w:rsid w:val="00B44784"/>
    <w:rsid w:val="00B44AFF"/>
    <w:rsid w:val="00B44B1A"/>
    <w:rsid w:val="00B44CAD"/>
    <w:rsid w:val="00B44FF4"/>
    <w:rsid w:val="00B45A11"/>
    <w:rsid w:val="00B45CBE"/>
    <w:rsid w:val="00B460A5"/>
    <w:rsid w:val="00B460E0"/>
    <w:rsid w:val="00B46139"/>
    <w:rsid w:val="00B46419"/>
    <w:rsid w:val="00B470E5"/>
    <w:rsid w:val="00B471CD"/>
    <w:rsid w:val="00B472FD"/>
    <w:rsid w:val="00B47B30"/>
    <w:rsid w:val="00B47FCE"/>
    <w:rsid w:val="00B5085A"/>
    <w:rsid w:val="00B50E00"/>
    <w:rsid w:val="00B50E11"/>
    <w:rsid w:val="00B51549"/>
    <w:rsid w:val="00B52237"/>
    <w:rsid w:val="00B52296"/>
    <w:rsid w:val="00B52EFB"/>
    <w:rsid w:val="00B53DE4"/>
    <w:rsid w:val="00B543F5"/>
    <w:rsid w:val="00B54F32"/>
    <w:rsid w:val="00B551A1"/>
    <w:rsid w:val="00B5584F"/>
    <w:rsid w:val="00B55D79"/>
    <w:rsid w:val="00B566A4"/>
    <w:rsid w:val="00B5767E"/>
    <w:rsid w:val="00B57731"/>
    <w:rsid w:val="00B6042E"/>
    <w:rsid w:val="00B6047A"/>
    <w:rsid w:val="00B6080F"/>
    <w:rsid w:val="00B60EC0"/>
    <w:rsid w:val="00B60F70"/>
    <w:rsid w:val="00B61317"/>
    <w:rsid w:val="00B62527"/>
    <w:rsid w:val="00B62B0F"/>
    <w:rsid w:val="00B63170"/>
    <w:rsid w:val="00B63385"/>
    <w:rsid w:val="00B6357B"/>
    <w:rsid w:val="00B63DFD"/>
    <w:rsid w:val="00B64C74"/>
    <w:rsid w:val="00B64E65"/>
    <w:rsid w:val="00B64EB2"/>
    <w:rsid w:val="00B64F22"/>
    <w:rsid w:val="00B64F62"/>
    <w:rsid w:val="00B65382"/>
    <w:rsid w:val="00B65C89"/>
    <w:rsid w:val="00B65D82"/>
    <w:rsid w:val="00B66D03"/>
    <w:rsid w:val="00B672A9"/>
    <w:rsid w:val="00B67410"/>
    <w:rsid w:val="00B676F6"/>
    <w:rsid w:val="00B677A1"/>
    <w:rsid w:val="00B67911"/>
    <w:rsid w:val="00B70B21"/>
    <w:rsid w:val="00B7172E"/>
    <w:rsid w:val="00B71B51"/>
    <w:rsid w:val="00B71F8A"/>
    <w:rsid w:val="00B72BE2"/>
    <w:rsid w:val="00B72C4F"/>
    <w:rsid w:val="00B73CEA"/>
    <w:rsid w:val="00B741A1"/>
    <w:rsid w:val="00B74BF2"/>
    <w:rsid w:val="00B75DF8"/>
    <w:rsid w:val="00B75E25"/>
    <w:rsid w:val="00B762E7"/>
    <w:rsid w:val="00B76D31"/>
    <w:rsid w:val="00B76E23"/>
    <w:rsid w:val="00B77208"/>
    <w:rsid w:val="00B77629"/>
    <w:rsid w:val="00B7765D"/>
    <w:rsid w:val="00B77673"/>
    <w:rsid w:val="00B778FF"/>
    <w:rsid w:val="00B77A98"/>
    <w:rsid w:val="00B77C6C"/>
    <w:rsid w:val="00B77D5A"/>
    <w:rsid w:val="00B80076"/>
    <w:rsid w:val="00B807E7"/>
    <w:rsid w:val="00B80A32"/>
    <w:rsid w:val="00B812CA"/>
    <w:rsid w:val="00B81F09"/>
    <w:rsid w:val="00B823BF"/>
    <w:rsid w:val="00B82847"/>
    <w:rsid w:val="00B82B44"/>
    <w:rsid w:val="00B82B5B"/>
    <w:rsid w:val="00B82CBF"/>
    <w:rsid w:val="00B82DB8"/>
    <w:rsid w:val="00B831C4"/>
    <w:rsid w:val="00B8359B"/>
    <w:rsid w:val="00B83D6C"/>
    <w:rsid w:val="00B8404E"/>
    <w:rsid w:val="00B84BE8"/>
    <w:rsid w:val="00B84F81"/>
    <w:rsid w:val="00B84FEE"/>
    <w:rsid w:val="00B853A9"/>
    <w:rsid w:val="00B8563A"/>
    <w:rsid w:val="00B85B0F"/>
    <w:rsid w:val="00B85CEB"/>
    <w:rsid w:val="00B85DA6"/>
    <w:rsid w:val="00B8664C"/>
    <w:rsid w:val="00B86A43"/>
    <w:rsid w:val="00B87336"/>
    <w:rsid w:val="00B8761F"/>
    <w:rsid w:val="00B87813"/>
    <w:rsid w:val="00B87A27"/>
    <w:rsid w:val="00B90229"/>
    <w:rsid w:val="00B90DA5"/>
    <w:rsid w:val="00B90DB6"/>
    <w:rsid w:val="00B90F29"/>
    <w:rsid w:val="00B912C8"/>
    <w:rsid w:val="00B919EC"/>
    <w:rsid w:val="00B92256"/>
    <w:rsid w:val="00B93061"/>
    <w:rsid w:val="00B93C83"/>
    <w:rsid w:val="00B93FF7"/>
    <w:rsid w:val="00B940F8"/>
    <w:rsid w:val="00B94D3B"/>
    <w:rsid w:val="00B95887"/>
    <w:rsid w:val="00B95C98"/>
    <w:rsid w:val="00B96320"/>
    <w:rsid w:val="00B96353"/>
    <w:rsid w:val="00B968AF"/>
    <w:rsid w:val="00B969AB"/>
    <w:rsid w:val="00B97A5F"/>
    <w:rsid w:val="00B97E88"/>
    <w:rsid w:val="00BA0283"/>
    <w:rsid w:val="00BA0556"/>
    <w:rsid w:val="00BA0A9F"/>
    <w:rsid w:val="00BA0AFF"/>
    <w:rsid w:val="00BA15BD"/>
    <w:rsid w:val="00BA1E38"/>
    <w:rsid w:val="00BA2FCE"/>
    <w:rsid w:val="00BA330F"/>
    <w:rsid w:val="00BA3612"/>
    <w:rsid w:val="00BA3777"/>
    <w:rsid w:val="00BA3F9F"/>
    <w:rsid w:val="00BA40CD"/>
    <w:rsid w:val="00BA42C4"/>
    <w:rsid w:val="00BA43AD"/>
    <w:rsid w:val="00BA4716"/>
    <w:rsid w:val="00BA48AB"/>
    <w:rsid w:val="00BA5292"/>
    <w:rsid w:val="00BA54A7"/>
    <w:rsid w:val="00BA5A0B"/>
    <w:rsid w:val="00BA5E70"/>
    <w:rsid w:val="00BA6FDA"/>
    <w:rsid w:val="00BA72F1"/>
    <w:rsid w:val="00BA78ED"/>
    <w:rsid w:val="00BA7E4B"/>
    <w:rsid w:val="00BB1346"/>
    <w:rsid w:val="00BB14AB"/>
    <w:rsid w:val="00BB179B"/>
    <w:rsid w:val="00BB2F87"/>
    <w:rsid w:val="00BB3235"/>
    <w:rsid w:val="00BB3455"/>
    <w:rsid w:val="00BB34B3"/>
    <w:rsid w:val="00BB386F"/>
    <w:rsid w:val="00BB3A37"/>
    <w:rsid w:val="00BB465B"/>
    <w:rsid w:val="00BB4C10"/>
    <w:rsid w:val="00BB4DA5"/>
    <w:rsid w:val="00BB4ED0"/>
    <w:rsid w:val="00BB5118"/>
    <w:rsid w:val="00BB54F6"/>
    <w:rsid w:val="00BB581A"/>
    <w:rsid w:val="00BB5C43"/>
    <w:rsid w:val="00BB628A"/>
    <w:rsid w:val="00BB6E9C"/>
    <w:rsid w:val="00BC057D"/>
    <w:rsid w:val="00BC06E2"/>
    <w:rsid w:val="00BC0715"/>
    <w:rsid w:val="00BC11C2"/>
    <w:rsid w:val="00BC125B"/>
    <w:rsid w:val="00BC1DAB"/>
    <w:rsid w:val="00BC1EAC"/>
    <w:rsid w:val="00BC223D"/>
    <w:rsid w:val="00BC28E7"/>
    <w:rsid w:val="00BC29ED"/>
    <w:rsid w:val="00BC2B2C"/>
    <w:rsid w:val="00BC3B7A"/>
    <w:rsid w:val="00BC3CC4"/>
    <w:rsid w:val="00BC3FC8"/>
    <w:rsid w:val="00BC5A3C"/>
    <w:rsid w:val="00BC7539"/>
    <w:rsid w:val="00BC7E67"/>
    <w:rsid w:val="00BD0140"/>
    <w:rsid w:val="00BD069F"/>
    <w:rsid w:val="00BD0CB7"/>
    <w:rsid w:val="00BD0F7A"/>
    <w:rsid w:val="00BD1067"/>
    <w:rsid w:val="00BD15F2"/>
    <w:rsid w:val="00BD1636"/>
    <w:rsid w:val="00BD1DC6"/>
    <w:rsid w:val="00BD2DB8"/>
    <w:rsid w:val="00BD322B"/>
    <w:rsid w:val="00BD3413"/>
    <w:rsid w:val="00BD371B"/>
    <w:rsid w:val="00BD42B7"/>
    <w:rsid w:val="00BD4B4E"/>
    <w:rsid w:val="00BD4B6C"/>
    <w:rsid w:val="00BD4FF9"/>
    <w:rsid w:val="00BD581C"/>
    <w:rsid w:val="00BD659A"/>
    <w:rsid w:val="00BD6C10"/>
    <w:rsid w:val="00BD6E1A"/>
    <w:rsid w:val="00BD6F2D"/>
    <w:rsid w:val="00BE05B3"/>
    <w:rsid w:val="00BE0736"/>
    <w:rsid w:val="00BE089A"/>
    <w:rsid w:val="00BE177E"/>
    <w:rsid w:val="00BE200F"/>
    <w:rsid w:val="00BE2CF1"/>
    <w:rsid w:val="00BE2F3C"/>
    <w:rsid w:val="00BE3E75"/>
    <w:rsid w:val="00BE40DC"/>
    <w:rsid w:val="00BE42DC"/>
    <w:rsid w:val="00BE523F"/>
    <w:rsid w:val="00BE58FC"/>
    <w:rsid w:val="00BE602F"/>
    <w:rsid w:val="00BE6503"/>
    <w:rsid w:val="00BE6E00"/>
    <w:rsid w:val="00BE712B"/>
    <w:rsid w:val="00BE79F0"/>
    <w:rsid w:val="00BE7E5B"/>
    <w:rsid w:val="00BF210B"/>
    <w:rsid w:val="00BF2388"/>
    <w:rsid w:val="00BF2985"/>
    <w:rsid w:val="00BF29C2"/>
    <w:rsid w:val="00BF2C18"/>
    <w:rsid w:val="00BF2DF6"/>
    <w:rsid w:val="00BF3164"/>
    <w:rsid w:val="00BF32CC"/>
    <w:rsid w:val="00BF3859"/>
    <w:rsid w:val="00BF5014"/>
    <w:rsid w:val="00BF71AB"/>
    <w:rsid w:val="00BF776B"/>
    <w:rsid w:val="00BF7C5B"/>
    <w:rsid w:val="00C00153"/>
    <w:rsid w:val="00C00597"/>
    <w:rsid w:val="00C0078F"/>
    <w:rsid w:val="00C00D17"/>
    <w:rsid w:val="00C010E2"/>
    <w:rsid w:val="00C01808"/>
    <w:rsid w:val="00C01AD5"/>
    <w:rsid w:val="00C01DEC"/>
    <w:rsid w:val="00C01F12"/>
    <w:rsid w:val="00C029F4"/>
    <w:rsid w:val="00C02DFE"/>
    <w:rsid w:val="00C03A9D"/>
    <w:rsid w:val="00C04144"/>
    <w:rsid w:val="00C0468C"/>
    <w:rsid w:val="00C04866"/>
    <w:rsid w:val="00C0510B"/>
    <w:rsid w:val="00C05864"/>
    <w:rsid w:val="00C05E99"/>
    <w:rsid w:val="00C06BF2"/>
    <w:rsid w:val="00C06E30"/>
    <w:rsid w:val="00C06EE4"/>
    <w:rsid w:val="00C073DD"/>
    <w:rsid w:val="00C07B63"/>
    <w:rsid w:val="00C10920"/>
    <w:rsid w:val="00C11829"/>
    <w:rsid w:val="00C11C3C"/>
    <w:rsid w:val="00C12BC9"/>
    <w:rsid w:val="00C12DD9"/>
    <w:rsid w:val="00C132EA"/>
    <w:rsid w:val="00C13337"/>
    <w:rsid w:val="00C13A5E"/>
    <w:rsid w:val="00C13D9C"/>
    <w:rsid w:val="00C14443"/>
    <w:rsid w:val="00C147D5"/>
    <w:rsid w:val="00C14B71"/>
    <w:rsid w:val="00C14B78"/>
    <w:rsid w:val="00C15047"/>
    <w:rsid w:val="00C15102"/>
    <w:rsid w:val="00C153F2"/>
    <w:rsid w:val="00C1543D"/>
    <w:rsid w:val="00C15741"/>
    <w:rsid w:val="00C16061"/>
    <w:rsid w:val="00C16171"/>
    <w:rsid w:val="00C168A0"/>
    <w:rsid w:val="00C16E0F"/>
    <w:rsid w:val="00C16E5B"/>
    <w:rsid w:val="00C173DD"/>
    <w:rsid w:val="00C179FD"/>
    <w:rsid w:val="00C206E3"/>
    <w:rsid w:val="00C20827"/>
    <w:rsid w:val="00C2159C"/>
    <w:rsid w:val="00C215A1"/>
    <w:rsid w:val="00C219D4"/>
    <w:rsid w:val="00C21A2C"/>
    <w:rsid w:val="00C21E24"/>
    <w:rsid w:val="00C22C4F"/>
    <w:rsid w:val="00C23792"/>
    <w:rsid w:val="00C238F8"/>
    <w:rsid w:val="00C2397C"/>
    <w:rsid w:val="00C244AE"/>
    <w:rsid w:val="00C258F4"/>
    <w:rsid w:val="00C25D75"/>
    <w:rsid w:val="00C25E7C"/>
    <w:rsid w:val="00C25F26"/>
    <w:rsid w:val="00C25FFA"/>
    <w:rsid w:val="00C262D3"/>
    <w:rsid w:val="00C27226"/>
    <w:rsid w:val="00C304E5"/>
    <w:rsid w:val="00C30897"/>
    <w:rsid w:val="00C30AF6"/>
    <w:rsid w:val="00C31098"/>
    <w:rsid w:val="00C3122F"/>
    <w:rsid w:val="00C316E3"/>
    <w:rsid w:val="00C325AA"/>
    <w:rsid w:val="00C3301A"/>
    <w:rsid w:val="00C3319D"/>
    <w:rsid w:val="00C3337E"/>
    <w:rsid w:val="00C3476D"/>
    <w:rsid w:val="00C347DA"/>
    <w:rsid w:val="00C34A31"/>
    <w:rsid w:val="00C35989"/>
    <w:rsid w:val="00C3605F"/>
    <w:rsid w:val="00C374DD"/>
    <w:rsid w:val="00C40168"/>
    <w:rsid w:val="00C403F0"/>
    <w:rsid w:val="00C40601"/>
    <w:rsid w:val="00C40ED8"/>
    <w:rsid w:val="00C40F96"/>
    <w:rsid w:val="00C41467"/>
    <w:rsid w:val="00C41472"/>
    <w:rsid w:val="00C418B7"/>
    <w:rsid w:val="00C41C00"/>
    <w:rsid w:val="00C4293C"/>
    <w:rsid w:val="00C42BF4"/>
    <w:rsid w:val="00C42C47"/>
    <w:rsid w:val="00C42D3E"/>
    <w:rsid w:val="00C42F39"/>
    <w:rsid w:val="00C43566"/>
    <w:rsid w:val="00C43713"/>
    <w:rsid w:val="00C43F7F"/>
    <w:rsid w:val="00C44303"/>
    <w:rsid w:val="00C4496F"/>
    <w:rsid w:val="00C45866"/>
    <w:rsid w:val="00C4617F"/>
    <w:rsid w:val="00C477AA"/>
    <w:rsid w:val="00C47FDE"/>
    <w:rsid w:val="00C5062E"/>
    <w:rsid w:val="00C508B5"/>
    <w:rsid w:val="00C5095D"/>
    <w:rsid w:val="00C515B8"/>
    <w:rsid w:val="00C52B97"/>
    <w:rsid w:val="00C52EA8"/>
    <w:rsid w:val="00C530C5"/>
    <w:rsid w:val="00C5352D"/>
    <w:rsid w:val="00C53BBE"/>
    <w:rsid w:val="00C53CD8"/>
    <w:rsid w:val="00C53DFD"/>
    <w:rsid w:val="00C541CC"/>
    <w:rsid w:val="00C5480A"/>
    <w:rsid w:val="00C549E3"/>
    <w:rsid w:val="00C54BDE"/>
    <w:rsid w:val="00C54D11"/>
    <w:rsid w:val="00C55678"/>
    <w:rsid w:val="00C55BF5"/>
    <w:rsid w:val="00C55EF4"/>
    <w:rsid w:val="00C564A6"/>
    <w:rsid w:val="00C56695"/>
    <w:rsid w:val="00C57E86"/>
    <w:rsid w:val="00C60072"/>
    <w:rsid w:val="00C61480"/>
    <w:rsid w:val="00C6171D"/>
    <w:rsid w:val="00C61BCA"/>
    <w:rsid w:val="00C62034"/>
    <w:rsid w:val="00C62810"/>
    <w:rsid w:val="00C62AAE"/>
    <w:rsid w:val="00C63402"/>
    <w:rsid w:val="00C634D2"/>
    <w:rsid w:val="00C634D8"/>
    <w:rsid w:val="00C636BA"/>
    <w:rsid w:val="00C63DFC"/>
    <w:rsid w:val="00C64647"/>
    <w:rsid w:val="00C64EF5"/>
    <w:rsid w:val="00C6540E"/>
    <w:rsid w:val="00C65767"/>
    <w:rsid w:val="00C65C7C"/>
    <w:rsid w:val="00C66386"/>
    <w:rsid w:val="00C67172"/>
    <w:rsid w:val="00C67B74"/>
    <w:rsid w:val="00C67F28"/>
    <w:rsid w:val="00C706F4"/>
    <w:rsid w:val="00C70834"/>
    <w:rsid w:val="00C70AC6"/>
    <w:rsid w:val="00C70D70"/>
    <w:rsid w:val="00C719CD"/>
    <w:rsid w:val="00C72023"/>
    <w:rsid w:val="00C72954"/>
    <w:rsid w:val="00C729DD"/>
    <w:rsid w:val="00C73F3B"/>
    <w:rsid w:val="00C740C8"/>
    <w:rsid w:val="00C7436B"/>
    <w:rsid w:val="00C74502"/>
    <w:rsid w:val="00C745DE"/>
    <w:rsid w:val="00C757B6"/>
    <w:rsid w:val="00C75934"/>
    <w:rsid w:val="00C75C09"/>
    <w:rsid w:val="00C7622C"/>
    <w:rsid w:val="00C76657"/>
    <w:rsid w:val="00C7665A"/>
    <w:rsid w:val="00C767B3"/>
    <w:rsid w:val="00C7734B"/>
    <w:rsid w:val="00C77E94"/>
    <w:rsid w:val="00C8083C"/>
    <w:rsid w:val="00C8085F"/>
    <w:rsid w:val="00C82937"/>
    <w:rsid w:val="00C82CA8"/>
    <w:rsid w:val="00C8339B"/>
    <w:rsid w:val="00C83CA1"/>
    <w:rsid w:val="00C83F68"/>
    <w:rsid w:val="00C840AB"/>
    <w:rsid w:val="00C84A30"/>
    <w:rsid w:val="00C84A82"/>
    <w:rsid w:val="00C85122"/>
    <w:rsid w:val="00C8565E"/>
    <w:rsid w:val="00C86148"/>
    <w:rsid w:val="00C864FE"/>
    <w:rsid w:val="00C8678C"/>
    <w:rsid w:val="00C868F2"/>
    <w:rsid w:val="00C86E33"/>
    <w:rsid w:val="00C8755A"/>
    <w:rsid w:val="00C8779B"/>
    <w:rsid w:val="00C90231"/>
    <w:rsid w:val="00C90308"/>
    <w:rsid w:val="00C90E54"/>
    <w:rsid w:val="00C91483"/>
    <w:rsid w:val="00C9238F"/>
    <w:rsid w:val="00C930E7"/>
    <w:rsid w:val="00C93AA1"/>
    <w:rsid w:val="00C93D4E"/>
    <w:rsid w:val="00C93F22"/>
    <w:rsid w:val="00C9427C"/>
    <w:rsid w:val="00C943D8"/>
    <w:rsid w:val="00C9443E"/>
    <w:rsid w:val="00C94E19"/>
    <w:rsid w:val="00C957E4"/>
    <w:rsid w:val="00C9593E"/>
    <w:rsid w:val="00C96199"/>
    <w:rsid w:val="00C971A5"/>
    <w:rsid w:val="00CA0054"/>
    <w:rsid w:val="00CA09AF"/>
    <w:rsid w:val="00CA0D1B"/>
    <w:rsid w:val="00CA112B"/>
    <w:rsid w:val="00CA11ED"/>
    <w:rsid w:val="00CA12C4"/>
    <w:rsid w:val="00CA22BA"/>
    <w:rsid w:val="00CA2A2C"/>
    <w:rsid w:val="00CA2B7E"/>
    <w:rsid w:val="00CA2BB4"/>
    <w:rsid w:val="00CA2C98"/>
    <w:rsid w:val="00CA2D24"/>
    <w:rsid w:val="00CA327F"/>
    <w:rsid w:val="00CA4C50"/>
    <w:rsid w:val="00CA5121"/>
    <w:rsid w:val="00CA538E"/>
    <w:rsid w:val="00CA5927"/>
    <w:rsid w:val="00CA5BCE"/>
    <w:rsid w:val="00CA5F63"/>
    <w:rsid w:val="00CA60BF"/>
    <w:rsid w:val="00CA6230"/>
    <w:rsid w:val="00CA623C"/>
    <w:rsid w:val="00CA63B5"/>
    <w:rsid w:val="00CA644E"/>
    <w:rsid w:val="00CA6EE2"/>
    <w:rsid w:val="00CA73DF"/>
    <w:rsid w:val="00CA7DD9"/>
    <w:rsid w:val="00CA7E69"/>
    <w:rsid w:val="00CA7EA8"/>
    <w:rsid w:val="00CB01B4"/>
    <w:rsid w:val="00CB0359"/>
    <w:rsid w:val="00CB07BA"/>
    <w:rsid w:val="00CB15D3"/>
    <w:rsid w:val="00CB28F8"/>
    <w:rsid w:val="00CB2999"/>
    <w:rsid w:val="00CB3115"/>
    <w:rsid w:val="00CB3805"/>
    <w:rsid w:val="00CB3B81"/>
    <w:rsid w:val="00CB3E4B"/>
    <w:rsid w:val="00CB41AD"/>
    <w:rsid w:val="00CB4526"/>
    <w:rsid w:val="00CB4765"/>
    <w:rsid w:val="00CB520B"/>
    <w:rsid w:val="00CB57B8"/>
    <w:rsid w:val="00CB59BA"/>
    <w:rsid w:val="00CB5A69"/>
    <w:rsid w:val="00CB667D"/>
    <w:rsid w:val="00CB6990"/>
    <w:rsid w:val="00CB6C2F"/>
    <w:rsid w:val="00CB6F9B"/>
    <w:rsid w:val="00CB727B"/>
    <w:rsid w:val="00CB7373"/>
    <w:rsid w:val="00CB7975"/>
    <w:rsid w:val="00CB79F0"/>
    <w:rsid w:val="00CC06B4"/>
    <w:rsid w:val="00CC0FCC"/>
    <w:rsid w:val="00CC1023"/>
    <w:rsid w:val="00CC11B5"/>
    <w:rsid w:val="00CC129B"/>
    <w:rsid w:val="00CC15D1"/>
    <w:rsid w:val="00CC1CCA"/>
    <w:rsid w:val="00CC2A53"/>
    <w:rsid w:val="00CC2D9F"/>
    <w:rsid w:val="00CC362E"/>
    <w:rsid w:val="00CC3F6D"/>
    <w:rsid w:val="00CC4100"/>
    <w:rsid w:val="00CC45F2"/>
    <w:rsid w:val="00CC4601"/>
    <w:rsid w:val="00CC5085"/>
    <w:rsid w:val="00CC5194"/>
    <w:rsid w:val="00CC56F9"/>
    <w:rsid w:val="00CC6405"/>
    <w:rsid w:val="00CC64E3"/>
    <w:rsid w:val="00CC6ECD"/>
    <w:rsid w:val="00CC7963"/>
    <w:rsid w:val="00CC7D56"/>
    <w:rsid w:val="00CD0283"/>
    <w:rsid w:val="00CD034E"/>
    <w:rsid w:val="00CD04EB"/>
    <w:rsid w:val="00CD08F4"/>
    <w:rsid w:val="00CD09AD"/>
    <w:rsid w:val="00CD0B17"/>
    <w:rsid w:val="00CD0C4C"/>
    <w:rsid w:val="00CD0D96"/>
    <w:rsid w:val="00CD10C9"/>
    <w:rsid w:val="00CD1671"/>
    <w:rsid w:val="00CD18BF"/>
    <w:rsid w:val="00CD1D11"/>
    <w:rsid w:val="00CD29B9"/>
    <w:rsid w:val="00CD38A4"/>
    <w:rsid w:val="00CD484E"/>
    <w:rsid w:val="00CD4BC0"/>
    <w:rsid w:val="00CD4EFE"/>
    <w:rsid w:val="00CD5A64"/>
    <w:rsid w:val="00CD6217"/>
    <w:rsid w:val="00CD63DA"/>
    <w:rsid w:val="00CD6739"/>
    <w:rsid w:val="00CD698D"/>
    <w:rsid w:val="00CD6A93"/>
    <w:rsid w:val="00CD7491"/>
    <w:rsid w:val="00CD79B7"/>
    <w:rsid w:val="00CE08C5"/>
    <w:rsid w:val="00CE0C30"/>
    <w:rsid w:val="00CE0CED"/>
    <w:rsid w:val="00CE13FC"/>
    <w:rsid w:val="00CE1880"/>
    <w:rsid w:val="00CE3ABA"/>
    <w:rsid w:val="00CE3C47"/>
    <w:rsid w:val="00CE3F86"/>
    <w:rsid w:val="00CE4290"/>
    <w:rsid w:val="00CE4A2B"/>
    <w:rsid w:val="00CE5555"/>
    <w:rsid w:val="00CE58A7"/>
    <w:rsid w:val="00CE5C53"/>
    <w:rsid w:val="00CE6257"/>
    <w:rsid w:val="00CE6BC7"/>
    <w:rsid w:val="00CE6ED0"/>
    <w:rsid w:val="00CE72DF"/>
    <w:rsid w:val="00CE7313"/>
    <w:rsid w:val="00CE7320"/>
    <w:rsid w:val="00CE7BBA"/>
    <w:rsid w:val="00CE7D28"/>
    <w:rsid w:val="00CE7F1B"/>
    <w:rsid w:val="00CF0358"/>
    <w:rsid w:val="00CF0FC4"/>
    <w:rsid w:val="00CF1AA7"/>
    <w:rsid w:val="00CF1E64"/>
    <w:rsid w:val="00CF2477"/>
    <w:rsid w:val="00CF29CD"/>
    <w:rsid w:val="00CF2E09"/>
    <w:rsid w:val="00CF3741"/>
    <w:rsid w:val="00CF3AB4"/>
    <w:rsid w:val="00CF3B19"/>
    <w:rsid w:val="00CF3B94"/>
    <w:rsid w:val="00CF4383"/>
    <w:rsid w:val="00CF47B7"/>
    <w:rsid w:val="00CF4A22"/>
    <w:rsid w:val="00CF5062"/>
    <w:rsid w:val="00CF5FD9"/>
    <w:rsid w:val="00CF6505"/>
    <w:rsid w:val="00CF7EDF"/>
    <w:rsid w:val="00D00324"/>
    <w:rsid w:val="00D00894"/>
    <w:rsid w:val="00D00B7E"/>
    <w:rsid w:val="00D01048"/>
    <w:rsid w:val="00D01BD8"/>
    <w:rsid w:val="00D01FDC"/>
    <w:rsid w:val="00D02441"/>
    <w:rsid w:val="00D02884"/>
    <w:rsid w:val="00D02A7E"/>
    <w:rsid w:val="00D02F43"/>
    <w:rsid w:val="00D03625"/>
    <w:rsid w:val="00D03840"/>
    <w:rsid w:val="00D03D26"/>
    <w:rsid w:val="00D042B8"/>
    <w:rsid w:val="00D04317"/>
    <w:rsid w:val="00D04E94"/>
    <w:rsid w:val="00D05514"/>
    <w:rsid w:val="00D05564"/>
    <w:rsid w:val="00D05737"/>
    <w:rsid w:val="00D07BA8"/>
    <w:rsid w:val="00D101B6"/>
    <w:rsid w:val="00D107F0"/>
    <w:rsid w:val="00D10E8F"/>
    <w:rsid w:val="00D110FE"/>
    <w:rsid w:val="00D113EB"/>
    <w:rsid w:val="00D11EBD"/>
    <w:rsid w:val="00D1214E"/>
    <w:rsid w:val="00D12568"/>
    <w:rsid w:val="00D13274"/>
    <w:rsid w:val="00D13602"/>
    <w:rsid w:val="00D13EDC"/>
    <w:rsid w:val="00D145D2"/>
    <w:rsid w:val="00D146FF"/>
    <w:rsid w:val="00D14779"/>
    <w:rsid w:val="00D14CFF"/>
    <w:rsid w:val="00D14FF2"/>
    <w:rsid w:val="00D156B1"/>
    <w:rsid w:val="00D157BE"/>
    <w:rsid w:val="00D15986"/>
    <w:rsid w:val="00D15F04"/>
    <w:rsid w:val="00D164A6"/>
    <w:rsid w:val="00D16D25"/>
    <w:rsid w:val="00D2056B"/>
    <w:rsid w:val="00D209E9"/>
    <w:rsid w:val="00D20EBF"/>
    <w:rsid w:val="00D21C90"/>
    <w:rsid w:val="00D2263D"/>
    <w:rsid w:val="00D226CE"/>
    <w:rsid w:val="00D2365D"/>
    <w:rsid w:val="00D241A1"/>
    <w:rsid w:val="00D24582"/>
    <w:rsid w:val="00D246B5"/>
    <w:rsid w:val="00D24B15"/>
    <w:rsid w:val="00D24BF5"/>
    <w:rsid w:val="00D24DC9"/>
    <w:rsid w:val="00D25020"/>
    <w:rsid w:val="00D251DB"/>
    <w:rsid w:val="00D258ED"/>
    <w:rsid w:val="00D25F6C"/>
    <w:rsid w:val="00D26F48"/>
    <w:rsid w:val="00D27422"/>
    <w:rsid w:val="00D27526"/>
    <w:rsid w:val="00D278C0"/>
    <w:rsid w:val="00D308DB"/>
    <w:rsid w:val="00D31174"/>
    <w:rsid w:val="00D31A87"/>
    <w:rsid w:val="00D327D8"/>
    <w:rsid w:val="00D3317A"/>
    <w:rsid w:val="00D33243"/>
    <w:rsid w:val="00D33CE6"/>
    <w:rsid w:val="00D3506C"/>
    <w:rsid w:val="00D3513B"/>
    <w:rsid w:val="00D355AB"/>
    <w:rsid w:val="00D35E18"/>
    <w:rsid w:val="00D35FBF"/>
    <w:rsid w:val="00D3636E"/>
    <w:rsid w:val="00D3675F"/>
    <w:rsid w:val="00D374BE"/>
    <w:rsid w:val="00D402F5"/>
    <w:rsid w:val="00D414E9"/>
    <w:rsid w:val="00D41EA8"/>
    <w:rsid w:val="00D42333"/>
    <w:rsid w:val="00D4357F"/>
    <w:rsid w:val="00D43583"/>
    <w:rsid w:val="00D435DB"/>
    <w:rsid w:val="00D444A8"/>
    <w:rsid w:val="00D44BA8"/>
    <w:rsid w:val="00D4560B"/>
    <w:rsid w:val="00D456E3"/>
    <w:rsid w:val="00D45D4C"/>
    <w:rsid w:val="00D46541"/>
    <w:rsid w:val="00D46E3A"/>
    <w:rsid w:val="00D4724B"/>
    <w:rsid w:val="00D4758F"/>
    <w:rsid w:val="00D4762D"/>
    <w:rsid w:val="00D50493"/>
    <w:rsid w:val="00D50753"/>
    <w:rsid w:val="00D509E9"/>
    <w:rsid w:val="00D50ABF"/>
    <w:rsid w:val="00D51BF3"/>
    <w:rsid w:val="00D526A4"/>
    <w:rsid w:val="00D526B2"/>
    <w:rsid w:val="00D52C27"/>
    <w:rsid w:val="00D52F3E"/>
    <w:rsid w:val="00D530A2"/>
    <w:rsid w:val="00D53201"/>
    <w:rsid w:val="00D533F6"/>
    <w:rsid w:val="00D537CA"/>
    <w:rsid w:val="00D544BD"/>
    <w:rsid w:val="00D5480B"/>
    <w:rsid w:val="00D54AF9"/>
    <w:rsid w:val="00D54B5B"/>
    <w:rsid w:val="00D54FEA"/>
    <w:rsid w:val="00D552C9"/>
    <w:rsid w:val="00D55730"/>
    <w:rsid w:val="00D55A60"/>
    <w:rsid w:val="00D55A98"/>
    <w:rsid w:val="00D569B5"/>
    <w:rsid w:val="00D57454"/>
    <w:rsid w:val="00D6073A"/>
    <w:rsid w:val="00D615C4"/>
    <w:rsid w:val="00D616FB"/>
    <w:rsid w:val="00D61CA3"/>
    <w:rsid w:val="00D620CC"/>
    <w:rsid w:val="00D62658"/>
    <w:rsid w:val="00D629A4"/>
    <w:rsid w:val="00D629D9"/>
    <w:rsid w:val="00D62B8E"/>
    <w:rsid w:val="00D62C4B"/>
    <w:rsid w:val="00D6366D"/>
    <w:rsid w:val="00D6408D"/>
    <w:rsid w:val="00D645BC"/>
    <w:rsid w:val="00D64A92"/>
    <w:rsid w:val="00D652FA"/>
    <w:rsid w:val="00D65454"/>
    <w:rsid w:val="00D659B2"/>
    <w:rsid w:val="00D65C20"/>
    <w:rsid w:val="00D65F04"/>
    <w:rsid w:val="00D665C7"/>
    <w:rsid w:val="00D67541"/>
    <w:rsid w:val="00D70132"/>
    <w:rsid w:val="00D70437"/>
    <w:rsid w:val="00D70D4D"/>
    <w:rsid w:val="00D70E0C"/>
    <w:rsid w:val="00D7123F"/>
    <w:rsid w:val="00D71B8D"/>
    <w:rsid w:val="00D71D6D"/>
    <w:rsid w:val="00D721F9"/>
    <w:rsid w:val="00D7235C"/>
    <w:rsid w:val="00D725A1"/>
    <w:rsid w:val="00D72BEE"/>
    <w:rsid w:val="00D7375F"/>
    <w:rsid w:val="00D73BD2"/>
    <w:rsid w:val="00D73CA1"/>
    <w:rsid w:val="00D740DD"/>
    <w:rsid w:val="00D7468C"/>
    <w:rsid w:val="00D74C5A"/>
    <w:rsid w:val="00D74F4D"/>
    <w:rsid w:val="00D75149"/>
    <w:rsid w:val="00D75479"/>
    <w:rsid w:val="00D7547C"/>
    <w:rsid w:val="00D757C0"/>
    <w:rsid w:val="00D759E8"/>
    <w:rsid w:val="00D75B3A"/>
    <w:rsid w:val="00D76682"/>
    <w:rsid w:val="00D76F8A"/>
    <w:rsid w:val="00D771A7"/>
    <w:rsid w:val="00D771C4"/>
    <w:rsid w:val="00D77849"/>
    <w:rsid w:val="00D77EBF"/>
    <w:rsid w:val="00D77F43"/>
    <w:rsid w:val="00D800BD"/>
    <w:rsid w:val="00D8051C"/>
    <w:rsid w:val="00D80BA8"/>
    <w:rsid w:val="00D80DB7"/>
    <w:rsid w:val="00D8150C"/>
    <w:rsid w:val="00D81E50"/>
    <w:rsid w:val="00D82498"/>
    <w:rsid w:val="00D82C19"/>
    <w:rsid w:val="00D82FE4"/>
    <w:rsid w:val="00D835EC"/>
    <w:rsid w:val="00D8382C"/>
    <w:rsid w:val="00D83A86"/>
    <w:rsid w:val="00D83C28"/>
    <w:rsid w:val="00D83EF6"/>
    <w:rsid w:val="00D84185"/>
    <w:rsid w:val="00D84A8D"/>
    <w:rsid w:val="00D84CDC"/>
    <w:rsid w:val="00D84FF4"/>
    <w:rsid w:val="00D852FC"/>
    <w:rsid w:val="00D85345"/>
    <w:rsid w:val="00D85412"/>
    <w:rsid w:val="00D855B8"/>
    <w:rsid w:val="00D85DED"/>
    <w:rsid w:val="00D864D2"/>
    <w:rsid w:val="00D876CE"/>
    <w:rsid w:val="00D87CF3"/>
    <w:rsid w:val="00D87D5B"/>
    <w:rsid w:val="00D9052F"/>
    <w:rsid w:val="00D90B48"/>
    <w:rsid w:val="00D90F5A"/>
    <w:rsid w:val="00D91351"/>
    <w:rsid w:val="00D91414"/>
    <w:rsid w:val="00D91799"/>
    <w:rsid w:val="00D92467"/>
    <w:rsid w:val="00D925E3"/>
    <w:rsid w:val="00D929D1"/>
    <w:rsid w:val="00D92C3F"/>
    <w:rsid w:val="00D92E50"/>
    <w:rsid w:val="00D92EAD"/>
    <w:rsid w:val="00D93428"/>
    <w:rsid w:val="00D9368E"/>
    <w:rsid w:val="00D951D2"/>
    <w:rsid w:val="00D962E0"/>
    <w:rsid w:val="00D9636F"/>
    <w:rsid w:val="00D96CB8"/>
    <w:rsid w:val="00D96F95"/>
    <w:rsid w:val="00D9720C"/>
    <w:rsid w:val="00D97BB0"/>
    <w:rsid w:val="00D97D96"/>
    <w:rsid w:val="00DA0C94"/>
    <w:rsid w:val="00DA0DF3"/>
    <w:rsid w:val="00DA1607"/>
    <w:rsid w:val="00DA1B21"/>
    <w:rsid w:val="00DA1F0D"/>
    <w:rsid w:val="00DA3554"/>
    <w:rsid w:val="00DA3E50"/>
    <w:rsid w:val="00DA3F40"/>
    <w:rsid w:val="00DA4250"/>
    <w:rsid w:val="00DA51DD"/>
    <w:rsid w:val="00DA54FD"/>
    <w:rsid w:val="00DA630F"/>
    <w:rsid w:val="00DA64B5"/>
    <w:rsid w:val="00DA6A60"/>
    <w:rsid w:val="00DA6F0C"/>
    <w:rsid w:val="00DA7150"/>
    <w:rsid w:val="00DA759E"/>
    <w:rsid w:val="00DA765B"/>
    <w:rsid w:val="00DA7721"/>
    <w:rsid w:val="00DA7D0A"/>
    <w:rsid w:val="00DB03D3"/>
    <w:rsid w:val="00DB0587"/>
    <w:rsid w:val="00DB0CC7"/>
    <w:rsid w:val="00DB0CEB"/>
    <w:rsid w:val="00DB0DAB"/>
    <w:rsid w:val="00DB0F06"/>
    <w:rsid w:val="00DB1038"/>
    <w:rsid w:val="00DB1423"/>
    <w:rsid w:val="00DB162A"/>
    <w:rsid w:val="00DB1C94"/>
    <w:rsid w:val="00DB25FE"/>
    <w:rsid w:val="00DB27F2"/>
    <w:rsid w:val="00DB2F72"/>
    <w:rsid w:val="00DB30DE"/>
    <w:rsid w:val="00DB3319"/>
    <w:rsid w:val="00DB339C"/>
    <w:rsid w:val="00DB3466"/>
    <w:rsid w:val="00DB60ED"/>
    <w:rsid w:val="00DB6DC9"/>
    <w:rsid w:val="00DB7893"/>
    <w:rsid w:val="00DB7A7E"/>
    <w:rsid w:val="00DB7BA2"/>
    <w:rsid w:val="00DB7C0C"/>
    <w:rsid w:val="00DB7E60"/>
    <w:rsid w:val="00DC056A"/>
    <w:rsid w:val="00DC05C8"/>
    <w:rsid w:val="00DC136F"/>
    <w:rsid w:val="00DC13E6"/>
    <w:rsid w:val="00DC1B84"/>
    <w:rsid w:val="00DC1E0B"/>
    <w:rsid w:val="00DC2004"/>
    <w:rsid w:val="00DC260A"/>
    <w:rsid w:val="00DC2C5F"/>
    <w:rsid w:val="00DC2EFD"/>
    <w:rsid w:val="00DC3A98"/>
    <w:rsid w:val="00DC40E2"/>
    <w:rsid w:val="00DC448C"/>
    <w:rsid w:val="00DC5806"/>
    <w:rsid w:val="00DC5D7E"/>
    <w:rsid w:val="00DC5EE2"/>
    <w:rsid w:val="00DC7771"/>
    <w:rsid w:val="00DD06C1"/>
    <w:rsid w:val="00DD06D1"/>
    <w:rsid w:val="00DD1671"/>
    <w:rsid w:val="00DD278E"/>
    <w:rsid w:val="00DD34A3"/>
    <w:rsid w:val="00DD34C8"/>
    <w:rsid w:val="00DD45BA"/>
    <w:rsid w:val="00DD477C"/>
    <w:rsid w:val="00DD5BDB"/>
    <w:rsid w:val="00DD5C44"/>
    <w:rsid w:val="00DD708F"/>
    <w:rsid w:val="00DD775D"/>
    <w:rsid w:val="00DD78F3"/>
    <w:rsid w:val="00DE0512"/>
    <w:rsid w:val="00DE1480"/>
    <w:rsid w:val="00DE1868"/>
    <w:rsid w:val="00DE18F2"/>
    <w:rsid w:val="00DE19F9"/>
    <w:rsid w:val="00DE1A6D"/>
    <w:rsid w:val="00DE22FD"/>
    <w:rsid w:val="00DE2730"/>
    <w:rsid w:val="00DE3189"/>
    <w:rsid w:val="00DE32F5"/>
    <w:rsid w:val="00DE3660"/>
    <w:rsid w:val="00DE3A93"/>
    <w:rsid w:val="00DE3D83"/>
    <w:rsid w:val="00DE3EF3"/>
    <w:rsid w:val="00DE4509"/>
    <w:rsid w:val="00DE464E"/>
    <w:rsid w:val="00DE4AEE"/>
    <w:rsid w:val="00DE4E6E"/>
    <w:rsid w:val="00DE5365"/>
    <w:rsid w:val="00DE5CD4"/>
    <w:rsid w:val="00DE69FF"/>
    <w:rsid w:val="00DE6C59"/>
    <w:rsid w:val="00DE7C1F"/>
    <w:rsid w:val="00DE7DE7"/>
    <w:rsid w:val="00DF023C"/>
    <w:rsid w:val="00DF05CC"/>
    <w:rsid w:val="00DF0AEE"/>
    <w:rsid w:val="00DF1031"/>
    <w:rsid w:val="00DF1C4D"/>
    <w:rsid w:val="00DF1CA3"/>
    <w:rsid w:val="00DF2035"/>
    <w:rsid w:val="00DF245A"/>
    <w:rsid w:val="00DF3250"/>
    <w:rsid w:val="00DF3790"/>
    <w:rsid w:val="00DF3E54"/>
    <w:rsid w:val="00DF48C6"/>
    <w:rsid w:val="00DF49ED"/>
    <w:rsid w:val="00DF5449"/>
    <w:rsid w:val="00DF5687"/>
    <w:rsid w:val="00DF5A82"/>
    <w:rsid w:val="00DF79F3"/>
    <w:rsid w:val="00DF7A69"/>
    <w:rsid w:val="00DF7E06"/>
    <w:rsid w:val="00E00048"/>
    <w:rsid w:val="00E0007E"/>
    <w:rsid w:val="00E001DB"/>
    <w:rsid w:val="00E00305"/>
    <w:rsid w:val="00E004A7"/>
    <w:rsid w:val="00E005F2"/>
    <w:rsid w:val="00E00DB3"/>
    <w:rsid w:val="00E01061"/>
    <w:rsid w:val="00E01347"/>
    <w:rsid w:val="00E01A82"/>
    <w:rsid w:val="00E02A86"/>
    <w:rsid w:val="00E02B3A"/>
    <w:rsid w:val="00E02B87"/>
    <w:rsid w:val="00E030F8"/>
    <w:rsid w:val="00E032CD"/>
    <w:rsid w:val="00E0368D"/>
    <w:rsid w:val="00E03E30"/>
    <w:rsid w:val="00E0472C"/>
    <w:rsid w:val="00E04BD6"/>
    <w:rsid w:val="00E0531F"/>
    <w:rsid w:val="00E053E0"/>
    <w:rsid w:val="00E0572D"/>
    <w:rsid w:val="00E05E8D"/>
    <w:rsid w:val="00E061A8"/>
    <w:rsid w:val="00E0676E"/>
    <w:rsid w:val="00E06A12"/>
    <w:rsid w:val="00E074EF"/>
    <w:rsid w:val="00E079B0"/>
    <w:rsid w:val="00E07B05"/>
    <w:rsid w:val="00E07EF5"/>
    <w:rsid w:val="00E101DF"/>
    <w:rsid w:val="00E104EB"/>
    <w:rsid w:val="00E10CC6"/>
    <w:rsid w:val="00E11260"/>
    <w:rsid w:val="00E11296"/>
    <w:rsid w:val="00E1150B"/>
    <w:rsid w:val="00E1185B"/>
    <w:rsid w:val="00E12148"/>
    <w:rsid w:val="00E12E17"/>
    <w:rsid w:val="00E1301C"/>
    <w:rsid w:val="00E13238"/>
    <w:rsid w:val="00E13BF8"/>
    <w:rsid w:val="00E13C53"/>
    <w:rsid w:val="00E14831"/>
    <w:rsid w:val="00E15257"/>
    <w:rsid w:val="00E15B4D"/>
    <w:rsid w:val="00E16420"/>
    <w:rsid w:val="00E16630"/>
    <w:rsid w:val="00E17044"/>
    <w:rsid w:val="00E173F1"/>
    <w:rsid w:val="00E200CA"/>
    <w:rsid w:val="00E21645"/>
    <w:rsid w:val="00E21FEA"/>
    <w:rsid w:val="00E22AC5"/>
    <w:rsid w:val="00E22CEA"/>
    <w:rsid w:val="00E239AE"/>
    <w:rsid w:val="00E23A95"/>
    <w:rsid w:val="00E23B08"/>
    <w:rsid w:val="00E23CA6"/>
    <w:rsid w:val="00E243CA"/>
    <w:rsid w:val="00E24863"/>
    <w:rsid w:val="00E249B6"/>
    <w:rsid w:val="00E24AF7"/>
    <w:rsid w:val="00E25311"/>
    <w:rsid w:val="00E255C0"/>
    <w:rsid w:val="00E263F3"/>
    <w:rsid w:val="00E26539"/>
    <w:rsid w:val="00E267E4"/>
    <w:rsid w:val="00E27684"/>
    <w:rsid w:val="00E27FE6"/>
    <w:rsid w:val="00E30624"/>
    <w:rsid w:val="00E30964"/>
    <w:rsid w:val="00E30CA8"/>
    <w:rsid w:val="00E31324"/>
    <w:rsid w:val="00E313A5"/>
    <w:rsid w:val="00E3142A"/>
    <w:rsid w:val="00E3211F"/>
    <w:rsid w:val="00E32D16"/>
    <w:rsid w:val="00E330EC"/>
    <w:rsid w:val="00E334DF"/>
    <w:rsid w:val="00E33AB2"/>
    <w:rsid w:val="00E33B28"/>
    <w:rsid w:val="00E33F4F"/>
    <w:rsid w:val="00E342D2"/>
    <w:rsid w:val="00E34955"/>
    <w:rsid w:val="00E34984"/>
    <w:rsid w:val="00E34EA0"/>
    <w:rsid w:val="00E356BD"/>
    <w:rsid w:val="00E35958"/>
    <w:rsid w:val="00E35CE6"/>
    <w:rsid w:val="00E36056"/>
    <w:rsid w:val="00E367FB"/>
    <w:rsid w:val="00E36852"/>
    <w:rsid w:val="00E36FD7"/>
    <w:rsid w:val="00E37489"/>
    <w:rsid w:val="00E37C2E"/>
    <w:rsid w:val="00E4000C"/>
    <w:rsid w:val="00E40AA1"/>
    <w:rsid w:val="00E40E36"/>
    <w:rsid w:val="00E413BD"/>
    <w:rsid w:val="00E416BA"/>
    <w:rsid w:val="00E418A2"/>
    <w:rsid w:val="00E422F9"/>
    <w:rsid w:val="00E42560"/>
    <w:rsid w:val="00E433CE"/>
    <w:rsid w:val="00E43CD6"/>
    <w:rsid w:val="00E43CE5"/>
    <w:rsid w:val="00E43D71"/>
    <w:rsid w:val="00E442B5"/>
    <w:rsid w:val="00E4461F"/>
    <w:rsid w:val="00E44895"/>
    <w:rsid w:val="00E44FB8"/>
    <w:rsid w:val="00E45192"/>
    <w:rsid w:val="00E4618D"/>
    <w:rsid w:val="00E46317"/>
    <w:rsid w:val="00E46573"/>
    <w:rsid w:val="00E46831"/>
    <w:rsid w:val="00E471D4"/>
    <w:rsid w:val="00E47C56"/>
    <w:rsid w:val="00E47DFA"/>
    <w:rsid w:val="00E47EB8"/>
    <w:rsid w:val="00E5025A"/>
    <w:rsid w:val="00E50BDD"/>
    <w:rsid w:val="00E51275"/>
    <w:rsid w:val="00E513BF"/>
    <w:rsid w:val="00E513CE"/>
    <w:rsid w:val="00E51D4A"/>
    <w:rsid w:val="00E522E5"/>
    <w:rsid w:val="00E52794"/>
    <w:rsid w:val="00E52B0B"/>
    <w:rsid w:val="00E5300A"/>
    <w:rsid w:val="00E530D5"/>
    <w:rsid w:val="00E5339D"/>
    <w:rsid w:val="00E533B3"/>
    <w:rsid w:val="00E53790"/>
    <w:rsid w:val="00E53BC5"/>
    <w:rsid w:val="00E54D0B"/>
    <w:rsid w:val="00E54E0A"/>
    <w:rsid w:val="00E56599"/>
    <w:rsid w:val="00E56EF6"/>
    <w:rsid w:val="00E571F9"/>
    <w:rsid w:val="00E57949"/>
    <w:rsid w:val="00E60162"/>
    <w:rsid w:val="00E60A8A"/>
    <w:rsid w:val="00E60CA5"/>
    <w:rsid w:val="00E612A4"/>
    <w:rsid w:val="00E613CE"/>
    <w:rsid w:val="00E614F1"/>
    <w:rsid w:val="00E615DF"/>
    <w:rsid w:val="00E616F4"/>
    <w:rsid w:val="00E61BFF"/>
    <w:rsid w:val="00E61DCD"/>
    <w:rsid w:val="00E61E52"/>
    <w:rsid w:val="00E6221C"/>
    <w:rsid w:val="00E62646"/>
    <w:rsid w:val="00E6276B"/>
    <w:rsid w:val="00E63570"/>
    <w:rsid w:val="00E644EF"/>
    <w:rsid w:val="00E652E3"/>
    <w:rsid w:val="00E657A0"/>
    <w:rsid w:val="00E65D02"/>
    <w:rsid w:val="00E668EF"/>
    <w:rsid w:val="00E670CE"/>
    <w:rsid w:val="00E670E2"/>
    <w:rsid w:val="00E70014"/>
    <w:rsid w:val="00E703A5"/>
    <w:rsid w:val="00E7048D"/>
    <w:rsid w:val="00E711F4"/>
    <w:rsid w:val="00E7193E"/>
    <w:rsid w:val="00E72011"/>
    <w:rsid w:val="00E72202"/>
    <w:rsid w:val="00E725FB"/>
    <w:rsid w:val="00E72DD2"/>
    <w:rsid w:val="00E72E02"/>
    <w:rsid w:val="00E7320B"/>
    <w:rsid w:val="00E73D03"/>
    <w:rsid w:val="00E74326"/>
    <w:rsid w:val="00E744A7"/>
    <w:rsid w:val="00E7619A"/>
    <w:rsid w:val="00E76C45"/>
    <w:rsid w:val="00E77693"/>
    <w:rsid w:val="00E77761"/>
    <w:rsid w:val="00E80579"/>
    <w:rsid w:val="00E80FD4"/>
    <w:rsid w:val="00E810D3"/>
    <w:rsid w:val="00E816DA"/>
    <w:rsid w:val="00E8194B"/>
    <w:rsid w:val="00E81A1C"/>
    <w:rsid w:val="00E81D2E"/>
    <w:rsid w:val="00E82445"/>
    <w:rsid w:val="00E82D90"/>
    <w:rsid w:val="00E8313C"/>
    <w:rsid w:val="00E83372"/>
    <w:rsid w:val="00E833B8"/>
    <w:rsid w:val="00E83DA6"/>
    <w:rsid w:val="00E846D6"/>
    <w:rsid w:val="00E8490C"/>
    <w:rsid w:val="00E84F84"/>
    <w:rsid w:val="00E856B8"/>
    <w:rsid w:val="00E85CBD"/>
    <w:rsid w:val="00E8652E"/>
    <w:rsid w:val="00E86566"/>
    <w:rsid w:val="00E86BD0"/>
    <w:rsid w:val="00E86C2D"/>
    <w:rsid w:val="00E8775A"/>
    <w:rsid w:val="00E87EBE"/>
    <w:rsid w:val="00E9029B"/>
    <w:rsid w:val="00E9092A"/>
    <w:rsid w:val="00E90FB2"/>
    <w:rsid w:val="00E91092"/>
    <w:rsid w:val="00E91507"/>
    <w:rsid w:val="00E91EE6"/>
    <w:rsid w:val="00E91FB2"/>
    <w:rsid w:val="00E935B8"/>
    <w:rsid w:val="00E94835"/>
    <w:rsid w:val="00E94930"/>
    <w:rsid w:val="00E957B0"/>
    <w:rsid w:val="00E9668B"/>
    <w:rsid w:val="00E96858"/>
    <w:rsid w:val="00E96C45"/>
    <w:rsid w:val="00E96FD6"/>
    <w:rsid w:val="00E96FEB"/>
    <w:rsid w:val="00E9741C"/>
    <w:rsid w:val="00E974B6"/>
    <w:rsid w:val="00E97B0D"/>
    <w:rsid w:val="00EA01EF"/>
    <w:rsid w:val="00EA04F3"/>
    <w:rsid w:val="00EA064E"/>
    <w:rsid w:val="00EA0DAC"/>
    <w:rsid w:val="00EA10F6"/>
    <w:rsid w:val="00EA13F3"/>
    <w:rsid w:val="00EA2E93"/>
    <w:rsid w:val="00EA3FEA"/>
    <w:rsid w:val="00EA4AA7"/>
    <w:rsid w:val="00EA5136"/>
    <w:rsid w:val="00EA53FD"/>
    <w:rsid w:val="00EA617F"/>
    <w:rsid w:val="00EA6438"/>
    <w:rsid w:val="00EA68D7"/>
    <w:rsid w:val="00EA69BE"/>
    <w:rsid w:val="00EA6BC4"/>
    <w:rsid w:val="00EA6EF8"/>
    <w:rsid w:val="00EA71AC"/>
    <w:rsid w:val="00EA7351"/>
    <w:rsid w:val="00EA776B"/>
    <w:rsid w:val="00EB07E3"/>
    <w:rsid w:val="00EB1161"/>
    <w:rsid w:val="00EB176D"/>
    <w:rsid w:val="00EB178B"/>
    <w:rsid w:val="00EB17DE"/>
    <w:rsid w:val="00EB182B"/>
    <w:rsid w:val="00EB1A60"/>
    <w:rsid w:val="00EB33F6"/>
    <w:rsid w:val="00EB4619"/>
    <w:rsid w:val="00EB4AC9"/>
    <w:rsid w:val="00EB4B9C"/>
    <w:rsid w:val="00EB4FD6"/>
    <w:rsid w:val="00EB4FFA"/>
    <w:rsid w:val="00EB55DB"/>
    <w:rsid w:val="00EB6C01"/>
    <w:rsid w:val="00EB6C91"/>
    <w:rsid w:val="00EB6D38"/>
    <w:rsid w:val="00EB70F9"/>
    <w:rsid w:val="00EB751A"/>
    <w:rsid w:val="00EB781A"/>
    <w:rsid w:val="00EC1AFD"/>
    <w:rsid w:val="00EC1B07"/>
    <w:rsid w:val="00EC23D6"/>
    <w:rsid w:val="00EC32C5"/>
    <w:rsid w:val="00EC34AC"/>
    <w:rsid w:val="00EC36BA"/>
    <w:rsid w:val="00EC3A9E"/>
    <w:rsid w:val="00EC3AD1"/>
    <w:rsid w:val="00EC3BC1"/>
    <w:rsid w:val="00EC4057"/>
    <w:rsid w:val="00EC49EE"/>
    <w:rsid w:val="00EC5E3D"/>
    <w:rsid w:val="00EC6983"/>
    <w:rsid w:val="00EC6DE2"/>
    <w:rsid w:val="00EC6F52"/>
    <w:rsid w:val="00EC71D3"/>
    <w:rsid w:val="00EC7D28"/>
    <w:rsid w:val="00EC7EC3"/>
    <w:rsid w:val="00EC7F99"/>
    <w:rsid w:val="00EC7FCF"/>
    <w:rsid w:val="00EC7FD2"/>
    <w:rsid w:val="00ED2041"/>
    <w:rsid w:val="00ED22F7"/>
    <w:rsid w:val="00ED24B2"/>
    <w:rsid w:val="00ED2AA7"/>
    <w:rsid w:val="00ED39B1"/>
    <w:rsid w:val="00ED3C56"/>
    <w:rsid w:val="00ED3D87"/>
    <w:rsid w:val="00ED3F11"/>
    <w:rsid w:val="00ED414F"/>
    <w:rsid w:val="00ED4597"/>
    <w:rsid w:val="00ED483D"/>
    <w:rsid w:val="00ED51EE"/>
    <w:rsid w:val="00ED640E"/>
    <w:rsid w:val="00ED650E"/>
    <w:rsid w:val="00ED6F1C"/>
    <w:rsid w:val="00EE01FC"/>
    <w:rsid w:val="00EE0DB8"/>
    <w:rsid w:val="00EE1247"/>
    <w:rsid w:val="00EE1D5C"/>
    <w:rsid w:val="00EE3542"/>
    <w:rsid w:val="00EE39EB"/>
    <w:rsid w:val="00EE43A8"/>
    <w:rsid w:val="00EE4672"/>
    <w:rsid w:val="00EE4FB2"/>
    <w:rsid w:val="00EE5C91"/>
    <w:rsid w:val="00EE5CE3"/>
    <w:rsid w:val="00EE6604"/>
    <w:rsid w:val="00EE6AD0"/>
    <w:rsid w:val="00EE6BC2"/>
    <w:rsid w:val="00EE729A"/>
    <w:rsid w:val="00EE7D35"/>
    <w:rsid w:val="00EE7FA3"/>
    <w:rsid w:val="00EF03AB"/>
    <w:rsid w:val="00EF0A83"/>
    <w:rsid w:val="00EF1067"/>
    <w:rsid w:val="00EF1D7C"/>
    <w:rsid w:val="00EF1DDC"/>
    <w:rsid w:val="00EF2009"/>
    <w:rsid w:val="00EF23F2"/>
    <w:rsid w:val="00EF2DED"/>
    <w:rsid w:val="00EF33BB"/>
    <w:rsid w:val="00EF369C"/>
    <w:rsid w:val="00EF3755"/>
    <w:rsid w:val="00EF408E"/>
    <w:rsid w:val="00EF46A0"/>
    <w:rsid w:val="00EF667A"/>
    <w:rsid w:val="00EF699C"/>
    <w:rsid w:val="00EF7022"/>
    <w:rsid w:val="00EF7473"/>
    <w:rsid w:val="00EF74D6"/>
    <w:rsid w:val="00EF77A6"/>
    <w:rsid w:val="00EF7ED3"/>
    <w:rsid w:val="00F0009C"/>
    <w:rsid w:val="00F006A8"/>
    <w:rsid w:val="00F00C40"/>
    <w:rsid w:val="00F01160"/>
    <w:rsid w:val="00F021A3"/>
    <w:rsid w:val="00F021B2"/>
    <w:rsid w:val="00F02492"/>
    <w:rsid w:val="00F02A46"/>
    <w:rsid w:val="00F035CB"/>
    <w:rsid w:val="00F03706"/>
    <w:rsid w:val="00F03EAC"/>
    <w:rsid w:val="00F03EFD"/>
    <w:rsid w:val="00F044CD"/>
    <w:rsid w:val="00F0472D"/>
    <w:rsid w:val="00F0482B"/>
    <w:rsid w:val="00F04879"/>
    <w:rsid w:val="00F0549F"/>
    <w:rsid w:val="00F05932"/>
    <w:rsid w:val="00F05C25"/>
    <w:rsid w:val="00F05D46"/>
    <w:rsid w:val="00F06A6C"/>
    <w:rsid w:val="00F06C43"/>
    <w:rsid w:val="00F07581"/>
    <w:rsid w:val="00F0771D"/>
    <w:rsid w:val="00F078C7"/>
    <w:rsid w:val="00F07A82"/>
    <w:rsid w:val="00F1010A"/>
    <w:rsid w:val="00F10229"/>
    <w:rsid w:val="00F10A2C"/>
    <w:rsid w:val="00F10A5C"/>
    <w:rsid w:val="00F10C42"/>
    <w:rsid w:val="00F11254"/>
    <w:rsid w:val="00F11403"/>
    <w:rsid w:val="00F12BB3"/>
    <w:rsid w:val="00F12D17"/>
    <w:rsid w:val="00F12F98"/>
    <w:rsid w:val="00F134AD"/>
    <w:rsid w:val="00F13613"/>
    <w:rsid w:val="00F13FEB"/>
    <w:rsid w:val="00F14023"/>
    <w:rsid w:val="00F14446"/>
    <w:rsid w:val="00F14538"/>
    <w:rsid w:val="00F14B1D"/>
    <w:rsid w:val="00F15756"/>
    <w:rsid w:val="00F159B2"/>
    <w:rsid w:val="00F15E7E"/>
    <w:rsid w:val="00F163EF"/>
    <w:rsid w:val="00F16E1F"/>
    <w:rsid w:val="00F16E76"/>
    <w:rsid w:val="00F173A9"/>
    <w:rsid w:val="00F17403"/>
    <w:rsid w:val="00F17AD5"/>
    <w:rsid w:val="00F20060"/>
    <w:rsid w:val="00F2021F"/>
    <w:rsid w:val="00F20231"/>
    <w:rsid w:val="00F202A0"/>
    <w:rsid w:val="00F204C2"/>
    <w:rsid w:val="00F20615"/>
    <w:rsid w:val="00F206ED"/>
    <w:rsid w:val="00F21CC4"/>
    <w:rsid w:val="00F22031"/>
    <w:rsid w:val="00F2218F"/>
    <w:rsid w:val="00F22908"/>
    <w:rsid w:val="00F234F6"/>
    <w:rsid w:val="00F2398A"/>
    <w:rsid w:val="00F242B2"/>
    <w:rsid w:val="00F24517"/>
    <w:rsid w:val="00F2613F"/>
    <w:rsid w:val="00F2696C"/>
    <w:rsid w:val="00F26B89"/>
    <w:rsid w:val="00F2739C"/>
    <w:rsid w:val="00F27ACC"/>
    <w:rsid w:val="00F3075E"/>
    <w:rsid w:val="00F308C3"/>
    <w:rsid w:val="00F30924"/>
    <w:rsid w:val="00F3100E"/>
    <w:rsid w:val="00F31257"/>
    <w:rsid w:val="00F31986"/>
    <w:rsid w:val="00F31ACA"/>
    <w:rsid w:val="00F31CA2"/>
    <w:rsid w:val="00F3296D"/>
    <w:rsid w:val="00F33D9F"/>
    <w:rsid w:val="00F33E31"/>
    <w:rsid w:val="00F33ED0"/>
    <w:rsid w:val="00F342EF"/>
    <w:rsid w:val="00F344FA"/>
    <w:rsid w:val="00F34722"/>
    <w:rsid w:val="00F347AF"/>
    <w:rsid w:val="00F3486E"/>
    <w:rsid w:val="00F348A2"/>
    <w:rsid w:val="00F34C6D"/>
    <w:rsid w:val="00F3525D"/>
    <w:rsid w:val="00F358AA"/>
    <w:rsid w:val="00F35C41"/>
    <w:rsid w:val="00F35FCD"/>
    <w:rsid w:val="00F362E8"/>
    <w:rsid w:val="00F36528"/>
    <w:rsid w:val="00F36821"/>
    <w:rsid w:val="00F369FC"/>
    <w:rsid w:val="00F36D10"/>
    <w:rsid w:val="00F3715E"/>
    <w:rsid w:val="00F371A1"/>
    <w:rsid w:val="00F37327"/>
    <w:rsid w:val="00F374D5"/>
    <w:rsid w:val="00F378AB"/>
    <w:rsid w:val="00F37D1F"/>
    <w:rsid w:val="00F400ED"/>
    <w:rsid w:val="00F40295"/>
    <w:rsid w:val="00F402C2"/>
    <w:rsid w:val="00F40348"/>
    <w:rsid w:val="00F4043D"/>
    <w:rsid w:val="00F413C5"/>
    <w:rsid w:val="00F41465"/>
    <w:rsid w:val="00F41EA2"/>
    <w:rsid w:val="00F41EA6"/>
    <w:rsid w:val="00F42319"/>
    <w:rsid w:val="00F428B0"/>
    <w:rsid w:val="00F42A6D"/>
    <w:rsid w:val="00F43687"/>
    <w:rsid w:val="00F43A84"/>
    <w:rsid w:val="00F44967"/>
    <w:rsid w:val="00F44B78"/>
    <w:rsid w:val="00F44D36"/>
    <w:rsid w:val="00F4575E"/>
    <w:rsid w:val="00F45C83"/>
    <w:rsid w:val="00F45DFC"/>
    <w:rsid w:val="00F4633E"/>
    <w:rsid w:val="00F465D9"/>
    <w:rsid w:val="00F47238"/>
    <w:rsid w:val="00F474DD"/>
    <w:rsid w:val="00F47DC3"/>
    <w:rsid w:val="00F47E6B"/>
    <w:rsid w:val="00F508CB"/>
    <w:rsid w:val="00F512D6"/>
    <w:rsid w:val="00F51F71"/>
    <w:rsid w:val="00F51F88"/>
    <w:rsid w:val="00F525EB"/>
    <w:rsid w:val="00F526B1"/>
    <w:rsid w:val="00F5277D"/>
    <w:rsid w:val="00F52B5E"/>
    <w:rsid w:val="00F52BA0"/>
    <w:rsid w:val="00F52BCE"/>
    <w:rsid w:val="00F534A7"/>
    <w:rsid w:val="00F53F92"/>
    <w:rsid w:val="00F54DF8"/>
    <w:rsid w:val="00F54EFB"/>
    <w:rsid w:val="00F54F92"/>
    <w:rsid w:val="00F5507D"/>
    <w:rsid w:val="00F550A5"/>
    <w:rsid w:val="00F5532A"/>
    <w:rsid w:val="00F559CB"/>
    <w:rsid w:val="00F5648A"/>
    <w:rsid w:val="00F56520"/>
    <w:rsid w:val="00F565A3"/>
    <w:rsid w:val="00F56E83"/>
    <w:rsid w:val="00F571B8"/>
    <w:rsid w:val="00F572BB"/>
    <w:rsid w:val="00F57D3E"/>
    <w:rsid w:val="00F600F0"/>
    <w:rsid w:val="00F605C2"/>
    <w:rsid w:val="00F60865"/>
    <w:rsid w:val="00F61053"/>
    <w:rsid w:val="00F6140A"/>
    <w:rsid w:val="00F61667"/>
    <w:rsid w:val="00F61C5D"/>
    <w:rsid w:val="00F6265D"/>
    <w:rsid w:val="00F63197"/>
    <w:rsid w:val="00F63657"/>
    <w:rsid w:val="00F63B34"/>
    <w:rsid w:val="00F643DF"/>
    <w:rsid w:val="00F64B54"/>
    <w:rsid w:val="00F64B74"/>
    <w:rsid w:val="00F64E05"/>
    <w:rsid w:val="00F6510F"/>
    <w:rsid w:val="00F659DD"/>
    <w:rsid w:val="00F65ABE"/>
    <w:rsid w:val="00F65B8E"/>
    <w:rsid w:val="00F65CEA"/>
    <w:rsid w:val="00F66692"/>
    <w:rsid w:val="00F672F4"/>
    <w:rsid w:val="00F675C8"/>
    <w:rsid w:val="00F67D50"/>
    <w:rsid w:val="00F67DCA"/>
    <w:rsid w:val="00F70089"/>
    <w:rsid w:val="00F70E11"/>
    <w:rsid w:val="00F7122D"/>
    <w:rsid w:val="00F712B7"/>
    <w:rsid w:val="00F71784"/>
    <w:rsid w:val="00F7179F"/>
    <w:rsid w:val="00F71ED0"/>
    <w:rsid w:val="00F71F47"/>
    <w:rsid w:val="00F71F8C"/>
    <w:rsid w:val="00F721EC"/>
    <w:rsid w:val="00F7258B"/>
    <w:rsid w:val="00F72E46"/>
    <w:rsid w:val="00F72E53"/>
    <w:rsid w:val="00F73390"/>
    <w:rsid w:val="00F733C8"/>
    <w:rsid w:val="00F736D6"/>
    <w:rsid w:val="00F737D1"/>
    <w:rsid w:val="00F73B3C"/>
    <w:rsid w:val="00F73F03"/>
    <w:rsid w:val="00F74876"/>
    <w:rsid w:val="00F74892"/>
    <w:rsid w:val="00F749E3"/>
    <w:rsid w:val="00F74CB4"/>
    <w:rsid w:val="00F74ECF"/>
    <w:rsid w:val="00F74F79"/>
    <w:rsid w:val="00F751C0"/>
    <w:rsid w:val="00F761BA"/>
    <w:rsid w:val="00F7668B"/>
    <w:rsid w:val="00F76789"/>
    <w:rsid w:val="00F76DA8"/>
    <w:rsid w:val="00F77039"/>
    <w:rsid w:val="00F772DE"/>
    <w:rsid w:val="00F77BEE"/>
    <w:rsid w:val="00F77EA2"/>
    <w:rsid w:val="00F77F40"/>
    <w:rsid w:val="00F80DA2"/>
    <w:rsid w:val="00F81B08"/>
    <w:rsid w:val="00F81CC7"/>
    <w:rsid w:val="00F81DFF"/>
    <w:rsid w:val="00F81F1B"/>
    <w:rsid w:val="00F82AA6"/>
    <w:rsid w:val="00F82B3B"/>
    <w:rsid w:val="00F82F09"/>
    <w:rsid w:val="00F83DBF"/>
    <w:rsid w:val="00F847DD"/>
    <w:rsid w:val="00F851A7"/>
    <w:rsid w:val="00F85226"/>
    <w:rsid w:val="00F85AAB"/>
    <w:rsid w:val="00F85FEF"/>
    <w:rsid w:val="00F86571"/>
    <w:rsid w:val="00F873FC"/>
    <w:rsid w:val="00F8786E"/>
    <w:rsid w:val="00F87A0D"/>
    <w:rsid w:val="00F87D0C"/>
    <w:rsid w:val="00F87D6A"/>
    <w:rsid w:val="00F9020E"/>
    <w:rsid w:val="00F90CB1"/>
    <w:rsid w:val="00F9186A"/>
    <w:rsid w:val="00F919F8"/>
    <w:rsid w:val="00F91B3A"/>
    <w:rsid w:val="00F924CF"/>
    <w:rsid w:val="00F9282A"/>
    <w:rsid w:val="00F92EE8"/>
    <w:rsid w:val="00F93484"/>
    <w:rsid w:val="00F9383B"/>
    <w:rsid w:val="00F93F20"/>
    <w:rsid w:val="00F94CB9"/>
    <w:rsid w:val="00F94D5A"/>
    <w:rsid w:val="00F9584D"/>
    <w:rsid w:val="00F95FEE"/>
    <w:rsid w:val="00F966EF"/>
    <w:rsid w:val="00F96CC8"/>
    <w:rsid w:val="00F97179"/>
    <w:rsid w:val="00F975A9"/>
    <w:rsid w:val="00F97605"/>
    <w:rsid w:val="00FA0242"/>
    <w:rsid w:val="00FA0539"/>
    <w:rsid w:val="00FA094E"/>
    <w:rsid w:val="00FA0D51"/>
    <w:rsid w:val="00FA142C"/>
    <w:rsid w:val="00FA1B6C"/>
    <w:rsid w:val="00FA1C1B"/>
    <w:rsid w:val="00FA1C37"/>
    <w:rsid w:val="00FA289E"/>
    <w:rsid w:val="00FA299C"/>
    <w:rsid w:val="00FA2B99"/>
    <w:rsid w:val="00FA3B8F"/>
    <w:rsid w:val="00FA42BD"/>
    <w:rsid w:val="00FA46E3"/>
    <w:rsid w:val="00FA56D6"/>
    <w:rsid w:val="00FA57E6"/>
    <w:rsid w:val="00FA5EC3"/>
    <w:rsid w:val="00FA5ED9"/>
    <w:rsid w:val="00FA6099"/>
    <w:rsid w:val="00FA686B"/>
    <w:rsid w:val="00FA6F9A"/>
    <w:rsid w:val="00FA7031"/>
    <w:rsid w:val="00FA73A4"/>
    <w:rsid w:val="00FA76E6"/>
    <w:rsid w:val="00FA7F5E"/>
    <w:rsid w:val="00FB0209"/>
    <w:rsid w:val="00FB0AB7"/>
    <w:rsid w:val="00FB0D16"/>
    <w:rsid w:val="00FB1374"/>
    <w:rsid w:val="00FB1420"/>
    <w:rsid w:val="00FB1546"/>
    <w:rsid w:val="00FB1A17"/>
    <w:rsid w:val="00FB1A4F"/>
    <w:rsid w:val="00FB1ED6"/>
    <w:rsid w:val="00FB1F0C"/>
    <w:rsid w:val="00FB23D1"/>
    <w:rsid w:val="00FB252B"/>
    <w:rsid w:val="00FB25CF"/>
    <w:rsid w:val="00FB2BAC"/>
    <w:rsid w:val="00FB2CDF"/>
    <w:rsid w:val="00FB31EE"/>
    <w:rsid w:val="00FB3995"/>
    <w:rsid w:val="00FB3D42"/>
    <w:rsid w:val="00FB3FCA"/>
    <w:rsid w:val="00FB46C3"/>
    <w:rsid w:val="00FB4730"/>
    <w:rsid w:val="00FB525B"/>
    <w:rsid w:val="00FB551E"/>
    <w:rsid w:val="00FB5D00"/>
    <w:rsid w:val="00FB63F9"/>
    <w:rsid w:val="00FB738F"/>
    <w:rsid w:val="00FB79A9"/>
    <w:rsid w:val="00FC0846"/>
    <w:rsid w:val="00FC0F01"/>
    <w:rsid w:val="00FC11C9"/>
    <w:rsid w:val="00FC1817"/>
    <w:rsid w:val="00FC1A16"/>
    <w:rsid w:val="00FC1B47"/>
    <w:rsid w:val="00FC2615"/>
    <w:rsid w:val="00FC294A"/>
    <w:rsid w:val="00FC30AB"/>
    <w:rsid w:val="00FC4459"/>
    <w:rsid w:val="00FC472D"/>
    <w:rsid w:val="00FC4E57"/>
    <w:rsid w:val="00FC5783"/>
    <w:rsid w:val="00FC61E0"/>
    <w:rsid w:val="00FC62A6"/>
    <w:rsid w:val="00FC62AF"/>
    <w:rsid w:val="00FC6328"/>
    <w:rsid w:val="00FC6BC8"/>
    <w:rsid w:val="00FC70F4"/>
    <w:rsid w:val="00FC723D"/>
    <w:rsid w:val="00FC759A"/>
    <w:rsid w:val="00FC76F9"/>
    <w:rsid w:val="00FC7AEB"/>
    <w:rsid w:val="00FC7D18"/>
    <w:rsid w:val="00FC7D1D"/>
    <w:rsid w:val="00FC7D29"/>
    <w:rsid w:val="00FD00B9"/>
    <w:rsid w:val="00FD04E0"/>
    <w:rsid w:val="00FD18C5"/>
    <w:rsid w:val="00FD2972"/>
    <w:rsid w:val="00FD298D"/>
    <w:rsid w:val="00FD2B28"/>
    <w:rsid w:val="00FD386C"/>
    <w:rsid w:val="00FD3D46"/>
    <w:rsid w:val="00FD4571"/>
    <w:rsid w:val="00FD4D68"/>
    <w:rsid w:val="00FD5145"/>
    <w:rsid w:val="00FD5454"/>
    <w:rsid w:val="00FD5531"/>
    <w:rsid w:val="00FD5641"/>
    <w:rsid w:val="00FD5D72"/>
    <w:rsid w:val="00FD6109"/>
    <w:rsid w:val="00FD6298"/>
    <w:rsid w:val="00FD6463"/>
    <w:rsid w:val="00FD6648"/>
    <w:rsid w:val="00FD6C36"/>
    <w:rsid w:val="00FD6C91"/>
    <w:rsid w:val="00FD716A"/>
    <w:rsid w:val="00FD7E07"/>
    <w:rsid w:val="00FE0315"/>
    <w:rsid w:val="00FE03A8"/>
    <w:rsid w:val="00FE0681"/>
    <w:rsid w:val="00FE0D7B"/>
    <w:rsid w:val="00FE0E15"/>
    <w:rsid w:val="00FE0ED7"/>
    <w:rsid w:val="00FE0F54"/>
    <w:rsid w:val="00FE1139"/>
    <w:rsid w:val="00FE1E5D"/>
    <w:rsid w:val="00FE2370"/>
    <w:rsid w:val="00FE24D2"/>
    <w:rsid w:val="00FE2694"/>
    <w:rsid w:val="00FE51D6"/>
    <w:rsid w:val="00FE5B50"/>
    <w:rsid w:val="00FE5D5D"/>
    <w:rsid w:val="00FE6EAC"/>
    <w:rsid w:val="00FE738B"/>
    <w:rsid w:val="00FE76CC"/>
    <w:rsid w:val="00FE7A94"/>
    <w:rsid w:val="00FF07C8"/>
    <w:rsid w:val="00FF13A6"/>
    <w:rsid w:val="00FF13EB"/>
    <w:rsid w:val="00FF18CF"/>
    <w:rsid w:val="00FF18D0"/>
    <w:rsid w:val="00FF19FD"/>
    <w:rsid w:val="00FF20BF"/>
    <w:rsid w:val="00FF2F4D"/>
    <w:rsid w:val="00FF3E14"/>
    <w:rsid w:val="00FF437F"/>
    <w:rsid w:val="00FF462E"/>
    <w:rsid w:val="00FF5445"/>
    <w:rsid w:val="00FF5911"/>
    <w:rsid w:val="00FF5F61"/>
    <w:rsid w:val="00FF5FF2"/>
    <w:rsid w:val="00FF6343"/>
    <w:rsid w:val="00FF6CFC"/>
    <w:rsid w:val="00FF6D07"/>
    <w:rsid w:val="00FF6EF3"/>
    <w:rsid w:val="00FF6FE5"/>
    <w:rsid w:val="00FF7168"/>
    <w:rsid w:val="00FF78A8"/>
    <w:rsid w:val="00FF7C46"/>
    <w:rsid w:val="00FF7CC2"/>
    <w:rsid w:val="016221E1"/>
    <w:rsid w:val="01F15B20"/>
    <w:rsid w:val="021965ED"/>
    <w:rsid w:val="02682137"/>
    <w:rsid w:val="02C61F2F"/>
    <w:rsid w:val="02C81CF0"/>
    <w:rsid w:val="03072C2B"/>
    <w:rsid w:val="03333852"/>
    <w:rsid w:val="03492863"/>
    <w:rsid w:val="03F77F39"/>
    <w:rsid w:val="03FF058E"/>
    <w:rsid w:val="043F09BA"/>
    <w:rsid w:val="047C4274"/>
    <w:rsid w:val="04CE60F6"/>
    <w:rsid w:val="05666912"/>
    <w:rsid w:val="05B05E7B"/>
    <w:rsid w:val="063A4869"/>
    <w:rsid w:val="06922957"/>
    <w:rsid w:val="072A4D83"/>
    <w:rsid w:val="07445314"/>
    <w:rsid w:val="075229E7"/>
    <w:rsid w:val="07CA07CF"/>
    <w:rsid w:val="0839785C"/>
    <w:rsid w:val="08911E7E"/>
    <w:rsid w:val="08D52470"/>
    <w:rsid w:val="090E2BCF"/>
    <w:rsid w:val="09EC159E"/>
    <w:rsid w:val="09F2406F"/>
    <w:rsid w:val="0B8125EA"/>
    <w:rsid w:val="0BAD29C6"/>
    <w:rsid w:val="0BCD4CD8"/>
    <w:rsid w:val="0C1B599B"/>
    <w:rsid w:val="0D2C14B9"/>
    <w:rsid w:val="0D7F7652"/>
    <w:rsid w:val="0E5B49AE"/>
    <w:rsid w:val="0FCA75D7"/>
    <w:rsid w:val="0FE16509"/>
    <w:rsid w:val="10280789"/>
    <w:rsid w:val="104779E5"/>
    <w:rsid w:val="10B737FD"/>
    <w:rsid w:val="12510513"/>
    <w:rsid w:val="12C547E3"/>
    <w:rsid w:val="12DD0F30"/>
    <w:rsid w:val="134C1136"/>
    <w:rsid w:val="138F64F9"/>
    <w:rsid w:val="13A11039"/>
    <w:rsid w:val="15012D93"/>
    <w:rsid w:val="153318A8"/>
    <w:rsid w:val="159623B5"/>
    <w:rsid w:val="15EC4C40"/>
    <w:rsid w:val="162F79FC"/>
    <w:rsid w:val="16D43DC3"/>
    <w:rsid w:val="16D8378C"/>
    <w:rsid w:val="16E13640"/>
    <w:rsid w:val="1827400F"/>
    <w:rsid w:val="18334989"/>
    <w:rsid w:val="184B4A92"/>
    <w:rsid w:val="18571BF9"/>
    <w:rsid w:val="186F0329"/>
    <w:rsid w:val="189563EA"/>
    <w:rsid w:val="18CD4DED"/>
    <w:rsid w:val="193B0B9C"/>
    <w:rsid w:val="1985614E"/>
    <w:rsid w:val="19B93C98"/>
    <w:rsid w:val="1A5B3EB5"/>
    <w:rsid w:val="1A6629A4"/>
    <w:rsid w:val="1AEA556C"/>
    <w:rsid w:val="1C607CDF"/>
    <w:rsid w:val="1C990285"/>
    <w:rsid w:val="1C9F5470"/>
    <w:rsid w:val="1CD25273"/>
    <w:rsid w:val="1DC164C7"/>
    <w:rsid w:val="1DCA0DA4"/>
    <w:rsid w:val="1E2B01AE"/>
    <w:rsid w:val="1E3C6A9C"/>
    <w:rsid w:val="1E74103D"/>
    <w:rsid w:val="1EEF4856"/>
    <w:rsid w:val="1F3A4386"/>
    <w:rsid w:val="1F5D1BD3"/>
    <w:rsid w:val="1FB45A5C"/>
    <w:rsid w:val="1FFF75C8"/>
    <w:rsid w:val="20260607"/>
    <w:rsid w:val="206757B5"/>
    <w:rsid w:val="206E1C71"/>
    <w:rsid w:val="208871FA"/>
    <w:rsid w:val="20906A8C"/>
    <w:rsid w:val="20FF7F72"/>
    <w:rsid w:val="21983439"/>
    <w:rsid w:val="21D50FA4"/>
    <w:rsid w:val="224D4330"/>
    <w:rsid w:val="227D4108"/>
    <w:rsid w:val="22CD7E0E"/>
    <w:rsid w:val="23C02BAD"/>
    <w:rsid w:val="23C73288"/>
    <w:rsid w:val="23DD3457"/>
    <w:rsid w:val="2404645E"/>
    <w:rsid w:val="24184C76"/>
    <w:rsid w:val="243A5E37"/>
    <w:rsid w:val="24D11354"/>
    <w:rsid w:val="24F2363B"/>
    <w:rsid w:val="2532165E"/>
    <w:rsid w:val="253B4BC4"/>
    <w:rsid w:val="257E23E1"/>
    <w:rsid w:val="25823FBA"/>
    <w:rsid w:val="25A32C80"/>
    <w:rsid w:val="265C594C"/>
    <w:rsid w:val="267A428F"/>
    <w:rsid w:val="26917BF1"/>
    <w:rsid w:val="26924A1E"/>
    <w:rsid w:val="26ED5467"/>
    <w:rsid w:val="27095D2E"/>
    <w:rsid w:val="27307AAA"/>
    <w:rsid w:val="274F654D"/>
    <w:rsid w:val="27A26C1B"/>
    <w:rsid w:val="27B8681D"/>
    <w:rsid w:val="289A2350"/>
    <w:rsid w:val="29960AD1"/>
    <w:rsid w:val="29C143A7"/>
    <w:rsid w:val="2ABC1A39"/>
    <w:rsid w:val="2AFB1E0F"/>
    <w:rsid w:val="2B6A5466"/>
    <w:rsid w:val="2CA94589"/>
    <w:rsid w:val="2D143866"/>
    <w:rsid w:val="2D782F76"/>
    <w:rsid w:val="2DA72009"/>
    <w:rsid w:val="2DB14874"/>
    <w:rsid w:val="2DD136F7"/>
    <w:rsid w:val="2DFE0923"/>
    <w:rsid w:val="2EA16106"/>
    <w:rsid w:val="2F1449F1"/>
    <w:rsid w:val="2FA5546B"/>
    <w:rsid w:val="2FC733BB"/>
    <w:rsid w:val="2FD21F0C"/>
    <w:rsid w:val="308867DF"/>
    <w:rsid w:val="30FE6CD6"/>
    <w:rsid w:val="315F6045"/>
    <w:rsid w:val="31703B44"/>
    <w:rsid w:val="31D8034C"/>
    <w:rsid w:val="31E53A2E"/>
    <w:rsid w:val="329C07CE"/>
    <w:rsid w:val="33A46F49"/>
    <w:rsid w:val="33AC1339"/>
    <w:rsid w:val="342563F1"/>
    <w:rsid w:val="34832A74"/>
    <w:rsid w:val="34B54432"/>
    <w:rsid w:val="3543618F"/>
    <w:rsid w:val="356E126D"/>
    <w:rsid w:val="362E0399"/>
    <w:rsid w:val="37CA7581"/>
    <w:rsid w:val="381E578E"/>
    <w:rsid w:val="383872E8"/>
    <w:rsid w:val="387D2E5F"/>
    <w:rsid w:val="38FA2FE1"/>
    <w:rsid w:val="392E1BDA"/>
    <w:rsid w:val="399C5360"/>
    <w:rsid w:val="39D7764F"/>
    <w:rsid w:val="3A261185"/>
    <w:rsid w:val="3A2A3159"/>
    <w:rsid w:val="3A3F623B"/>
    <w:rsid w:val="3A770FBC"/>
    <w:rsid w:val="3A973B66"/>
    <w:rsid w:val="3AA03510"/>
    <w:rsid w:val="3AE37CEF"/>
    <w:rsid w:val="3AE6697F"/>
    <w:rsid w:val="3C18089F"/>
    <w:rsid w:val="3C89033E"/>
    <w:rsid w:val="3C8F28DE"/>
    <w:rsid w:val="3CE5162C"/>
    <w:rsid w:val="3D9E2139"/>
    <w:rsid w:val="3DDB53EE"/>
    <w:rsid w:val="3E0C543F"/>
    <w:rsid w:val="3E735384"/>
    <w:rsid w:val="3E7605C9"/>
    <w:rsid w:val="3ECE462D"/>
    <w:rsid w:val="3F417B3B"/>
    <w:rsid w:val="3F7064A7"/>
    <w:rsid w:val="3FA2215B"/>
    <w:rsid w:val="405F7C92"/>
    <w:rsid w:val="40A87349"/>
    <w:rsid w:val="41AC3E68"/>
    <w:rsid w:val="41D03C11"/>
    <w:rsid w:val="42150609"/>
    <w:rsid w:val="42EC2396"/>
    <w:rsid w:val="430E0CC4"/>
    <w:rsid w:val="437E4AB1"/>
    <w:rsid w:val="440E1C69"/>
    <w:rsid w:val="441B2A3F"/>
    <w:rsid w:val="44414D21"/>
    <w:rsid w:val="447F3ABF"/>
    <w:rsid w:val="44C46BF3"/>
    <w:rsid w:val="45174FC6"/>
    <w:rsid w:val="46033B41"/>
    <w:rsid w:val="46064454"/>
    <w:rsid w:val="46A3636F"/>
    <w:rsid w:val="473C41CC"/>
    <w:rsid w:val="478875BC"/>
    <w:rsid w:val="47983A47"/>
    <w:rsid w:val="48172E24"/>
    <w:rsid w:val="49102C4F"/>
    <w:rsid w:val="49C95095"/>
    <w:rsid w:val="4A500B2E"/>
    <w:rsid w:val="4A826F2F"/>
    <w:rsid w:val="4A8A7E71"/>
    <w:rsid w:val="4ACE0375"/>
    <w:rsid w:val="4AFC0922"/>
    <w:rsid w:val="4B76081B"/>
    <w:rsid w:val="4BE74BFA"/>
    <w:rsid w:val="4C2B68FE"/>
    <w:rsid w:val="4CA54875"/>
    <w:rsid w:val="4CD15AEA"/>
    <w:rsid w:val="4D7917A6"/>
    <w:rsid w:val="4DF24147"/>
    <w:rsid w:val="4EA44F47"/>
    <w:rsid w:val="4EB93B25"/>
    <w:rsid w:val="4F120402"/>
    <w:rsid w:val="4FDB24E8"/>
    <w:rsid w:val="50064274"/>
    <w:rsid w:val="50435266"/>
    <w:rsid w:val="504725BD"/>
    <w:rsid w:val="50900A3A"/>
    <w:rsid w:val="50BA4898"/>
    <w:rsid w:val="50ED010C"/>
    <w:rsid w:val="510C3FFF"/>
    <w:rsid w:val="51F71318"/>
    <w:rsid w:val="52016BB6"/>
    <w:rsid w:val="520572E1"/>
    <w:rsid w:val="527A14FF"/>
    <w:rsid w:val="529B2B07"/>
    <w:rsid w:val="52A97122"/>
    <w:rsid w:val="52CD56EF"/>
    <w:rsid w:val="53EC12EB"/>
    <w:rsid w:val="545560BE"/>
    <w:rsid w:val="54E65AEA"/>
    <w:rsid w:val="54E84008"/>
    <w:rsid w:val="557A5182"/>
    <w:rsid w:val="55B23B34"/>
    <w:rsid w:val="561A3F20"/>
    <w:rsid w:val="56200E1C"/>
    <w:rsid w:val="56403C56"/>
    <w:rsid w:val="569C6137"/>
    <w:rsid w:val="56E13AC7"/>
    <w:rsid w:val="57024477"/>
    <w:rsid w:val="5712483E"/>
    <w:rsid w:val="577928FE"/>
    <w:rsid w:val="57D44E58"/>
    <w:rsid w:val="586522DF"/>
    <w:rsid w:val="58E73D8B"/>
    <w:rsid w:val="592243CA"/>
    <w:rsid w:val="592C1DB5"/>
    <w:rsid w:val="5A21088C"/>
    <w:rsid w:val="5A350B79"/>
    <w:rsid w:val="5B062518"/>
    <w:rsid w:val="5B622B20"/>
    <w:rsid w:val="5BDE7183"/>
    <w:rsid w:val="5CA86122"/>
    <w:rsid w:val="5CC82E43"/>
    <w:rsid w:val="5E2F11A5"/>
    <w:rsid w:val="5F7A47A9"/>
    <w:rsid w:val="603135BC"/>
    <w:rsid w:val="60CC6DCD"/>
    <w:rsid w:val="617822E1"/>
    <w:rsid w:val="61B319FE"/>
    <w:rsid w:val="61FF4E7E"/>
    <w:rsid w:val="62033A66"/>
    <w:rsid w:val="625722AF"/>
    <w:rsid w:val="626E2DC5"/>
    <w:rsid w:val="62CC3C0C"/>
    <w:rsid w:val="62ED5768"/>
    <w:rsid w:val="63CF6AC6"/>
    <w:rsid w:val="6598385E"/>
    <w:rsid w:val="66063BC1"/>
    <w:rsid w:val="66CF68B9"/>
    <w:rsid w:val="66DE5D2D"/>
    <w:rsid w:val="670D3977"/>
    <w:rsid w:val="67845488"/>
    <w:rsid w:val="679E5EF3"/>
    <w:rsid w:val="6808721E"/>
    <w:rsid w:val="68741351"/>
    <w:rsid w:val="68856563"/>
    <w:rsid w:val="68946F48"/>
    <w:rsid w:val="68EB6CBD"/>
    <w:rsid w:val="690912A0"/>
    <w:rsid w:val="692B2F0E"/>
    <w:rsid w:val="69536216"/>
    <w:rsid w:val="69647804"/>
    <w:rsid w:val="6A4A34FC"/>
    <w:rsid w:val="6A9616F9"/>
    <w:rsid w:val="6B153FC7"/>
    <w:rsid w:val="6B3B11C9"/>
    <w:rsid w:val="6B523E60"/>
    <w:rsid w:val="6B7C0DFE"/>
    <w:rsid w:val="6BDE22E0"/>
    <w:rsid w:val="6BEA7F00"/>
    <w:rsid w:val="6D6010D1"/>
    <w:rsid w:val="6DA23408"/>
    <w:rsid w:val="6DC93DA8"/>
    <w:rsid w:val="6DEC2324"/>
    <w:rsid w:val="6DEE15F7"/>
    <w:rsid w:val="6E070E4F"/>
    <w:rsid w:val="6E8E6F22"/>
    <w:rsid w:val="6F254569"/>
    <w:rsid w:val="6F5A5284"/>
    <w:rsid w:val="703679FC"/>
    <w:rsid w:val="707A600A"/>
    <w:rsid w:val="70D2486C"/>
    <w:rsid w:val="70D95624"/>
    <w:rsid w:val="72467AC3"/>
    <w:rsid w:val="729741CE"/>
    <w:rsid w:val="72CB4C46"/>
    <w:rsid w:val="72F827AA"/>
    <w:rsid w:val="73113CA7"/>
    <w:rsid w:val="7358669E"/>
    <w:rsid w:val="738B068E"/>
    <w:rsid w:val="73A0317D"/>
    <w:rsid w:val="73A94F69"/>
    <w:rsid w:val="73B22269"/>
    <w:rsid w:val="73EE0AA5"/>
    <w:rsid w:val="740850B9"/>
    <w:rsid w:val="74BE2A8A"/>
    <w:rsid w:val="74E20CE3"/>
    <w:rsid w:val="75295A77"/>
    <w:rsid w:val="755E14DB"/>
    <w:rsid w:val="75666FA6"/>
    <w:rsid w:val="756C4774"/>
    <w:rsid w:val="758E2919"/>
    <w:rsid w:val="767630DD"/>
    <w:rsid w:val="767C203F"/>
    <w:rsid w:val="76C36221"/>
    <w:rsid w:val="774C67AB"/>
    <w:rsid w:val="77D95A52"/>
    <w:rsid w:val="78734788"/>
    <w:rsid w:val="78A15B89"/>
    <w:rsid w:val="79054C1A"/>
    <w:rsid w:val="7B243969"/>
    <w:rsid w:val="7C154E02"/>
    <w:rsid w:val="7C4256ED"/>
    <w:rsid w:val="7CE91DA0"/>
    <w:rsid w:val="7D021A22"/>
    <w:rsid w:val="7DC53E80"/>
    <w:rsid w:val="7E4320AF"/>
    <w:rsid w:val="7EB66EB0"/>
    <w:rsid w:val="7F106DF8"/>
    <w:rsid w:val="7F323878"/>
    <w:rsid w:val="7FAB3DDB"/>
    <w:rsid w:val="7FAB45E2"/>
    <w:rsid w:val="7FDA7314"/>
    <w:rsid w:val="7FF16F6D"/>
    <w:rsid w:val="E6FD2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ocked="1"/>
    <w:lsdException w:qFormat="1" w:unhideWhenUsed="0" w:uiPriority="9"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ocked="1"/>
    <w:lsdException w:qFormat="1" w:uiPriority="39" w:semiHidden="0" w:name="toc 2" w:locked="1"/>
    <w:lsdException w:qFormat="1" w:uiPriority="39" w:semiHidden="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qFormat="1" w:unhideWhenUsed="0"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iPriority="1"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ocked="1"/>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1"/>
    <w:qFormat/>
    <w:uiPriority w:val="0"/>
    <w:pPr>
      <w:keepNext/>
      <w:keepLines/>
      <w:spacing w:before="340" w:after="330" w:line="578" w:lineRule="auto"/>
      <w:outlineLvl w:val="0"/>
    </w:pPr>
    <w:rPr>
      <w:rFonts w:ascii="Calibri" w:hAnsi="Calibri"/>
      <w:b/>
      <w:kern w:val="44"/>
      <w:sz w:val="44"/>
      <w:szCs w:val="20"/>
    </w:rPr>
  </w:style>
  <w:style w:type="paragraph" w:styleId="3">
    <w:name w:val="heading 2"/>
    <w:basedOn w:val="1"/>
    <w:next w:val="1"/>
    <w:link w:val="32"/>
    <w:qFormat/>
    <w:uiPriority w:val="9"/>
    <w:pPr>
      <w:keepNext/>
      <w:keepLines/>
      <w:spacing w:before="260" w:after="260" w:line="416" w:lineRule="auto"/>
      <w:outlineLvl w:val="1"/>
    </w:pPr>
    <w:rPr>
      <w:rFonts w:ascii="Cambria" w:hAnsi="Cambria"/>
      <w:b/>
      <w:kern w:val="0"/>
      <w:sz w:val="32"/>
      <w:szCs w:val="20"/>
    </w:rPr>
  </w:style>
  <w:style w:type="paragraph" w:styleId="4">
    <w:name w:val="heading 3"/>
    <w:basedOn w:val="1"/>
    <w:next w:val="1"/>
    <w:link w:val="35"/>
    <w:qFormat/>
    <w:locked/>
    <w:uiPriority w:val="9"/>
    <w:pPr>
      <w:keepNext/>
      <w:keepLines/>
      <w:spacing w:line="360" w:lineRule="auto"/>
      <w:ind w:left="567"/>
      <w:outlineLvl w:val="2"/>
    </w:pPr>
    <w:rPr>
      <w:rFonts w:eastAsia="楷体_GB2312"/>
      <w:bCs/>
      <w:sz w:val="30"/>
      <w:szCs w:val="30"/>
    </w:rPr>
  </w:style>
  <w:style w:type="paragraph" w:styleId="5">
    <w:name w:val="heading 4"/>
    <w:basedOn w:val="1"/>
    <w:next w:val="1"/>
    <w:link w:val="29"/>
    <w:qFormat/>
    <w:locked/>
    <w:uiPriority w:val="9"/>
    <w:pPr>
      <w:keepNext/>
      <w:keepLines/>
      <w:spacing w:line="360" w:lineRule="auto"/>
      <w:ind w:left="709"/>
      <w:outlineLvl w:val="3"/>
    </w:pPr>
    <w:rPr>
      <w:rFonts w:eastAsia="仿宋_GB2312"/>
      <w:b/>
      <w:bCs/>
      <w:sz w:val="30"/>
      <w:szCs w:val="30"/>
    </w:rPr>
  </w:style>
  <w:style w:type="paragraph" w:styleId="6">
    <w:name w:val="heading 5"/>
    <w:basedOn w:val="1"/>
    <w:next w:val="1"/>
    <w:qFormat/>
    <w:locked/>
    <w:uiPriority w:val="0"/>
    <w:pPr>
      <w:keepNext/>
      <w:keepLines/>
      <w:spacing w:before="100" w:beforeAutospacing="1" w:after="100" w:afterAutospacing="1"/>
      <w:ind w:left="851" w:hanging="851"/>
      <w:outlineLvl w:val="4"/>
    </w:pPr>
    <w:rPr>
      <w:rFonts w:cs="宋体"/>
      <w:b/>
      <w:bCs/>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Document Map"/>
    <w:basedOn w:val="1"/>
    <w:link w:val="33"/>
    <w:semiHidden/>
    <w:qFormat/>
    <w:uiPriority w:val="0"/>
    <w:rPr>
      <w:rFonts w:ascii="宋体"/>
      <w:kern w:val="0"/>
      <w:sz w:val="18"/>
      <w:szCs w:val="20"/>
    </w:rPr>
  </w:style>
  <w:style w:type="paragraph" w:styleId="8">
    <w:name w:val="annotation text"/>
    <w:basedOn w:val="1"/>
    <w:link w:val="36"/>
    <w:qFormat/>
    <w:uiPriority w:val="0"/>
    <w:pPr>
      <w:jc w:val="left"/>
    </w:pPr>
  </w:style>
  <w:style w:type="paragraph" w:styleId="9">
    <w:name w:val="Body Text"/>
    <w:basedOn w:val="1"/>
    <w:link w:val="59"/>
    <w:semiHidden/>
    <w:unhideWhenUsed/>
    <w:qFormat/>
    <w:uiPriority w:val="1"/>
    <w:pPr>
      <w:autoSpaceDE w:val="0"/>
      <w:autoSpaceDN w:val="0"/>
      <w:ind w:left="167"/>
    </w:pPr>
    <w:rPr>
      <w:rFonts w:ascii="Noto Sans CJK JP Medium" w:hAnsi="Noto Sans CJK JP Medium" w:eastAsia="Noto Sans CJK JP Medium" w:cs="Noto Sans CJK JP Medium"/>
      <w:kern w:val="0"/>
      <w:sz w:val="32"/>
      <w:szCs w:val="32"/>
    </w:rPr>
  </w:style>
  <w:style w:type="paragraph" w:styleId="10">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1">
    <w:name w:val="Date"/>
    <w:basedOn w:val="1"/>
    <w:next w:val="1"/>
    <w:link w:val="51"/>
    <w:qFormat/>
    <w:uiPriority w:val="0"/>
    <w:pPr>
      <w:ind w:left="100" w:leftChars="2500"/>
    </w:pPr>
  </w:style>
  <w:style w:type="paragraph" w:styleId="12">
    <w:name w:val="Balloon Text"/>
    <w:basedOn w:val="1"/>
    <w:link w:val="43"/>
    <w:semiHidden/>
    <w:qFormat/>
    <w:uiPriority w:val="0"/>
    <w:rPr>
      <w:kern w:val="0"/>
      <w:sz w:val="18"/>
      <w:szCs w:val="20"/>
    </w:rPr>
  </w:style>
  <w:style w:type="paragraph" w:styleId="13">
    <w:name w:val="footer"/>
    <w:basedOn w:val="1"/>
    <w:link w:val="37"/>
    <w:qFormat/>
    <w:uiPriority w:val="99"/>
    <w:pPr>
      <w:tabs>
        <w:tab w:val="center" w:pos="4153"/>
        <w:tab w:val="right" w:pos="8306"/>
      </w:tabs>
      <w:snapToGrid w:val="0"/>
      <w:jc w:val="left"/>
    </w:pPr>
    <w:rPr>
      <w:kern w:val="0"/>
      <w:sz w:val="18"/>
      <w:szCs w:val="20"/>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kern w:val="0"/>
      <w:sz w:val="18"/>
      <w:szCs w:val="20"/>
    </w:rPr>
  </w:style>
  <w:style w:type="paragraph" w:styleId="15">
    <w:name w:val="toc 1"/>
    <w:basedOn w:val="1"/>
    <w:next w:val="1"/>
    <w:qFormat/>
    <w:locked/>
    <w:uiPriority w:val="39"/>
    <w:pPr>
      <w:tabs>
        <w:tab w:val="right" w:leader="dot" w:pos="8834"/>
      </w:tabs>
    </w:pPr>
  </w:style>
  <w:style w:type="paragraph" w:styleId="16">
    <w:name w:val="footnote text"/>
    <w:basedOn w:val="1"/>
    <w:link w:val="42"/>
    <w:semiHidden/>
    <w:qFormat/>
    <w:uiPriority w:val="99"/>
    <w:pPr>
      <w:snapToGrid w:val="0"/>
      <w:jc w:val="left"/>
    </w:pPr>
    <w:rPr>
      <w:kern w:val="0"/>
      <w:sz w:val="18"/>
      <w:szCs w:val="20"/>
    </w:rPr>
  </w:style>
  <w:style w:type="paragraph" w:styleId="17">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18">
    <w:name w:val="Normal (Web)"/>
    <w:basedOn w:val="1"/>
    <w:qFormat/>
    <w:uiPriority w:val="99"/>
    <w:rPr>
      <w:sz w:val="24"/>
      <w:szCs w:val="24"/>
    </w:rPr>
  </w:style>
  <w:style w:type="paragraph" w:styleId="19">
    <w:name w:val="annotation subject"/>
    <w:basedOn w:val="8"/>
    <w:next w:val="8"/>
    <w:link w:val="34"/>
    <w:qFormat/>
    <w:uiPriority w:val="0"/>
    <w:rPr>
      <w:b/>
      <w:bCs/>
    </w:rPr>
  </w:style>
  <w:style w:type="table" w:styleId="21">
    <w:name w:val="Table Grid"/>
    <w:basedOn w:val="20"/>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locked/>
    <w:uiPriority w:val="22"/>
    <w:rPr>
      <w:b/>
      <w:bCs/>
    </w:rPr>
  </w:style>
  <w:style w:type="character" w:styleId="24">
    <w:name w:val="page number"/>
    <w:basedOn w:val="22"/>
    <w:qFormat/>
    <w:uiPriority w:val="0"/>
  </w:style>
  <w:style w:type="character" w:styleId="25">
    <w:name w:val="Emphasis"/>
    <w:qFormat/>
    <w:locked/>
    <w:uiPriority w:val="20"/>
    <w:rPr>
      <w:rFonts w:cs="Times New Roman"/>
      <w:color w:val="CC0000"/>
    </w:rPr>
  </w:style>
  <w:style w:type="character" w:styleId="26">
    <w:name w:val="Hyperlink"/>
    <w:qFormat/>
    <w:uiPriority w:val="99"/>
    <w:rPr>
      <w:color w:val="0000FF"/>
      <w:u w:val="single"/>
    </w:rPr>
  </w:style>
  <w:style w:type="character" w:styleId="27">
    <w:name w:val="annotation reference"/>
    <w:basedOn w:val="22"/>
    <w:qFormat/>
    <w:uiPriority w:val="0"/>
    <w:rPr>
      <w:sz w:val="21"/>
      <w:szCs w:val="21"/>
    </w:rPr>
  </w:style>
  <w:style w:type="character" w:styleId="28">
    <w:name w:val="footnote reference"/>
    <w:semiHidden/>
    <w:qFormat/>
    <w:uiPriority w:val="0"/>
    <w:rPr>
      <w:vertAlign w:val="superscript"/>
    </w:rPr>
  </w:style>
  <w:style w:type="character" w:customStyle="1" w:styleId="29">
    <w:name w:val="标题 4 Char"/>
    <w:link w:val="5"/>
    <w:qFormat/>
    <w:uiPriority w:val="9"/>
    <w:rPr>
      <w:rFonts w:ascii="Times New Roman" w:hAnsi="Times New Roman" w:eastAsia="仿宋_GB2312"/>
      <w:b/>
      <w:bCs/>
      <w:kern w:val="2"/>
      <w:sz w:val="30"/>
      <w:szCs w:val="30"/>
    </w:rPr>
  </w:style>
  <w:style w:type="character" w:customStyle="1" w:styleId="30">
    <w:name w:val="页眉 Char"/>
    <w:link w:val="14"/>
    <w:qFormat/>
    <w:locked/>
    <w:uiPriority w:val="0"/>
    <w:rPr>
      <w:sz w:val="18"/>
    </w:rPr>
  </w:style>
  <w:style w:type="character" w:customStyle="1" w:styleId="31">
    <w:name w:val="标题 1 Char"/>
    <w:link w:val="2"/>
    <w:qFormat/>
    <w:locked/>
    <w:uiPriority w:val="0"/>
    <w:rPr>
      <w:rFonts w:ascii="Calibri" w:hAnsi="Calibri" w:eastAsia="宋体"/>
      <w:b/>
      <w:kern w:val="44"/>
      <w:sz w:val="44"/>
    </w:rPr>
  </w:style>
  <w:style w:type="character" w:customStyle="1" w:styleId="32">
    <w:name w:val="标题 2 Char"/>
    <w:link w:val="3"/>
    <w:qFormat/>
    <w:locked/>
    <w:uiPriority w:val="9"/>
    <w:rPr>
      <w:rFonts w:ascii="Cambria" w:hAnsi="Cambria" w:eastAsia="宋体"/>
      <w:b/>
      <w:sz w:val="32"/>
    </w:rPr>
  </w:style>
  <w:style w:type="character" w:customStyle="1" w:styleId="33">
    <w:name w:val="文档结构图 Char"/>
    <w:link w:val="7"/>
    <w:semiHidden/>
    <w:qFormat/>
    <w:locked/>
    <w:uiPriority w:val="0"/>
    <w:rPr>
      <w:rFonts w:ascii="宋体" w:eastAsia="宋体"/>
      <w:sz w:val="18"/>
    </w:rPr>
  </w:style>
  <w:style w:type="character" w:customStyle="1" w:styleId="34">
    <w:name w:val="批注主题 Char"/>
    <w:link w:val="19"/>
    <w:qFormat/>
    <w:uiPriority w:val="0"/>
    <w:rPr>
      <w:b/>
      <w:bCs/>
      <w:kern w:val="2"/>
      <w:sz w:val="21"/>
      <w:szCs w:val="22"/>
    </w:rPr>
  </w:style>
  <w:style w:type="character" w:customStyle="1" w:styleId="35">
    <w:name w:val="标题 3 Char"/>
    <w:link w:val="4"/>
    <w:qFormat/>
    <w:uiPriority w:val="9"/>
    <w:rPr>
      <w:rFonts w:ascii="Times New Roman" w:hAnsi="Times New Roman" w:eastAsia="楷体_GB2312"/>
      <w:bCs/>
      <w:kern w:val="2"/>
      <w:sz w:val="30"/>
      <w:szCs w:val="30"/>
    </w:rPr>
  </w:style>
  <w:style w:type="character" w:customStyle="1" w:styleId="36">
    <w:name w:val="批注文字 Char"/>
    <w:link w:val="8"/>
    <w:qFormat/>
    <w:uiPriority w:val="0"/>
    <w:rPr>
      <w:kern w:val="2"/>
      <w:sz w:val="21"/>
      <w:szCs w:val="22"/>
    </w:rPr>
  </w:style>
  <w:style w:type="character" w:customStyle="1" w:styleId="37">
    <w:name w:val="页脚 Char"/>
    <w:link w:val="13"/>
    <w:qFormat/>
    <w:locked/>
    <w:uiPriority w:val="99"/>
    <w:rPr>
      <w:sz w:val="18"/>
    </w:rPr>
  </w:style>
  <w:style w:type="character" w:customStyle="1" w:styleId="38">
    <w:name w:val="样式1 Char"/>
    <w:link w:val="39"/>
    <w:qFormat/>
    <w:locked/>
    <w:uiPriority w:val="0"/>
    <w:rPr>
      <w:rFonts w:ascii="Times New Roman" w:hAnsi="Times New Roman" w:eastAsia="仿宋_GB2312"/>
      <w:sz w:val="30"/>
    </w:rPr>
  </w:style>
  <w:style w:type="paragraph" w:customStyle="1" w:styleId="39">
    <w:name w:val="样式1"/>
    <w:basedOn w:val="40"/>
    <w:link w:val="38"/>
    <w:qFormat/>
    <w:uiPriority w:val="0"/>
    <w:pPr>
      <w:numPr>
        <w:ilvl w:val="0"/>
        <w:numId w:val="1"/>
      </w:numPr>
      <w:ind w:firstLine="0" w:firstLineChars="0"/>
    </w:pPr>
    <w:rPr>
      <w:rFonts w:ascii="Times New Roman" w:hAnsi="Times New Roman" w:eastAsia="仿宋_GB2312"/>
      <w:sz w:val="30"/>
    </w:rPr>
  </w:style>
  <w:style w:type="paragraph" w:customStyle="1" w:styleId="40">
    <w:name w:val="List Paragraph1"/>
    <w:basedOn w:val="1"/>
    <w:link w:val="41"/>
    <w:qFormat/>
    <w:uiPriority w:val="0"/>
    <w:pPr>
      <w:ind w:firstLine="420" w:firstLineChars="200"/>
    </w:pPr>
    <w:rPr>
      <w:rFonts w:ascii="Calibri" w:hAnsi="Calibri"/>
      <w:kern w:val="0"/>
      <w:sz w:val="20"/>
      <w:szCs w:val="20"/>
    </w:rPr>
  </w:style>
  <w:style w:type="character" w:customStyle="1" w:styleId="41">
    <w:name w:val="List Paragraph Char"/>
    <w:link w:val="40"/>
    <w:qFormat/>
    <w:locked/>
    <w:uiPriority w:val="0"/>
    <w:rPr>
      <w:rFonts w:ascii="Calibri" w:hAnsi="Calibri" w:eastAsia="宋体"/>
    </w:rPr>
  </w:style>
  <w:style w:type="character" w:customStyle="1" w:styleId="42">
    <w:name w:val="脚注文本 Char"/>
    <w:link w:val="16"/>
    <w:qFormat/>
    <w:locked/>
    <w:uiPriority w:val="99"/>
    <w:rPr>
      <w:rFonts w:ascii="Times New Roman" w:hAnsi="Times New Roman" w:eastAsia="宋体"/>
      <w:kern w:val="0"/>
      <w:sz w:val="18"/>
    </w:rPr>
  </w:style>
  <w:style w:type="character" w:customStyle="1" w:styleId="43">
    <w:name w:val="批注框文本 Char"/>
    <w:link w:val="12"/>
    <w:semiHidden/>
    <w:qFormat/>
    <w:locked/>
    <w:uiPriority w:val="0"/>
    <w:rPr>
      <w:sz w:val="18"/>
    </w:rPr>
  </w:style>
  <w:style w:type="paragraph" w:customStyle="1" w:styleId="44">
    <w:name w:val="列出段落1"/>
    <w:basedOn w:val="1"/>
    <w:qFormat/>
    <w:uiPriority w:val="0"/>
    <w:pPr>
      <w:ind w:firstLine="420" w:firstLineChars="200"/>
    </w:pPr>
    <w:rPr>
      <w:rFonts w:cs="Calibri"/>
      <w:szCs w:val="21"/>
    </w:rPr>
  </w:style>
  <w:style w:type="paragraph" w:customStyle="1" w:styleId="45">
    <w:name w:val="_Style 19"/>
    <w:basedOn w:val="1"/>
    <w:next w:val="46"/>
    <w:qFormat/>
    <w:uiPriority w:val="34"/>
    <w:pPr>
      <w:adjustRightInd w:val="0"/>
      <w:spacing w:line="360" w:lineRule="atLeast"/>
      <w:ind w:firstLine="420" w:firstLineChars="200"/>
      <w:textAlignment w:val="baseline"/>
    </w:pPr>
    <w:rPr>
      <w:rFonts w:eastAsia="Times New Roman"/>
    </w:rPr>
  </w:style>
  <w:style w:type="paragraph" w:styleId="46">
    <w:name w:val="List Paragraph"/>
    <w:basedOn w:val="1"/>
    <w:link w:val="54"/>
    <w:qFormat/>
    <w:uiPriority w:val="1"/>
    <w:pPr>
      <w:ind w:firstLine="420" w:firstLineChars="200"/>
    </w:pPr>
  </w:style>
  <w:style w:type="paragraph" w:customStyle="1" w:styleId="47">
    <w:name w:val="_Style 15"/>
    <w:basedOn w:val="1"/>
    <w:next w:val="46"/>
    <w:qFormat/>
    <w:uiPriority w:val="34"/>
    <w:pPr>
      <w:adjustRightInd w:val="0"/>
      <w:spacing w:line="360" w:lineRule="atLeast"/>
      <w:ind w:firstLine="420" w:firstLineChars="200"/>
      <w:textAlignment w:val="baseline"/>
    </w:pPr>
    <w:rPr>
      <w:rFonts w:eastAsia="Times New Roman"/>
    </w:rPr>
  </w:style>
  <w:style w:type="paragraph" w:customStyle="1" w:styleId="48">
    <w:name w:val="_Style 17"/>
    <w:basedOn w:val="1"/>
    <w:next w:val="46"/>
    <w:qFormat/>
    <w:uiPriority w:val="34"/>
    <w:pPr>
      <w:adjustRightInd w:val="0"/>
      <w:spacing w:line="360" w:lineRule="atLeast"/>
      <w:ind w:firstLine="420" w:firstLineChars="200"/>
      <w:textAlignment w:val="baseline"/>
    </w:pPr>
    <w:rPr>
      <w:rFonts w:eastAsia="Times New Roman"/>
    </w:rPr>
  </w:style>
  <w:style w:type="paragraph" w:customStyle="1" w:styleId="49">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50">
    <w:name w:val="_Style 18"/>
    <w:basedOn w:val="1"/>
    <w:next w:val="46"/>
    <w:qFormat/>
    <w:uiPriority w:val="34"/>
    <w:pPr>
      <w:adjustRightInd w:val="0"/>
      <w:spacing w:line="360" w:lineRule="atLeast"/>
      <w:ind w:firstLine="420" w:firstLineChars="200"/>
      <w:textAlignment w:val="baseline"/>
    </w:pPr>
    <w:rPr>
      <w:rFonts w:eastAsia="Times New Roman"/>
    </w:rPr>
  </w:style>
  <w:style w:type="character" w:customStyle="1" w:styleId="51">
    <w:name w:val="日期 Char"/>
    <w:basedOn w:val="22"/>
    <w:link w:val="11"/>
    <w:qFormat/>
    <w:uiPriority w:val="0"/>
    <w:rPr>
      <w:kern w:val="2"/>
      <w:sz w:val="21"/>
      <w:szCs w:val="22"/>
    </w:rPr>
  </w:style>
  <w:style w:type="character" w:customStyle="1" w:styleId="52">
    <w:name w:val="标题 3 字符1"/>
    <w:qFormat/>
    <w:uiPriority w:val="0"/>
    <w:rPr>
      <w:rFonts w:eastAsia="楷体_GB2312"/>
      <w:sz w:val="32"/>
    </w:rPr>
  </w:style>
  <w:style w:type="paragraph" w:customStyle="1" w:styleId="5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54">
    <w:name w:val="列出段落 Char"/>
    <w:link w:val="46"/>
    <w:qFormat/>
    <w:uiPriority w:val="99"/>
    <w:rPr>
      <w:rFonts w:ascii="Times New Roman" w:hAnsi="Times New Roman" w:cs="Times New Roman"/>
      <w:kern w:val="2"/>
      <w:sz w:val="21"/>
      <w:szCs w:val="22"/>
    </w:rPr>
  </w:style>
  <w:style w:type="paragraph" w:customStyle="1" w:styleId="55">
    <w:name w:val="标准文字"/>
    <w:basedOn w:val="1"/>
    <w:qFormat/>
    <w:uiPriority w:val="99"/>
    <w:pPr>
      <w:widowControl/>
      <w:adjustRightInd w:val="0"/>
      <w:snapToGrid w:val="0"/>
      <w:spacing w:after="200" w:line="360" w:lineRule="auto"/>
      <w:ind w:firstLine="560" w:firstLineChars="200"/>
      <w:jc w:val="left"/>
    </w:pPr>
    <w:rPr>
      <w:rFonts w:ascii="Tahoma" w:hAnsi="Tahoma" w:eastAsia="仿宋_GB2312" w:cstheme="minorBidi"/>
      <w:kern w:val="0"/>
      <w:sz w:val="28"/>
      <w:szCs w:val="28"/>
    </w:rPr>
  </w:style>
  <w:style w:type="paragraph" w:customStyle="1" w:styleId="56">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57">
    <w:name w:val="默认段落字体 Para Char"/>
    <w:basedOn w:val="1"/>
    <w:qFormat/>
    <w:uiPriority w:val="0"/>
    <w:pPr>
      <w:spacing w:beforeLines="50"/>
    </w:pPr>
    <w:rPr>
      <w:sz w:val="32"/>
      <w:szCs w:val="20"/>
    </w:rPr>
  </w:style>
  <w:style w:type="paragraph" w:customStyle="1" w:styleId="58">
    <w:name w:val="修订3"/>
    <w:hidden/>
    <w:semiHidden/>
    <w:qFormat/>
    <w:uiPriority w:val="99"/>
    <w:rPr>
      <w:rFonts w:ascii="Times New Roman" w:hAnsi="Times New Roman" w:eastAsia="宋体" w:cs="Times New Roman"/>
      <w:kern w:val="2"/>
      <w:sz w:val="21"/>
      <w:szCs w:val="22"/>
      <w:lang w:val="en-US" w:eastAsia="zh-CN" w:bidi="ar-SA"/>
    </w:rPr>
  </w:style>
  <w:style w:type="character" w:customStyle="1" w:styleId="59">
    <w:name w:val="正文文本 Char"/>
    <w:basedOn w:val="22"/>
    <w:link w:val="9"/>
    <w:semiHidden/>
    <w:qFormat/>
    <w:uiPriority w:val="1"/>
    <w:rPr>
      <w:rFonts w:ascii="Noto Sans CJK JP Medium" w:hAnsi="Noto Sans CJK JP Medium" w:eastAsia="Noto Sans CJK JP Medium" w:cs="Noto Sans CJK JP Medium"/>
      <w:sz w:val="32"/>
      <w:szCs w:val="32"/>
    </w:rPr>
  </w:style>
  <w:style w:type="paragraph" w:customStyle="1" w:styleId="6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7842</Words>
  <Characters>44705</Characters>
  <Lines>372</Lines>
  <Paragraphs>104</Paragraphs>
  <TotalTime>0</TotalTime>
  <ScaleCrop>false</ScaleCrop>
  <LinksUpToDate>false</LinksUpToDate>
  <CharactersWithSpaces>52443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2022-12-14T15:19:00Z</dcterms:created>
  <dc:creator>wangqian</dc:creator>
  <cp:lastModifiedBy>user</cp:lastModifiedBy>
  <cp:lastPrinted>2022-11-25T10:11:00Z</cp:lastPrinted>
  <dcterms:modified xsi:type="dcterms:W3CDTF">2023-06-02T16:23:46Z</dcterms:modified>
  <dc:title>国家环境保护“十三五”规划基本思路大纲框架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5909B06CB0654F868EFC84034135230B</vt:lpwstr>
  </property>
</Properties>
</file>