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ascii="Times New Roman" w:hAnsi="Times New Roman" w:eastAsia="方正小标宋简体" w:cs="Times New Roman"/>
          <w:b/>
          <w:i w:val="0"/>
          <w:iCs w:val="0"/>
          <w:color w:val="000000"/>
          <w:sz w:val="44"/>
          <w:szCs w:val="44"/>
          <w:lang w:val="en-US" w:eastAsia="zh-CN"/>
        </w:rPr>
      </w:pPr>
      <w:r>
        <w:rPr>
          <w:rFonts w:hint="default" w:ascii="Times New Roman" w:hAnsi="Times New Roman" w:eastAsia="方正小标宋简体" w:cs="Times New Roman"/>
          <w:b/>
          <w:i w:val="0"/>
          <w:iCs w:val="0"/>
          <w:color w:val="000000"/>
          <w:sz w:val="44"/>
          <w:szCs w:val="44"/>
        </w:rPr>
        <w:t>济宁市兖州区</w:t>
      </w:r>
      <w:r>
        <w:rPr>
          <w:rFonts w:hint="eastAsia" w:ascii="Times New Roman" w:hAnsi="Times New Roman" w:eastAsia="方正小标宋简体" w:cs="Times New Roman"/>
          <w:b/>
          <w:i w:val="0"/>
          <w:iCs w:val="0"/>
          <w:color w:val="000000"/>
          <w:sz w:val="44"/>
          <w:szCs w:val="44"/>
          <w:highlight w:val="none"/>
          <w:lang w:val="en-US" w:eastAsia="zh-CN"/>
        </w:rPr>
        <w:t>科学技术</w:t>
      </w:r>
      <w:r>
        <w:rPr>
          <w:rFonts w:hint="default" w:ascii="Times New Roman" w:hAnsi="Times New Roman" w:eastAsia="方正小标宋简体" w:cs="Times New Roman"/>
          <w:b/>
          <w:i w:val="0"/>
          <w:iCs w:val="0"/>
          <w:color w:val="000000"/>
          <w:sz w:val="44"/>
          <w:szCs w:val="44"/>
          <w:highlight w:val="none"/>
          <w:lang w:val="en-US" w:eastAsia="zh-CN"/>
        </w:rPr>
        <w:t>局</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ascii="Times New Roman" w:hAnsi="Times New Roman" w:eastAsia="方正小标宋简体" w:cs="Times New Roman"/>
          <w:b/>
          <w:i w:val="0"/>
          <w:iCs w:val="0"/>
          <w:color w:val="000000"/>
          <w:sz w:val="44"/>
          <w:szCs w:val="44"/>
        </w:rPr>
      </w:pPr>
      <w:r>
        <w:rPr>
          <w:rFonts w:hint="default" w:ascii="Times New Roman" w:hAnsi="Times New Roman" w:eastAsia="方正小标宋简体" w:cs="Times New Roman"/>
          <w:b/>
          <w:i w:val="0"/>
          <w:iCs w:val="0"/>
          <w:color w:val="000000"/>
          <w:sz w:val="44"/>
          <w:szCs w:val="44"/>
        </w:rPr>
        <w:t>202</w:t>
      </w:r>
      <w:r>
        <w:rPr>
          <w:rFonts w:hint="default" w:ascii="Times New Roman" w:hAnsi="Times New Roman" w:eastAsia="方正小标宋简体" w:cs="Times New Roman"/>
          <w:b/>
          <w:i w:val="0"/>
          <w:iCs w:val="0"/>
          <w:color w:val="000000"/>
          <w:sz w:val="44"/>
          <w:szCs w:val="44"/>
          <w:lang w:val="en-US" w:eastAsia="zh-CN"/>
        </w:rPr>
        <w:t>4</w:t>
      </w:r>
      <w:r>
        <w:rPr>
          <w:rFonts w:hint="default" w:ascii="Times New Roman" w:hAnsi="Times New Roman" w:eastAsia="方正小标宋简体" w:cs="Times New Roman"/>
          <w:b/>
          <w:i w:val="0"/>
          <w:iCs w:val="0"/>
          <w:color w:val="000000"/>
          <w:sz w:val="44"/>
          <w:szCs w:val="44"/>
        </w:rPr>
        <w:t>年政府信息公开工作年度报告</w:t>
      </w:r>
    </w:p>
    <w:p>
      <w:pPr>
        <w:spacing w:line="590" w:lineRule="exact"/>
        <w:ind w:right="-105" w:rightChars="-50" w:firstLine="643" w:firstLineChars="200"/>
        <w:rPr>
          <w:rFonts w:hint="default" w:ascii="Times New Roman" w:hAnsi="Times New Roman" w:eastAsia="方正仿宋简体" w:cs="Times New Roman"/>
          <w:b/>
          <w:i w:val="0"/>
          <w:i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i w:val="0"/>
          <w:iCs w:val="0"/>
          <w:color w:val="000000"/>
          <w:sz w:val="32"/>
          <w:szCs w:val="32"/>
        </w:rPr>
      </w:pPr>
      <w:r>
        <w:rPr>
          <w:rFonts w:hint="default" w:ascii="Times New Roman" w:hAnsi="Times New Roman" w:eastAsia="方正仿宋简体" w:cs="Times New Roman"/>
          <w:b/>
          <w:i w:val="0"/>
          <w:iCs w:val="0"/>
          <w:color w:val="000000"/>
          <w:sz w:val="32"/>
          <w:szCs w:val="32"/>
        </w:rPr>
        <w:t>本报告由济宁市兖州区</w:t>
      </w:r>
      <w:r>
        <w:rPr>
          <w:rFonts w:hint="eastAsia" w:ascii="Times New Roman" w:hAnsi="Times New Roman" w:eastAsia="方正仿宋简体" w:cs="Times New Roman"/>
          <w:b/>
          <w:i w:val="0"/>
          <w:iCs w:val="0"/>
          <w:color w:val="000000"/>
          <w:sz w:val="32"/>
          <w:szCs w:val="32"/>
          <w:lang w:val="en-US" w:eastAsia="zh-CN"/>
        </w:rPr>
        <w:t>科学技术</w:t>
      </w:r>
      <w:r>
        <w:rPr>
          <w:rFonts w:hint="default" w:ascii="Times New Roman" w:hAnsi="Times New Roman" w:eastAsia="方正仿宋简体" w:cs="Times New Roman"/>
          <w:b/>
          <w:i w:val="0"/>
          <w:iCs w:val="0"/>
          <w:color w:val="000000"/>
          <w:sz w:val="32"/>
          <w:szCs w:val="32"/>
          <w:lang w:val="en-US" w:eastAsia="zh-CN"/>
        </w:rPr>
        <w:t>局</w:t>
      </w:r>
      <w:r>
        <w:rPr>
          <w:rFonts w:hint="default" w:ascii="Times New Roman" w:hAnsi="Times New Roman" w:eastAsia="方正仿宋简体" w:cs="Times New Roman"/>
          <w:b/>
          <w:i w:val="0"/>
          <w:iCs w:val="0"/>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i w:val="0"/>
          <w:iCs w:val="0"/>
          <w:color w:val="000000"/>
          <w:sz w:val="32"/>
          <w:szCs w:val="32"/>
        </w:rPr>
      </w:pPr>
      <w:r>
        <w:rPr>
          <w:rFonts w:hint="default" w:ascii="Times New Roman" w:hAnsi="Times New Roman" w:eastAsia="方正仿宋简体" w:cs="Times New Roman"/>
          <w:b/>
          <w:i w:val="0"/>
          <w:i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i w:val="0"/>
          <w:iCs w:val="0"/>
          <w:color w:val="000000"/>
          <w:sz w:val="32"/>
          <w:szCs w:val="32"/>
        </w:rPr>
      </w:pPr>
      <w:r>
        <w:rPr>
          <w:rFonts w:hint="default" w:ascii="Times New Roman" w:hAnsi="Times New Roman" w:eastAsia="方正仿宋简体" w:cs="Times New Roman"/>
          <w:b/>
          <w:i w:val="0"/>
          <w:iCs w:val="0"/>
          <w:color w:val="000000"/>
          <w:sz w:val="32"/>
          <w:szCs w:val="32"/>
        </w:rPr>
        <w:t>本报告所列数据的统计期限自202</w:t>
      </w:r>
      <w:r>
        <w:rPr>
          <w:rFonts w:hint="default" w:ascii="Times New Roman" w:hAnsi="Times New Roman" w:eastAsia="方正仿宋简体" w:cs="Times New Roman"/>
          <w:b/>
          <w:i w:val="0"/>
          <w:iCs w:val="0"/>
          <w:color w:val="000000"/>
          <w:sz w:val="32"/>
          <w:szCs w:val="32"/>
          <w:lang w:val="en-US" w:eastAsia="zh-CN"/>
        </w:rPr>
        <w:t>4</w:t>
      </w:r>
      <w:r>
        <w:rPr>
          <w:rFonts w:hint="default" w:ascii="Times New Roman" w:hAnsi="Times New Roman" w:eastAsia="方正仿宋简体" w:cs="Times New Roman"/>
          <w:b/>
          <w:i w:val="0"/>
          <w:iCs w:val="0"/>
          <w:color w:val="000000"/>
          <w:sz w:val="32"/>
          <w:szCs w:val="32"/>
        </w:rPr>
        <w:t>年1月1日起至202</w:t>
      </w:r>
      <w:r>
        <w:rPr>
          <w:rFonts w:hint="default" w:ascii="Times New Roman" w:hAnsi="Times New Roman" w:eastAsia="方正仿宋简体" w:cs="Times New Roman"/>
          <w:b/>
          <w:i w:val="0"/>
          <w:iCs w:val="0"/>
          <w:color w:val="000000"/>
          <w:sz w:val="32"/>
          <w:szCs w:val="32"/>
          <w:lang w:val="en-US" w:eastAsia="zh-CN"/>
        </w:rPr>
        <w:t>4</w:t>
      </w:r>
      <w:r>
        <w:rPr>
          <w:rFonts w:hint="default" w:ascii="Times New Roman" w:hAnsi="Times New Roman" w:eastAsia="方正仿宋简体" w:cs="Times New Roman"/>
          <w:b/>
          <w:i w:val="0"/>
          <w:iCs w:val="0"/>
          <w:color w:val="000000"/>
          <w:sz w:val="32"/>
          <w:szCs w:val="32"/>
        </w:rPr>
        <w:t>年12月31日止。本报告电子版可在“中国·兖州”政府门户网站（www.yanzhou.gov.cn）查阅或下载。如对本报告有疑问，请与济宁市兖州区</w:t>
      </w:r>
      <w:r>
        <w:rPr>
          <w:rFonts w:hint="default" w:ascii="Times New Roman" w:hAnsi="Times New Roman" w:eastAsia="方正仿宋简体" w:cs="Times New Roman"/>
          <w:b/>
          <w:i w:val="0"/>
          <w:iCs w:val="0"/>
          <w:color w:val="000000"/>
          <w:sz w:val="32"/>
          <w:szCs w:val="32"/>
          <w:lang w:val="en-US" w:eastAsia="zh-CN"/>
        </w:rPr>
        <w:t>科技局</w:t>
      </w:r>
      <w:r>
        <w:rPr>
          <w:rFonts w:hint="default" w:ascii="Times New Roman" w:hAnsi="Times New Roman" w:eastAsia="方正仿宋简体" w:cs="Times New Roman"/>
          <w:b/>
          <w:i w:val="0"/>
          <w:iCs w:val="0"/>
          <w:color w:val="000000"/>
          <w:sz w:val="32"/>
          <w:szCs w:val="32"/>
        </w:rPr>
        <w:t>联系（地址：济宁市兖州区龙桥街道九州方圆办公中心A座13楼，联系电话：0537—</w:t>
      </w:r>
      <w:r>
        <w:rPr>
          <w:rFonts w:hint="default" w:ascii="Times New Roman" w:hAnsi="Times New Roman" w:eastAsia="方正仿宋简体" w:cs="Times New Roman"/>
          <w:b/>
          <w:i w:val="0"/>
          <w:iCs w:val="0"/>
          <w:color w:val="000000"/>
          <w:sz w:val="32"/>
          <w:szCs w:val="32"/>
          <w:lang w:val="en-US" w:eastAsia="zh-CN"/>
        </w:rPr>
        <w:t>3413872</w:t>
      </w:r>
      <w:r>
        <w:rPr>
          <w:rFonts w:hint="default" w:ascii="Times New Roman" w:hAnsi="Times New Roman" w:eastAsia="方正仿宋简体" w:cs="Times New Roman"/>
          <w:b/>
          <w:i w:val="0"/>
          <w:i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i w:val="0"/>
          <w:iCs w:val="0"/>
          <w:color w:val="000000"/>
          <w:sz w:val="32"/>
          <w:szCs w:val="32"/>
        </w:rPr>
      </w:pPr>
      <w:r>
        <w:rPr>
          <w:rFonts w:hint="default" w:ascii="Times New Roman" w:hAnsi="Times New Roman" w:eastAsia="方正黑体简体" w:cs="Times New Roman"/>
          <w:b/>
          <w:i w:val="0"/>
          <w:iCs w:val="0"/>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i w:val="0"/>
          <w:iCs w:val="0"/>
          <w:color w:val="000000"/>
          <w:sz w:val="32"/>
          <w:szCs w:val="32"/>
        </w:rPr>
      </w:pPr>
      <w:r>
        <w:rPr>
          <w:rFonts w:hint="default" w:ascii="Times New Roman" w:hAnsi="Times New Roman" w:eastAsia="方正仿宋简体" w:cs="Times New Roman"/>
          <w:b/>
          <w:bCs/>
          <w:i w:val="0"/>
          <w:iCs w:val="0"/>
          <w:color w:val="000000"/>
          <w:sz w:val="32"/>
          <w:szCs w:val="32"/>
        </w:rPr>
        <w:t>202</w:t>
      </w:r>
      <w:r>
        <w:rPr>
          <w:rFonts w:hint="default" w:ascii="Times New Roman" w:hAnsi="Times New Roman" w:eastAsia="方正仿宋简体" w:cs="Times New Roman"/>
          <w:b/>
          <w:bCs/>
          <w:i w:val="0"/>
          <w:iCs w:val="0"/>
          <w:color w:val="000000"/>
          <w:sz w:val="32"/>
          <w:szCs w:val="32"/>
          <w:lang w:val="en-US" w:eastAsia="zh-CN"/>
        </w:rPr>
        <w:t>4</w:t>
      </w:r>
      <w:r>
        <w:rPr>
          <w:rFonts w:hint="default" w:ascii="Times New Roman" w:hAnsi="Times New Roman" w:eastAsia="方正仿宋简体" w:cs="Times New Roman"/>
          <w:b/>
          <w:bCs/>
          <w:i w:val="0"/>
          <w:iCs w:val="0"/>
          <w:color w:val="000000"/>
          <w:sz w:val="32"/>
          <w:szCs w:val="32"/>
        </w:rPr>
        <w:t>年以来，</w:t>
      </w:r>
      <w:r>
        <w:rPr>
          <w:rFonts w:hint="default" w:ascii="Times New Roman" w:hAnsi="Times New Roman" w:eastAsia="方正仿宋简体" w:cs="Times New Roman"/>
          <w:b/>
          <w:bCs/>
          <w:i w:val="0"/>
          <w:iCs w:val="0"/>
          <w:color w:val="000000"/>
          <w:sz w:val="32"/>
          <w:szCs w:val="32"/>
          <w:lang w:eastAsia="zh-CN"/>
        </w:rPr>
        <w:t>区科技局党组</w:t>
      </w:r>
      <w:r>
        <w:rPr>
          <w:rFonts w:hint="default" w:ascii="Times New Roman" w:hAnsi="Times New Roman" w:eastAsia="方正仿宋简体" w:cs="Times New Roman"/>
          <w:b/>
          <w:bCs/>
          <w:i w:val="0"/>
          <w:iCs w:val="0"/>
          <w:color w:val="000000"/>
          <w:sz w:val="32"/>
          <w:szCs w:val="32"/>
        </w:rPr>
        <w:t>高度重视政务公开工作，按照“公开为常态，不公开为例外”原则，主动公开政府信息，做到“应公开、尽公开”。严格落实相关政务公开制度，指定专人负责，把政务公开</w:t>
      </w:r>
      <w:bookmarkStart w:id="1" w:name="_GoBack"/>
      <w:bookmarkEnd w:id="1"/>
      <w:r>
        <w:rPr>
          <w:rFonts w:hint="default" w:ascii="Times New Roman" w:hAnsi="Times New Roman" w:eastAsia="方正仿宋简体" w:cs="Times New Roman"/>
          <w:b/>
          <w:bCs/>
          <w:i w:val="0"/>
          <w:iCs w:val="0"/>
          <w:color w:val="000000"/>
          <w:sz w:val="32"/>
          <w:szCs w:val="32"/>
        </w:rPr>
        <w:t>与各项工作联系起来，紧紧围绕全</w:t>
      </w:r>
      <w:r>
        <w:rPr>
          <w:rFonts w:hint="default" w:ascii="Times New Roman" w:hAnsi="Times New Roman" w:eastAsia="方正仿宋简体" w:cs="Times New Roman"/>
          <w:b/>
          <w:bCs/>
          <w:i w:val="0"/>
          <w:iCs w:val="0"/>
          <w:color w:val="000000"/>
          <w:sz w:val="32"/>
          <w:szCs w:val="32"/>
          <w:lang w:eastAsia="zh-CN"/>
        </w:rPr>
        <w:t>区</w:t>
      </w:r>
      <w:r>
        <w:rPr>
          <w:rFonts w:hint="default" w:ascii="Times New Roman" w:hAnsi="Times New Roman" w:eastAsia="方正仿宋简体" w:cs="Times New Roman"/>
          <w:b/>
          <w:bCs/>
          <w:i w:val="0"/>
          <w:iCs w:val="0"/>
          <w:color w:val="000000"/>
          <w:sz w:val="32"/>
          <w:szCs w:val="32"/>
        </w:rPr>
        <w:t>经济社会发展和人民群众关注关切问题，扎实推进政府信息公开各项工作。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val="0"/>
          <w:iCs w:val="0"/>
          <w:color w:val="000000"/>
          <w:sz w:val="32"/>
          <w:szCs w:val="32"/>
          <w:lang w:eastAsia="zh-CN"/>
        </w:rPr>
      </w:pPr>
      <w:r>
        <w:rPr>
          <w:rFonts w:hint="default" w:ascii="Times New Roman" w:hAnsi="Times New Roman" w:eastAsia="方正楷体简体" w:cs="Times New Roman"/>
          <w:b/>
          <w:i w:val="0"/>
          <w:iCs w:val="0"/>
          <w:color w:val="000000"/>
          <w:sz w:val="32"/>
          <w:szCs w:val="32"/>
        </w:rPr>
        <w:t>（一）</w:t>
      </w:r>
      <w:r>
        <w:rPr>
          <w:rFonts w:eastAsia="方正楷体简体"/>
          <w:b/>
          <w:color w:val="000000"/>
          <w:sz w:val="32"/>
          <w:szCs w:val="32"/>
        </w:rPr>
        <w:t>主动公开</w:t>
      </w:r>
      <w:r>
        <w:rPr>
          <w:rFonts w:hint="eastAsia" w:eastAsia="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i w:val="0"/>
          <w:iCs w:val="0"/>
          <w:color w:val="000000"/>
          <w:sz w:val="32"/>
          <w:szCs w:val="32"/>
          <w:lang w:val="en-US" w:eastAsia="zh-CN"/>
        </w:rPr>
      </w:pPr>
      <w:r>
        <w:rPr>
          <w:rFonts w:hint="default" w:ascii="Times New Roman" w:hAnsi="Times New Roman" w:eastAsia="方正仿宋简体" w:cs="Times New Roman"/>
          <w:b/>
          <w:bCs/>
          <w:i w:val="0"/>
          <w:iCs w:val="0"/>
          <w:color w:val="000000"/>
          <w:sz w:val="32"/>
          <w:szCs w:val="32"/>
        </w:rPr>
        <w:t>202</w:t>
      </w:r>
      <w:r>
        <w:rPr>
          <w:rFonts w:hint="default" w:ascii="Times New Roman" w:hAnsi="Times New Roman" w:eastAsia="方正仿宋简体" w:cs="Times New Roman"/>
          <w:b/>
          <w:bCs/>
          <w:i w:val="0"/>
          <w:iCs w:val="0"/>
          <w:color w:val="000000"/>
          <w:sz w:val="32"/>
          <w:szCs w:val="32"/>
          <w:lang w:val="en-US" w:eastAsia="zh-CN"/>
        </w:rPr>
        <w:t>4</w:t>
      </w:r>
      <w:r>
        <w:rPr>
          <w:rFonts w:hint="default" w:ascii="Times New Roman" w:hAnsi="Times New Roman" w:eastAsia="方正仿宋简体" w:cs="Times New Roman"/>
          <w:b/>
          <w:bCs/>
          <w:i w:val="0"/>
          <w:iCs w:val="0"/>
          <w:color w:val="000000"/>
          <w:sz w:val="32"/>
          <w:szCs w:val="32"/>
        </w:rPr>
        <w:t>年1月1日至202</w:t>
      </w:r>
      <w:r>
        <w:rPr>
          <w:rFonts w:hint="default" w:ascii="Times New Roman" w:hAnsi="Times New Roman" w:eastAsia="方正仿宋简体" w:cs="Times New Roman"/>
          <w:b/>
          <w:bCs/>
          <w:i w:val="0"/>
          <w:iCs w:val="0"/>
          <w:color w:val="000000"/>
          <w:sz w:val="32"/>
          <w:szCs w:val="32"/>
          <w:lang w:val="en-US" w:eastAsia="zh-CN"/>
        </w:rPr>
        <w:t>4</w:t>
      </w:r>
      <w:r>
        <w:rPr>
          <w:rFonts w:hint="default" w:ascii="Times New Roman" w:hAnsi="Times New Roman" w:eastAsia="方正仿宋简体" w:cs="Times New Roman"/>
          <w:b/>
          <w:bCs/>
          <w:i w:val="0"/>
          <w:iCs w:val="0"/>
          <w:color w:val="000000"/>
          <w:sz w:val="32"/>
          <w:szCs w:val="32"/>
        </w:rPr>
        <w:t>年12月31日，我</w:t>
      </w:r>
      <w:r>
        <w:rPr>
          <w:rFonts w:hint="default" w:ascii="Times New Roman" w:hAnsi="Times New Roman" w:eastAsia="方正仿宋简体" w:cs="Times New Roman"/>
          <w:b/>
          <w:bCs/>
          <w:i w:val="0"/>
          <w:iCs w:val="0"/>
          <w:color w:val="000000"/>
          <w:sz w:val="32"/>
          <w:szCs w:val="32"/>
          <w:lang w:eastAsia="zh-CN"/>
        </w:rPr>
        <w:t>局</w:t>
      </w:r>
      <w:r>
        <w:rPr>
          <w:rFonts w:hint="default" w:ascii="Times New Roman" w:hAnsi="Times New Roman" w:eastAsia="方正仿宋简体" w:cs="Times New Roman"/>
          <w:b/>
          <w:bCs/>
          <w:i w:val="0"/>
          <w:iCs w:val="0"/>
          <w:color w:val="000000"/>
          <w:sz w:val="32"/>
          <w:szCs w:val="32"/>
        </w:rPr>
        <w:t>主要通过</w:t>
      </w:r>
      <w:r>
        <w:rPr>
          <w:rFonts w:hint="default" w:ascii="Times New Roman" w:hAnsi="Times New Roman" w:eastAsia="方正仿宋简体" w:cs="Times New Roman"/>
          <w:b/>
          <w:bCs/>
          <w:i w:val="0"/>
          <w:iCs w:val="0"/>
          <w:color w:val="000000"/>
          <w:sz w:val="32"/>
          <w:szCs w:val="32"/>
          <w:lang w:eastAsia="zh-CN"/>
        </w:rPr>
        <w:t>兖州区政府门户网站政务公开</w:t>
      </w:r>
      <w:r>
        <w:rPr>
          <w:rFonts w:hint="default" w:ascii="Times New Roman" w:hAnsi="Times New Roman" w:eastAsia="方正仿宋简体" w:cs="Times New Roman"/>
          <w:b/>
          <w:bCs/>
          <w:i w:val="0"/>
          <w:iCs w:val="0"/>
          <w:color w:val="000000"/>
          <w:sz w:val="32"/>
          <w:szCs w:val="32"/>
        </w:rPr>
        <w:t>等栏目，</w:t>
      </w:r>
      <w:r>
        <w:rPr>
          <w:rFonts w:hint="default" w:ascii="Times New Roman" w:hAnsi="Times New Roman" w:eastAsia="方正仿宋简体" w:cs="Times New Roman"/>
          <w:b/>
          <w:i w:val="0"/>
          <w:iCs w:val="0"/>
          <w:color w:val="000000"/>
          <w:sz w:val="32"/>
          <w:szCs w:val="32"/>
          <w:lang w:val="en-US" w:eastAsia="zh-CN"/>
        </w:rPr>
        <w:t>发布各类信息37条，具体来看：发布政务动态4条；发布政策文件信息1条（其中部门文件1条）、机构职能1条、规划计划1条、财政预算决算2条、行政权力运行公开7条（其中部门会议1条、执行和落实情况公开4条、建议提案办理结果2条）、重点领域信息16条、主动公开基本目录1条、组织管理3条（其中政务公开组织领导1条、政务公开工作推进1条、政务公开工作培训1条）、政府信息公开制度3条。参加市级、区级新闻发布会议3次。</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420" w:firstLineChars="200"/>
        <w:textAlignment w:val="auto"/>
        <w:rPr>
          <w:rFonts w:hint="default" w:ascii="Times New Roman" w:hAnsi="Times New Roman" w:cs="Times New Roman"/>
          <w:i w:val="0"/>
          <w:iCs w:val="0"/>
        </w:rPr>
      </w:pPr>
      <w:r>
        <w:rPr>
          <w:rFonts w:hint="default" w:ascii="Times New Roman" w:hAnsi="Times New Roman" w:cs="Times New Roman"/>
          <w:i w:val="0"/>
          <w:iCs w:val="0"/>
        </w:rPr>
        <w:drawing>
          <wp:inline distT="0" distB="0" distL="114300" distR="114300">
            <wp:extent cx="5066030" cy="3056255"/>
            <wp:effectExtent l="4445" t="4445" r="19685" b="48260"/>
            <wp:docPr id="3" name="图表 2" descr="7b0a202020202263686172745265734964223a202232303437353935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ascii="Times New Roman" w:hAnsi="Times New Roman" w:cs="Times New Roman"/>
          <w:i w:val="0"/>
          <w:iCs w:val="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853305" cy="2877185"/>
                <wp:effectExtent l="0" t="0" r="0" b="0"/>
                <wp:wrapNone/>
                <wp:docPr id="1" name="任意多边形 1"/>
                <wp:cNvGraphicFramePr/>
                <a:graphic xmlns:a="http://schemas.openxmlformats.org/drawingml/2006/main">
                  <a:graphicData uri="http://schemas.microsoft.com/office/word/2010/wordprocessingShape">
                    <wps:wsp>
                      <wps:cNvSpPr/>
                      <wps:spPr>
                        <a:xfrm>
                          <a:off x="50800" y="50800"/>
                          <a:ext cx="4853305" cy="2877185"/>
                        </a:xfrm>
                        <a:custGeom>
                          <a:avLst/>
                          <a:gdLst/>
                          <a:ahLst/>
                          <a:cxnLst>
                            <a:cxn ang="3">
                              <a:pos x="hc" y="t"/>
                            </a:cxn>
                            <a:cxn ang="cd2">
                              <a:pos x="l" y="vc"/>
                            </a:cxn>
                            <a:cxn ang="cd4">
                              <a:pos x="hc" y="b"/>
                            </a:cxn>
                            <a:cxn ang="0">
                              <a:pos x="r" y="vc"/>
                            </a:cxn>
                          </a:cxnLst>
                          <a:rect l="l" t="t" r="r" b="b"/>
                          <a:pathLst>
                            <a:path w="7898" h="4934">
                              <a:moveTo>
                                <a:pt x="370" y="136"/>
                              </a:moveTo>
                              <a:cubicBezTo>
                                <a:pt x="236" y="136"/>
                                <a:pt x="128" y="244"/>
                                <a:pt x="128" y="378"/>
                              </a:cubicBezTo>
                              <a:lnTo>
                                <a:pt x="128" y="4557"/>
                              </a:lnTo>
                              <a:cubicBezTo>
                                <a:pt x="128" y="4690"/>
                                <a:pt x="236" y="4799"/>
                                <a:pt x="370" y="4799"/>
                              </a:cubicBezTo>
                              <a:lnTo>
                                <a:pt x="7528" y="4799"/>
                              </a:lnTo>
                              <a:cubicBezTo>
                                <a:pt x="7662" y="4799"/>
                                <a:pt x="7770" y="4690"/>
                                <a:pt x="7770" y="4557"/>
                              </a:cubicBezTo>
                              <a:lnTo>
                                <a:pt x="7770" y="378"/>
                              </a:lnTo>
                              <a:cubicBezTo>
                                <a:pt x="7770" y="244"/>
                                <a:pt x="7662" y="136"/>
                                <a:pt x="7528" y="136"/>
                              </a:cubicBezTo>
                              <a:lnTo>
                                <a:pt x="370" y="136"/>
                              </a:lnTo>
                              <a:close/>
                              <a:moveTo>
                                <a:pt x="0" y="0"/>
                              </a:moveTo>
                              <a:lnTo>
                                <a:pt x="7898" y="0"/>
                              </a:lnTo>
                              <a:lnTo>
                                <a:pt x="7898" y="4934"/>
                              </a:lnTo>
                              <a:lnTo>
                                <a:pt x="0" y="4934"/>
                              </a:lnTo>
                              <a:lnTo>
                                <a:pt x="0" y="0"/>
                              </a:lnTo>
                              <a:close/>
                            </a:path>
                          </a:pathLst>
                        </a:custGeom>
                        <a:noFill/>
                        <a:ln w="25400" cap="flat" cmpd="sng" algn="ctr">
                          <a:noFill/>
                          <a:prstDash val="solid"/>
                        </a:ln>
                        <a:effectLst/>
                      </wps:spPr>
                      <wps:bodyPr vert="horz" wrap="square" rtlCol="0" anchor="t" anchorCtr="0">
                        <a:noAutofit/>
                      </wps:bodyPr>
                    </wps:wsp>
                  </a:graphicData>
                </a:graphic>
              </wp:anchor>
            </w:drawing>
          </mc:Choice>
          <mc:Fallback>
            <w:pict>
              <v:shape id="_x0000_s1026" o:spid="_x0000_s1026" o:spt="100" style="position:absolute;left:0pt;margin-left:0pt;margin-top:0pt;height:226.55pt;width:382.15pt;z-index:251660288;mso-width-relative:page;mso-height-relative:page;" filled="f" stroked="f" coordsize="7898,4934" o:gfxdata="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PEt&#10;IKzWAAAABQEAAA8AAAAAAAAAAQAgAAAAIgAAAGRycy9kb3ducmV2LnhtbFBLAQIUABQAAAAIAIdO&#10;4kAWYd1NQgMAAE4IAAAOAAAAAAAAAAEAIAAAACUBAABkcnMvZTJvRG9jLnhtbFBLBQYAAAAABgAG&#10;AFkBAADZBgAAAAA=&#10;" path="m370,136c236,136,128,244,128,378l128,4557c128,4690,236,4799,370,4799l7528,4799c7662,4799,7770,4690,7770,4557l7770,378c7770,244,7662,136,7528,136l370,136xm0,0l7898,0,7898,4934,0,4934,0,0xe">
                <v:path o:connectlocs="2426652,0;0,1438592;2426652,2877185;4853305,1438592" o:connectangles="0,164,82,0"/>
                <v:fill on="f" focussize="0,0"/>
                <v:stroke on="f" weight="2pt"/>
                <v:imagedata o:title=""/>
                <o:lock v:ext="edit" aspectratio="f"/>
              </v:shape>
            </w:pict>
          </mc:Fallback>
        </mc:AlternateContent>
      </w:r>
      <w:r>
        <w:rPr>
          <w:rFonts w:hint="default" w:ascii="Times New Roman" w:hAnsi="Times New Roman" w:cs="Times New Roman"/>
          <w:i w:val="0"/>
          <w:iCs w:val="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853305" cy="2877185"/>
                <wp:effectExtent l="0" t="0" r="0" b="0"/>
                <wp:wrapNone/>
                <wp:docPr id="2" name="任意多边形 1"/>
                <wp:cNvGraphicFramePr/>
                <a:graphic xmlns:a="http://schemas.openxmlformats.org/drawingml/2006/main">
                  <a:graphicData uri="http://schemas.microsoft.com/office/word/2010/wordprocessingShape">
                    <wps:wsp>
                      <wps:cNvSpPr/>
                      <wps:spPr>
                        <a:xfrm>
                          <a:off x="50800" y="50800"/>
                          <a:ext cx="4853305" cy="2877185"/>
                        </a:xfrm>
                        <a:custGeom>
                          <a:avLst/>
                          <a:gdLst/>
                          <a:ahLst/>
                          <a:cxnLst>
                            <a:cxn ang="3">
                              <a:pos x="hc" y="t"/>
                            </a:cxn>
                            <a:cxn ang="cd2">
                              <a:pos x="l" y="vc"/>
                            </a:cxn>
                            <a:cxn ang="cd4">
                              <a:pos x="hc" y="b"/>
                            </a:cxn>
                            <a:cxn ang="0">
                              <a:pos x="r" y="vc"/>
                            </a:cxn>
                          </a:cxnLst>
                          <a:rect l="l" t="t" r="r" b="b"/>
                          <a:pathLst>
                            <a:path w="7898" h="4934">
                              <a:moveTo>
                                <a:pt x="370" y="136"/>
                              </a:moveTo>
                              <a:cubicBezTo>
                                <a:pt x="236" y="136"/>
                                <a:pt x="128" y="244"/>
                                <a:pt x="128" y="378"/>
                              </a:cubicBezTo>
                              <a:lnTo>
                                <a:pt x="128" y="4557"/>
                              </a:lnTo>
                              <a:cubicBezTo>
                                <a:pt x="128" y="4690"/>
                                <a:pt x="236" y="4799"/>
                                <a:pt x="370" y="4799"/>
                              </a:cubicBezTo>
                              <a:lnTo>
                                <a:pt x="7528" y="4799"/>
                              </a:lnTo>
                              <a:cubicBezTo>
                                <a:pt x="7662" y="4799"/>
                                <a:pt x="7770" y="4690"/>
                                <a:pt x="7770" y="4557"/>
                              </a:cubicBezTo>
                              <a:lnTo>
                                <a:pt x="7770" y="378"/>
                              </a:lnTo>
                              <a:cubicBezTo>
                                <a:pt x="7770" y="244"/>
                                <a:pt x="7662" y="136"/>
                                <a:pt x="7528" y="136"/>
                              </a:cubicBezTo>
                              <a:lnTo>
                                <a:pt x="370" y="136"/>
                              </a:lnTo>
                              <a:close/>
                              <a:moveTo>
                                <a:pt x="0" y="0"/>
                              </a:moveTo>
                              <a:lnTo>
                                <a:pt x="7898" y="0"/>
                              </a:lnTo>
                              <a:lnTo>
                                <a:pt x="7898" y="4934"/>
                              </a:lnTo>
                              <a:lnTo>
                                <a:pt x="0" y="4934"/>
                              </a:lnTo>
                              <a:lnTo>
                                <a:pt x="0" y="0"/>
                              </a:lnTo>
                              <a:close/>
                            </a:path>
                          </a:pathLst>
                        </a:custGeom>
                        <a:noFill/>
                        <a:ln w="25400" cap="flat" cmpd="sng" algn="ctr">
                          <a:noFill/>
                          <a:prstDash val="solid"/>
                        </a:ln>
                        <a:effectLst/>
                      </wps:spPr>
                      <wps:bodyPr vert="horz" wrap="square" rtlCol="0" anchor="t" anchorCtr="0">
                        <a:noAutofit/>
                      </wps:bodyPr>
                    </wps:wsp>
                  </a:graphicData>
                </a:graphic>
              </wp:anchor>
            </w:drawing>
          </mc:Choice>
          <mc:Fallback>
            <w:pict>
              <v:shape id="任意多边形 1" o:spid="_x0000_s1026" o:spt="100" style="position:absolute;left:0pt;margin-left:0pt;margin-top:0pt;height:226.55pt;width:382.15pt;z-index:251659264;mso-width-relative:page;mso-height-relative:page;" filled="f" stroked="f" coordsize="7898,4934" o:gfxdata="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Dx&#10;LSCs1gAAAAUBAAAPAAAAAAAAAAEAIAAAACIAAABkcnMvZG93bnJldi54bWxQSwECFAAUAAAACACH&#10;TuJAmQb35UMDAABOCAAADgAAAAAAAAABACAAAAAlAQAAZHJzL2Uyb0RvYy54bWxQSwUGAAAAAAYA&#10;BgBZAQAA2gYAAAAA&#10;" path="m370,136c236,136,128,244,128,378l128,4557c128,4690,236,4799,370,4799l7528,4799c7662,4799,7770,4690,7770,4557l7770,378c7770,244,7662,136,7528,136l370,136xm0,0l7898,0,7898,4934,0,4934,0,0xe">
                <v:path o:connectlocs="2426652,0;0,1438592;2426652,2877185;4853305,1438592" o:connectangles="0,164,82,0"/>
                <v:fill on="f" focussize="0,0"/>
                <v:stroke on="f" weight="2pt"/>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420" w:firstLineChars="200"/>
        <w:jc w:val="center"/>
        <w:textAlignment w:val="auto"/>
        <w:rPr>
          <w:rFonts w:hint="default" w:ascii="Times New Roman" w:hAnsi="Times New Roman" w:cs="Times New Roman"/>
          <w:i w:val="0"/>
          <w:iCs w:val="0"/>
          <w:lang w:val="en-US" w:eastAsia="zh-CN"/>
        </w:rPr>
      </w:pPr>
      <w:r>
        <w:rPr>
          <w:rFonts w:hint="default" w:ascii="Times New Roman" w:hAnsi="Times New Roman" w:eastAsia="楷体" w:cs="Times New Roman"/>
          <w:i w:val="0"/>
          <w:iCs w:val="0"/>
          <w:lang w:eastAsia="zh-CN"/>
        </w:rPr>
        <w:t>政务公开信息分布</w:t>
      </w:r>
    </w:p>
    <w:p>
      <w:pPr>
        <w:pStyle w:val="6"/>
        <w:keepNext w:val="0"/>
        <w:keepLines w:val="0"/>
        <w:pageBreakBefore w:val="0"/>
        <w:widowControl w:val="0"/>
        <w:kinsoku/>
        <w:wordWrap/>
        <w:overflowPunct/>
        <w:topLinePunct w:val="0"/>
        <w:autoSpaceDE/>
        <w:autoSpaceDN/>
        <w:bidi w:val="0"/>
        <w:adjustRightInd/>
        <w:snapToGrid/>
        <w:spacing w:after="0" w:line="240" w:lineRule="auto"/>
        <w:ind w:right="0" w:rightChars="0" w:firstLine="420" w:firstLineChars="200"/>
        <w:jc w:val="center"/>
        <w:textAlignment w:val="auto"/>
        <w:rPr>
          <w:rFonts w:hint="default" w:ascii="Times New Roman" w:hAnsi="Times New Roman" w:eastAsia="方正仿宋简体" w:cs="Times New Roman"/>
          <w:b w:val="0"/>
          <w:bCs w:val="0"/>
          <w:i w:val="0"/>
          <w:iCs w:val="0"/>
          <w:color w:val="000000"/>
          <w:sz w:val="32"/>
          <w:szCs w:val="32"/>
          <w:lang w:val="en-US" w:eastAsia="zh-CN" w:bidi="ar-SA"/>
        </w:rPr>
      </w:pPr>
      <w:r>
        <w:rPr>
          <w:rFonts w:hint="default" w:ascii="Times New Roman" w:hAnsi="Times New Roman" w:cs="Times New Roman"/>
          <w:i w:val="0"/>
          <w:iCs w:val="0"/>
        </w:rPr>
        <w:drawing>
          <wp:inline distT="0" distB="0" distL="114300" distR="114300">
            <wp:extent cx="4157345" cy="2733040"/>
            <wp:effectExtent l="0" t="0" r="3175"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4157345" cy="27330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420" w:firstLineChars="200"/>
        <w:jc w:val="center"/>
        <w:textAlignment w:val="auto"/>
        <w:rPr>
          <w:rFonts w:hint="default" w:ascii="Times New Roman" w:hAnsi="Times New Roman" w:eastAsia="楷体" w:cs="Times New Roman"/>
          <w:i w:val="0"/>
          <w:iCs w:val="0"/>
          <w:lang w:val="en-US" w:eastAsia="zh-CN"/>
        </w:rPr>
      </w:pPr>
      <w:r>
        <w:rPr>
          <w:rFonts w:hint="default" w:ascii="Times New Roman" w:hAnsi="Times New Roman" w:eastAsia="楷体" w:cs="Times New Roman"/>
          <w:i w:val="0"/>
          <w:iCs w:val="0"/>
          <w:lang w:val="en-US" w:eastAsia="zh-CN"/>
        </w:rPr>
        <w:t>新闻发布会议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val="0"/>
          <w:iCs w:val="0"/>
          <w:color w:val="000000"/>
          <w:sz w:val="32"/>
          <w:szCs w:val="32"/>
          <w:lang w:eastAsia="zh-CN"/>
        </w:rPr>
      </w:pPr>
      <w:r>
        <w:rPr>
          <w:rFonts w:hint="default" w:ascii="Times New Roman" w:hAnsi="Times New Roman" w:eastAsia="方正楷体简体" w:cs="Times New Roman"/>
          <w:b/>
          <w:i w:val="0"/>
          <w:iCs w:val="0"/>
          <w:color w:val="000000"/>
          <w:sz w:val="32"/>
          <w:szCs w:val="32"/>
        </w:rPr>
        <w:t>（二）依申请公开</w:t>
      </w:r>
      <w:r>
        <w:rPr>
          <w:rFonts w:hint="eastAsia" w:eastAsia="方正楷体简体" w:cs="Times New Roman"/>
          <w:b/>
          <w:i w:val="0"/>
          <w:iCs w:val="0"/>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i w:val="0"/>
          <w:iCs w:val="0"/>
          <w:color w:val="000000"/>
          <w:sz w:val="32"/>
          <w:szCs w:val="32"/>
        </w:rPr>
      </w:pPr>
      <w:r>
        <w:rPr>
          <w:rFonts w:hint="default" w:ascii="Times New Roman" w:hAnsi="Times New Roman" w:eastAsia="方正仿宋简体" w:cs="Times New Roman"/>
          <w:b/>
          <w:i w:val="0"/>
          <w:iCs w:val="0"/>
          <w:color w:val="000000"/>
          <w:sz w:val="32"/>
          <w:szCs w:val="32"/>
        </w:rPr>
        <w:t>202</w:t>
      </w:r>
      <w:r>
        <w:rPr>
          <w:rFonts w:hint="default" w:ascii="Times New Roman" w:hAnsi="Times New Roman" w:eastAsia="方正仿宋简体" w:cs="Times New Roman"/>
          <w:b/>
          <w:i w:val="0"/>
          <w:iCs w:val="0"/>
          <w:color w:val="000000"/>
          <w:sz w:val="32"/>
          <w:szCs w:val="32"/>
          <w:lang w:val="en-US" w:eastAsia="zh-CN"/>
        </w:rPr>
        <w:t>4</w:t>
      </w:r>
      <w:r>
        <w:rPr>
          <w:rFonts w:hint="default" w:ascii="Times New Roman" w:hAnsi="Times New Roman" w:eastAsia="方正仿宋简体" w:cs="Times New Roman"/>
          <w:b/>
          <w:i w:val="0"/>
          <w:iCs w:val="0"/>
          <w:color w:val="000000"/>
          <w:sz w:val="32"/>
          <w:szCs w:val="32"/>
        </w:rPr>
        <w:t>年度，区科技局未收到政府信息公开申请。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val="0"/>
          <w:iCs w:val="0"/>
          <w:color w:val="000000"/>
          <w:sz w:val="32"/>
          <w:szCs w:val="32"/>
          <w:lang w:eastAsia="zh-CN"/>
        </w:rPr>
      </w:pPr>
      <w:r>
        <w:rPr>
          <w:rFonts w:hint="default" w:ascii="Times New Roman" w:hAnsi="Times New Roman" w:eastAsia="方正楷体简体" w:cs="Times New Roman"/>
          <w:b/>
          <w:i w:val="0"/>
          <w:iCs w:val="0"/>
          <w:color w:val="000000"/>
          <w:sz w:val="32"/>
          <w:szCs w:val="32"/>
        </w:rPr>
        <w:t>（三）</w:t>
      </w:r>
      <w:r>
        <w:rPr>
          <w:rFonts w:eastAsia="方正楷体简体"/>
          <w:b/>
          <w:color w:val="000000"/>
          <w:sz w:val="32"/>
          <w:szCs w:val="32"/>
        </w:rPr>
        <w:t>政府信息管理</w:t>
      </w:r>
      <w:r>
        <w:rPr>
          <w:rFonts w:hint="eastAsia" w:eastAsia="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i w:val="0"/>
          <w:iCs w:val="0"/>
          <w:color w:val="000000"/>
          <w:sz w:val="32"/>
          <w:szCs w:val="32"/>
          <w:lang w:val="en-US" w:eastAsia="zh-CN"/>
        </w:rPr>
      </w:pPr>
      <w:r>
        <w:rPr>
          <w:rFonts w:hint="default" w:ascii="Times New Roman" w:hAnsi="Times New Roman" w:eastAsia="方正仿宋简体" w:cs="Times New Roman"/>
          <w:b/>
          <w:bCs/>
          <w:i w:val="0"/>
          <w:iCs w:val="0"/>
          <w:color w:val="000000"/>
          <w:sz w:val="32"/>
          <w:szCs w:val="32"/>
          <w:lang w:val="en-US" w:eastAsia="zh-CN"/>
        </w:rPr>
        <w:t>一是加强组织领导。把政府信息公开工作纳入年度工作计划，把政府信息公开工作职责落实到具体人员。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i w:val="0"/>
          <w:iCs w:val="0"/>
          <w:color w:val="000000"/>
          <w:sz w:val="32"/>
          <w:szCs w:val="32"/>
          <w:lang w:val="en-US" w:eastAsia="zh-CN"/>
        </w:rPr>
      </w:pPr>
      <w:r>
        <w:rPr>
          <w:rFonts w:hint="default" w:ascii="Times New Roman" w:hAnsi="Times New Roman" w:eastAsia="方正仿宋简体" w:cs="Times New Roman"/>
          <w:b/>
          <w:bCs/>
          <w:i w:val="0"/>
          <w:iCs w:val="0"/>
          <w:color w:val="000000"/>
          <w:sz w:val="32"/>
          <w:szCs w:val="32"/>
          <w:lang w:val="en-US" w:eastAsia="zh-CN"/>
        </w:rPr>
        <w:t>二是规范信息公开。要求政府网站信息上传由专人负责。对政府信息进行全生命周期的规范管理，建立健全政府信息公开属性的源头认定机制，对已发布的信息要定期评估、动态调整。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i w:val="0"/>
          <w:iCs w:val="0"/>
          <w:color w:val="000000"/>
          <w:sz w:val="32"/>
          <w:szCs w:val="32"/>
          <w:lang w:val="en-US" w:eastAsia="zh-CN"/>
        </w:rPr>
      </w:pPr>
      <w:r>
        <w:rPr>
          <w:rFonts w:hint="default" w:ascii="Times New Roman" w:hAnsi="Times New Roman" w:eastAsia="方正仿宋简体" w:cs="Times New Roman"/>
          <w:b/>
          <w:bCs/>
          <w:i w:val="0"/>
          <w:iCs w:val="0"/>
          <w:color w:val="000000"/>
          <w:sz w:val="32"/>
          <w:szCs w:val="32"/>
          <w:lang w:val="en-US" w:eastAsia="zh-CN"/>
        </w:rPr>
        <w:t>三是健全工作制度。严格依据有关规定，进行职责分工、细化步骤、优化流程，规范管理，并对政府信息公开工作责任追究制度进一步明确，确定需主动公开政府信息的公开时限、要求和程序，做到信息准确及时公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val="0"/>
          <w:iCs w:val="0"/>
          <w:color w:val="000000"/>
          <w:sz w:val="32"/>
          <w:szCs w:val="32"/>
          <w:lang w:eastAsia="zh-CN"/>
        </w:rPr>
      </w:pPr>
      <w:r>
        <w:rPr>
          <w:rFonts w:hint="default" w:ascii="Times New Roman" w:hAnsi="Times New Roman" w:eastAsia="方正楷体简体" w:cs="Times New Roman"/>
          <w:b/>
          <w:i w:val="0"/>
          <w:iCs w:val="0"/>
          <w:color w:val="000000"/>
          <w:sz w:val="32"/>
          <w:szCs w:val="32"/>
        </w:rPr>
        <w:t>（四）</w:t>
      </w:r>
      <w:r>
        <w:rPr>
          <w:rFonts w:eastAsia="方正楷体简体"/>
          <w:b/>
          <w:color w:val="000000"/>
          <w:sz w:val="32"/>
          <w:szCs w:val="32"/>
        </w:rPr>
        <w:t>政府信息公开平台建设</w:t>
      </w:r>
      <w:r>
        <w:rPr>
          <w:rFonts w:hint="eastAsia" w:eastAsia="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val="0"/>
          <w:bCs w:val="0"/>
          <w:i w:val="0"/>
          <w:iCs w:val="0"/>
          <w:color w:val="000000"/>
          <w:sz w:val="32"/>
          <w:szCs w:val="32"/>
          <w:lang w:val="en-US" w:eastAsia="zh-CN"/>
        </w:rPr>
      </w:pPr>
      <w:r>
        <w:rPr>
          <w:rFonts w:hint="default" w:ascii="Times New Roman" w:hAnsi="Times New Roman" w:eastAsia="方正仿宋简体" w:cs="Times New Roman"/>
          <w:b/>
          <w:bCs/>
          <w:i w:val="0"/>
          <w:iCs w:val="0"/>
          <w:color w:val="000000"/>
          <w:sz w:val="32"/>
          <w:szCs w:val="32"/>
          <w:lang w:val="en-US" w:eastAsia="zh-CN"/>
        </w:rPr>
        <w:t>围绕2024年兖州区科技创新发展主要目标、重点任务、重大举措，依托政府网站和政务新媒体，以文字、图片、音频、视频等形式传播主流意识形态，推送党的理论、路线方针政策及时政要闻。加强与主流媒体合作，拓宽信息报送渠道，及时宣传我区科技工作成就；全力抓好阵地建设，在“科技活动周”、“政府</w:t>
      </w:r>
      <w:r>
        <w:rPr>
          <w:rFonts w:hint="eastAsia" w:ascii="Times New Roman" w:hAnsi="Times New Roman" w:eastAsia="方正仿宋简体" w:cs="Times New Roman"/>
          <w:b/>
          <w:bCs/>
          <w:i w:val="0"/>
          <w:iCs w:val="0"/>
          <w:color w:val="000000"/>
          <w:sz w:val="32"/>
          <w:szCs w:val="32"/>
          <w:lang w:val="en-US" w:eastAsia="zh-CN"/>
        </w:rPr>
        <w:t>开放</w:t>
      </w:r>
      <w:r>
        <w:rPr>
          <w:rFonts w:hint="default" w:ascii="Times New Roman" w:hAnsi="Times New Roman" w:eastAsia="方正仿宋简体" w:cs="Times New Roman"/>
          <w:b/>
          <w:bCs/>
          <w:i w:val="0"/>
          <w:iCs w:val="0"/>
          <w:color w:val="000000"/>
          <w:sz w:val="32"/>
          <w:szCs w:val="32"/>
          <w:lang w:val="en-US" w:eastAsia="zh-CN"/>
        </w:rPr>
        <w:t>日”期间设立政务公开宣传专区，推进基层政务公开标准化规范化建设。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val="0"/>
          <w:iCs w:val="0"/>
          <w:color w:val="000000"/>
          <w:sz w:val="32"/>
          <w:szCs w:val="32"/>
          <w:lang w:eastAsia="zh-CN"/>
        </w:rPr>
      </w:pPr>
      <w:r>
        <w:rPr>
          <w:rFonts w:hint="default" w:ascii="Times New Roman" w:hAnsi="Times New Roman" w:eastAsia="方正楷体简体" w:cs="Times New Roman"/>
          <w:b/>
          <w:i w:val="0"/>
          <w:iCs w:val="0"/>
          <w:color w:val="000000"/>
          <w:sz w:val="32"/>
          <w:szCs w:val="32"/>
        </w:rPr>
        <w:t>（五）</w:t>
      </w:r>
      <w:r>
        <w:rPr>
          <w:rFonts w:eastAsia="方正楷体简体"/>
          <w:b/>
          <w:color w:val="000000"/>
          <w:sz w:val="32"/>
          <w:szCs w:val="32"/>
        </w:rPr>
        <w:t>监督保障</w:t>
      </w:r>
      <w:r>
        <w:rPr>
          <w:rFonts w:hint="eastAsia" w:eastAsia="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i w:val="0"/>
          <w:iCs w:val="0"/>
          <w:color w:val="000000"/>
          <w:sz w:val="32"/>
          <w:szCs w:val="32"/>
          <w:lang w:val="en-US" w:eastAsia="zh-CN"/>
        </w:rPr>
      </w:pPr>
      <w:r>
        <w:rPr>
          <w:rFonts w:hint="default" w:ascii="Times New Roman" w:hAnsi="Times New Roman" w:eastAsia="方正仿宋简体" w:cs="Times New Roman"/>
          <w:b/>
          <w:bCs/>
          <w:i w:val="0"/>
          <w:iCs w:val="0"/>
          <w:color w:val="000000"/>
          <w:sz w:val="32"/>
          <w:szCs w:val="32"/>
          <w:lang w:val="en-US" w:eastAsia="zh-CN"/>
        </w:rPr>
        <w:t>一是加强日常维护。政务公开负责人员</w:t>
      </w:r>
      <w:r>
        <w:rPr>
          <w:rFonts w:hint="eastAsia" w:ascii="Times New Roman" w:hAnsi="Times New Roman" w:eastAsia="方正仿宋简体" w:cs="Times New Roman"/>
          <w:b/>
          <w:bCs/>
          <w:i w:val="0"/>
          <w:iCs w:val="0"/>
          <w:color w:val="000000"/>
          <w:sz w:val="32"/>
          <w:szCs w:val="32"/>
          <w:lang w:val="en-US" w:eastAsia="zh-CN"/>
        </w:rPr>
        <w:t>定期</w:t>
      </w:r>
      <w:r>
        <w:rPr>
          <w:rFonts w:hint="default" w:ascii="Times New Roman" w:hAnsi="Times New Roman" w:eastAsia="方正仿宋简体" w:cs="Times New Roman"/>
          <w:b/>
          <w:bCs/>
          <w:i w:val="0"/>
          <w:iCs w:val="0"/>
          <w:color w:val="000000"/>
          <w:sz w:val="32"/>
          <w:szCs w:val="32"/>
          <w:lang w:val="en-US" w:eastAsia="zh-CN"/>
        </w:rPr>
        <w:t>检查更新内容，确保信息更新及时。二是加强整改落实。根据区政府办通报要求及时补缺补差，及时反馈整改结果，确保信息发布规范、准确。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val="0"/>
          <w:bCs/>
          <w:i w:val="0"/>
          <w:iCs w:val="0"/>
          <w:color w:val="000000"/>
          <w:sz w:val="32"/>
          <w:szCs w:val="32"/>
        </w:rPr>
      </w:pPr>
      <w:r>
        <w:rPr>
          <w:rFonts w:hint="default" w:ascii="Times New Roman" w:hAnsi="Times New Roman" w:eastAsia="方正黑体简体" w:cs="Times New Roman"/>
          <w:b/>
          <w:i w:val="0"/>
          <w:iCs w:val="0"/>
          <w:color w:val="000000"/>
          <w:sz w:val="32"/>
          <w:szCs w:val="32"/>
        </w:rPr>
        <w:t>二、主动公开政府信息情况</w:t>
      </w:r>
    </w:p>
    <w:tbl>
      <w:tblPr>
        <w:tblStyle w:val="15"/>
        <w:tblW w:w="4999" w:type="pct"/>
        <w:tblInd w:w="0" w:type="dxa"/>
        <w:tblLayout w:type="autofit"/>
        <w:tblCellMar>
          <w:top w:w="0" w:type="dxa"/>
          <w:left w:w="108" w:type="dxa"/>
          <w:bottom w:w="0" w:type="dxa"/>
          <w:right w:w="108" w:type="dxa"/>
        </w:tblCellMar>
      </w:tblPr>
      <w:tblGrid>
        <w:gridCol w:w="2238"/>
        <w:gridCol w:w="2240"/>
        <w:gridCol w:w="2240"/>
        <w:gridCol w:w="2250"/>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i w:val="0"/>
                <w:iCs w:val="0"/>
                <w:color w:val="000000"/>
                <w:kern w:val="0"/>
                <w:szCs w:val="21"/>
              </w:rPr>
            </w:pPr>
            <w:r>
              <w:rPr>
                <w:rFonts w:hint="default" w:ascii="Times New Roman" w:hAnsi="Times New Roman" w:eastAsia="黑体" w:cs="Times New Roman"/>
                <w:i w:val="0"/>
                <w:iCs w:val="0"/>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本年废止件数</w:t>
            </w:r>
          </w:p>
        </w:tc>
        <w:tc>
          <w:tcPr>
            <w:tcW w:w="1252"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现行有效件数</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规章</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i w:val="0"/>
                <w:iCs w:val="0"/>
                <w:color w:val="000000"/>
                <w:kern w:val="0"/>
                <w:szCs w:val="21"/>
              </w:rPr>
            </w:pPr>
            <w:r>
              <w:rPr>
                <w:rFonts w:hint="default" w:ascii="Times New Roman" w:hAnsi="Times New Roman" w:eastAsia="黑体" w:cs="Times New Roman"/>
                <w:i w:val="0"/>
                <w:iCs w:val="0"/>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i w:val="0"/>
                <w:iCs w:val="0"/>
                <w:color w:val="000000"/>
                <w:kern w:val="0"/>
                <w:szCs w:val="21"/>
              </w:rPr>
            </w:pPr>
            <w:r>
              <w:rPr>
                <w:rFonts w:hint="default" w:ascii="Times New Roman" w:hAnsi="Times New Roman" w:eastAsia="黑体" w:cs="Times New Roman"/>
                <w:i w:val="0"/>
                <w:iCs w:val="0"/>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i w:val="0"/>
                <w:iCs w:val="0"/>
                <w:color w:val="000000"/>
                <w:kern w:val="0"/>
                <w:szCs w:val="21"/>
              </w:rPr>
            </w:pPr>
            <w:r>
              <w:rPr>
                <w:rFonts w:hint="default" w:ascii="Times New Roman" w:hAnsi="Times New Roman" w:eastAsia="黑体" w:cs="Times New Roman"/>
                <w:i w:val="0"/>
                <w:iCs w:val="0"/>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i w:val="0"/>
                <w:iCs w:val="0"/>
                <w:color w:val="000000"/>
                <w:kern w:val="0"/>
                <w:szCs w:val="21"/>
                <w:lang w:val="en-US" w:eastAsia="zh-CN"/>
              </w:rPr>
            </w:pPr>
            <w:r>
              <w:rPr>
                <w:rFonts w:hint="default" w:ascii="Times New Roman" w:hAnsi="Times New Roman" w:eastAsia="仿宋_GB2312" w:cs="Times New Roman"/>
                <w:i w:val="0"/>
                <w:iCs w:val="0"/>
                <w:color w:val="000000"/>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简体" w:cs="Times New Roman"/>
          <w:b w:val="0"/>
          <w:bCs/>
          <w:i w:val="0"/>
          <w:iCs w:val="0"/>
          <w:color w:val="000000"/>
          <w:sz w:val="32"/>
          <w:szCs w:val="32"/>
          <w:lang w:eastAsia="zh-CN"/>
        </w:rPr>
      </w:pPr>
      <w:r>
        <w:rPr>
          <w:rFonts w:hint="default" w:ascii="Times New Roman" w:hAnsi="Times New Roman" w:eastAsia="方正黑体简体" w:cs="Times New Roman"/>
          <w:b/>
          <w:i w:val="0"/>
          <w:iCs w:val="0"/>
          <w:color w:val="000000"/>
          <w:sz w:val="32"/>
          <w:szCs w:val="32"/>
        </w:rPr>
        <w:t>三、收到和处理政府信息公开申请情况</w:t>
      </w:r>
    </w:p>
    <w:tbl>
      <w:tblPr>
        <w:tblStyle w:val="15"/>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pPr>
              <w:widowControl/>
              <w:jc w:val="center"/>
              <w:rPr>
                <w:rFonts w:hint="default" w:ascii="Times New Roman" w:hAnsi="Times New Roman" w:eastAsia="楷体_GB2312" w:cs="Times New Roman"/>
                <w:i w:val="0"/>
                <w:iCs w:val="0"/>
                <w:color w:val="000000"/>
                <w:kern w:val="0"/>
                <w:szCs w:val="21"/>
              </w:rPr>
            </w:pPr>
            <w:r>
              <w:rPr>
                <w:rFonts w:hint="default" w:ascii="Times New Roman" w:hAnsi="Times New Roman" w:eastAsia="楷体_GB2312" w:cs="Times New Roman"/>
                <w:i w:val="0"/>
                <w:iCs w:val="0"/>
                <w:color w:val="000000"/>
                <w:kern w:val="0"/>
                <w:szCs w:val="21"/>
              </w:rPr>
              <w:t>（本列数据的勾稽关系为：第一项加第二项之和，</w:t>
            </w:r>
          </w:p>
          <w:p>
            <w:pPr>
              <w:widowControl/>
              <w:jc w:val="center"/>
              <w:rPr>
                <w:rFonts w:hint="default" w:ascii="Times New Roman" w:hAnsi="Times New Roman" w:eastAsia="仿宋_GB2312" w:cs="Times New Roman"/>
                <w:i w:val="0"/>
                <w:iCs w:val="0"/>
                <w:color w:val="000000"/>
                <w:szCs w:val="21"/>
              </w:rPr>
            </w:pPr>
            <w:r>
              <w:rPr>
                <w:rFonts w:hint="default" w:ascii="Times New Roman" w:hAnsi="Times New Roman" w:eastAsia="楷体_GB2312" w:cs="Times New Roman"/>
                <w:i w:val="0"/>
                <w:iCs w:val="0"/>
                <w:color w:val="000000"/>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pPr>
              <w:jc w:val="center"/>
              <w:rPr>
                <w:rFonts w:hint="default" w:ascii="Times New Roman" w:hAnsi="Times New Roman" w:eastAsia="仿宋_GB2312" w:cs="Times New Roman"/>
                <w:i w:val="0"/>
                <w:iCs w:val="0"/>
                <w:color w:val="000000"/>
                <w:szCs w:val="21"/>
              </w:rPr>
            </w:pPr>
          </w:p>
        </w:tc>
        <w:tc>
          <w:tcPr>
            <w:tcW w:w="829" w:type="dxa"/>
            <w:vMerge w:val="restart"/>
            <w:noWrap w:val="0"/>
            <w:tcMar>
              <w:left w:w="108" w:type="dxa"/>
              <w:right w:w="108" w:type="dxa"/>
            </w:tcMar>
            <w:vAlign w:val="center"/>
          </w:tcPr>
          <w:p>
            <w:pPr>
              <w:widowControl/>
              <w:jc w:val="center"/>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法人或其他组织</w:t>
            </w:r>
          </w:p>
        </w:tc>
        <w:tc>
          <w:tcPr>
            <w:tcW w:w="851" w:type="dxa"/>
            <w:vMerge w:val="restart"/>
            <w:noWrap w:val="0"/>
            <w:tcMar>
              <w:left w:w="108" w:type="dxa"/>
              <w:right w:w="108" w:type="dxa"/>
            </w:tcMar>
            <w:vAlign w:val="center"/>
          </w:tcPr>
          <w:p>
            <w:pPr>
              <w:widowControl/>
              <w:jc w:val="center"/>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pPr>
              <w:jc w:val="center"/>
              <w:rPr>
                <w:rFonts w:hint="default" w:ascii="Times New Roman" w:hAnsi="Times New Roman" w:eastAsia="仿宋_GB2312" w:cs="Times New Roman"/>
                <w:i w:val="0"/>
                <w:iCs w:val="0"/>
                <w:color w:val="000000"/>
                <w:szCs w:val="21"/>
              </w:rPr>
            </w:pPr>
          </w:p>
        </w:tc>
        <w:tc>
          <w:tcPr>
            <w:tcW w:w="829" w:type="dxa"/>
            <w:vMerge w:val="continue"/>
            <w:noWrap w:val="0"/>
            <w:tcMar>
              <w:left w:w="108" w:type="dxa"/>
              <w:right w:w="108" w:type="dxa"/>
            </w:tcMar>
            <w:vAlign w:val="center"/>
          </w:tcPr>
          <w:p>
            <w:pPr>
              <w:jc w:val="center"/>
              <w:rPr>
                <w:rFonts w:hint="default" w:ascii="Times New Roman" w:hAnsi="Times New Roman" w:eastAsia="黑体" w:cs="Times New Roman"/>
                <w:i w:val="0"/>
                <w:iCs w:val="0"/>
                <w:color w:val="000000"/>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其他</w:t>
            </w:r>
          </w:p>
        </w:tc>
        <w:tc>
          <w:tcPr>
            <w:tcW w:w="851" w:type="dxa"/>
            <w:vMerge w:val="continue"/>
            <w:noWrap w:val="0"/>
            <w:tcMar>
              <w:left w:w="108" w:type="dxa"/>
              <w:right w:w="108" w:type="dxa"/>
            </w:tcMar>
            <w:vAlign w:val="center"/>
          </w:tcPr>
          <w:p>
            <w:pPr>
              <w:jc w:val="center"/>
              <w:rPr>
                <w:rFonts w:hint="default" w:ascii="Times New Roman" w:hAnsi="Times New Roman" w:eastAsia="仿宋_GB2312" w:cs="Times New Roman"/>
                <w:i w:val="0"/>
                <w:iCs w:val="0"/>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一、本年新收政府信息公开申请数量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pPr>
              <w:widowControl/>
              <w:spacing w:after="180"/>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三、本年度办理结果</w:t>
            </w:r>
          </w:p>
        </w:tc>
        <w:tc>
          <w:tcPr>
            <w:tcW w:w="4677" w:type="dxa"/>
            <w:gridSpan w:val="2"/>
            <w:noWrap w:val="0"/>
            <w:tcMar>
              <w:left w:w="108" w:type="dxa"/>
              <w:right w:w="108" w:type="dxa"/>
            </w:tcMar>
            <w:vAlign w:val="center"/>
          </w:tcPr>
          <w:p>
            <w:pPr>
              <w:widowControl/>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4677" w:type="dxa"/>
            <w:gridSpan w:val="2"/>
            <w:noWrap w:val="0"/>
            <w:tcMar>
              <w:left w:w="108" w:type="dxa"/>
              <w:right w:w="108" w:type="dxa"/>
            </w:tcMar>
            <w:vAlign w:val="center"/>
          </w:tcPr>
          <w:p>
            <w:pPr>
              <w:widowControl/>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（二）部分公开（区分处理的，只计这一情形，不计其他情形）</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2.其他法律行政法规禁止公开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4.保护第三方合法权益</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6.属于四类过程性信息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8.属于行政查询事项</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2.没有现成信息需要另行制作</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3.补正后申请内容仍不明确</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hint="default" w:ascii="Times New Roman" w:hAnsi="Times New Roman" w:eastAsia="黑体" w:cs="Times New Roman"/>
                <w:i w:val="0"/>
                <w:iCs w:val="0"/>
                <w:color w:val="000000"/>
                <w:szCs w:val="21"/>
              </w:rPr>
            </w:pPr>
            <w:r>
              <w:rPr>
                <w:rFonts w:hint="default" w:ascii="Times New Roman" w:hAnsi="Times New Roman" w:eastAsia="黑体" w:cs="Times New Roman"/>
                <w:i w:val="0"/>
                <w:iCs w:val="0"/>
                <w:color w:val="000000"/>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1.信访举报投诉类申请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szCs w:val="21"/>
              </w:rPr>
            </w:pPr>
            <w:r>
              <w:rPr>
                <w:rFonts w:hint="default" w:ascii="Times New Roman" w:hAnsi="Times New Roman" w:eastAsia="仿宋_GB2312" w:cs="Times New Roman"/>
                <w:i w:val="0"/>
                <w:iCs w:val="0"/>
                <w:color w:val="000000"/>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szCs w:val="21"/>
              </w:rPr>
            </w:pPr>
            <w:r>
              <w:rPr>
                <w:rFonts w:hint="default" w:ascii="Times New Roman" w:hAnsi="Times New Roman" w:eastAsia="仿宋_GB2312" w:cs="Times New Roman"/>
                <w:i w:val="0"/>
                <w:iCs w:val="0"/>
                <w:color w:val="000000"/>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szCs w:val="21"/>
              </w:rPr>
            </w:pPr>
            <w:r>
              <w:rPr>
                <w:rFonts w:hint="default" w:ascii="Times New Roman" w:hAnsi="Times New Roman" w:eastAsia="仿宋_GB2312" w:cs="Times New Roman"/>
                <w:i w:val="0"/>
                <w:iCs w:val="0"/>
                <w:color w:val="000000"/>
                <w:kern w:val="0"/>
                <w:szCs w:val="21"/>
              </w:rPr>
              <w:t>5.要求行政机关确认或重新出具已获取信息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i w:val="0"/>
                <w:iCs w:val="0"/>
                <w:color w:val="000000"/>
                <w:kern w:val="0"/>
                <w:szCs w:val="21"/>
              </w:rPr>
            </w:pPr>
            <w:r>
              <w:rPr>
                <w:rFonts w:hint="default" w:ascii="Times New Roman" w:hAnsi="Times New Roman" w:eastAsia="黑体" w:cs="Times New Roman"/>
                <w:i w:val="0"/>
                <w:iCs w:val="0"/>
                <w:color w:val="000000"/>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rPr>
            </w:pPr>
            <w:r>
              <w:rPr>
                <w:rFonts w:hint="default" w:ascii="Times New Roman" w:hAnsi="Times New Roman" w:eastAsia="仿宋_GB2312" w:cs="Times New Roman"/>
                <w:i w:val="0"/>
                <w:iCs w:val="0"/>
                <w:color w:val="000000"/>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widowControl/>
              <w:spacing w:line="300" w:lineRule="exact"/>
              <w:rPr>
                <w:rFonts w:hint="default" w:ascii="Times New Roman" w:hAnsi="Times New Roman" w:eastAsia="黑体" w:cs="Times New Roman"/>
                <w:i w:val="0"/>
                <w:iCs w:val="0"/>
                <w:color w:val="000000"/>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1701" w:type="dxa"/>
            <w:vMerge w:val="continue"/>
            <w:noWrap w:val="0"/>
            <w:tcMar>
              <w:left w:w="108" w:type="dxa"/>
              <w:right w:w="108" w:type="dxa"/>
            </w:tcMar>
            <w:vAlign w:val="center"/>
          </w:tcPr>
          <w:p>
            <w:pPr>
              <w:widowControl/>
              <w:spacing w:line="300" w:lineRule="exact"/>
              <w:rPr>
                <w:rFonts w:hint="default" w:ascii="Times New Roman" w:hAnsi="Times New Roman" w:eastAsia="黑体" w:cs="Times New Roman"/>
                <w:i w:val="0"/>
                <w:iCs w:val="0"/>
                <w:color w:val="000000"/>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i w:val="0"/>
                <w:iCs w:val="0"/>
                <w:color w:val="000000"/>
                <w:kern w:val="0"/>
                <w:szCs w:val="21"/>
              </w:rPr>
            </w:pPr>
            <w:r>
              <w:rPr>
                <w:rFonts w:hint="default" w:ascii="Times New Roman" w:hAnsi="Times New Roman" w:eastAsia="仿宋_GB2312" w:cs="Times New Roman"/>
                <w:i w:val="0"/>
                <w:iCs w:val="0"/>
                <w:color w:val="000000"/>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hint="default" w:ascii="Times New Roman" w:hAnsi="Times New Roman" w:eastAsia="黑体" w:cs="Times New Roman"/>
                <w:i w:val="0"/>
                <w:iCs w:val="0"/>
                <w:color w:val="000000"/>
                <w:szCs w:val="21"/>
              </w:rPr>
            </w:pPr>
          </w:p>
        </w:tc>
        <w:tc>
          <w:tcPr>
            <w:tcW w:w="4677" w:type="dxa"/>
            <w:gridSpan w:val="2"/>
            <w:noWrap w:val="0"/>
            <w:tcMar>
              <w:left w:w="108" w:type="dxa"/>
              <w:right w:w="108" w:type="dxa"/>
            </w:tcMar>
            <w:vAlign w:val="center"/>
          </w:tcPr>
          <w:p>
            <w:pPr>
              <w:widowControl/>
              <w:spacing w:line="300" w:lineRule="exact"/>
              <w:rPr>
                <w:rFonts w:hint="default" w:ascii="Times New Roman" w:hAnsi="Times New Roman" w:eastAsia="黑体" w:cs="Times New Roman"/>
                <w:i w:val="0"/>
                <w:iCs w:val="0"/>
                <w:color w:val="000000"/>
                <w:kern w:val="0"/>
                <w:szCs w:val="21"/>
              </w:rPr>
            </w:pPr>
            <w:r>
              <w:rPr>
                <w:rFonts w:hint="default" w:ascii="Times New Roman" w:hAnsi="Times New Roman" w:eastAsia="黑体" w:cs="Times New Roman"/>
                <w:i w:val="0"/>
                <w:iCs w:val="0"/>
                <w:color w:val="000000"/>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pPr>
              <w:widowControl/>
              <w:spacing w:line="300" w:lineRule="exact"/>
              <w:rPr>
                <w:rFonts w:hint="default" w:ascii="Times New Roman" w:hAnsi="Times New Roman" w:eastAsia="黑体" w:cs="Times New Roman"/>
                <w:i w:val="0"/>
                <w:iCs w:val="0"/>
                <w:color w:val="000000"/>
                <w:kern w:val="0"/>
                <w:szCs w:val="21"/>
              </w:rPr>
            </w:pPr>
            <w:r>
              <w:rPr>
                <w:rFonts w:hint="default" w:ascii="Times New Roman" w:hAnsi="Times New Roman" w:eastAsia="黑体" w:cs="Times New Roman"/>
                <w:i w:val="0"/>
                <w:iCs w:val="0"/>
                <w:color w:val="000000"/>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i w:val="0"/>
                <w:iCs w:val="0"/>
                <w:color w:val="000000"/>
                <w:szCs w:val="21"/>
                <w:lang w:val="en-US" w:eastAsia="zh-CN"/>
              </w:rPr>
            </w:pPr>
            <w:r>
              <w:rPr>
                <w:rFonts w:hint="default" w:ascii="Times New Roman" w:hAnsi="Times New Roman" w:eastAsia="仿宋_GB2312" w:cs="Times New Roman"/>
                <w:i w:val="0"/>
                <w:iCs w:val="0"/>
                <w:color w:val="00000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简体" w:cs="Times New Roman"/>
          <w:b w:val="0"/>
          <w:bCs/>
          <w:i w:val="0"/>
          <w:iCs w:val="0"/>
          <w:color w:val="000000"/>
          <w:sz w:val="32"/>
          <w:szCs w:val="32"/>
          <w:lang w:eastAsia="zh-CN"/>
        </w:rPr>
      </w:pPr>
      <w:r>
        <w:rPr>
          <w:rFonts w:hint="default" w:ascii="Times New Roman" w:hAnsi="Times New Roman" w:eastAsia="方正黑体简体" w:cs="Times New Roman"/>
          <w:b/>
          <w:i w:val="0"/>
          <w:iCs w:val="0"/>
          <w:color w:val="000000"/>
          <w:sz w:val="32"/>
          <w:szCs w:val="32"/>
        </w:rPr>
        <w:t>四、政府信息公开行政复议、行政诉讼情况</w:t>
      </w:r>
    </w:p>
    <w:tbl>
      <w:tblPr>
        <w:tblStyle w:val="1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黑体" w:cs="Times New Roman"/>
                <w:i w:val="0"/>
                <w:iCs w:val="0"/>
                <w:color w:val="000000"/>
                <w:kern w:val="0"/>
                <w:sz w:val="20"/>
                <w:szCs w:val="20"/>
              </w:rPr>
            </w:pPr>
            <w:r>
              <w:rPr>
                <w:rFonts w:hint="default" w:ascii="Times New Roman" w:hAnsi="Times New Roman" w:eastAsia="黑体" w:cs="Times New Roman"/>
                <w:i w:val="0"/>
                <w:iCs w:val="0"/>
                <w:color w:val="000000"/>
                <w:kern w:val="0"/>
                <w:sz w:val="20"/>
                <w:szCs w:val="20"/>
              </w:rPr>
              <w:t>结果</w:t>
            </w:r>
          </w:p>
          <w:p>
            <w:pPr>
              <w:widowControl/>
              <w:ind w:left="-149" w:leftChars="-71" w:right="-170" w:rightChars="-81"/>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hint="default" w:ascii="Times New Roman" w:hAnsi="Times New Roman" w:eastAsia="黑体" w:cs="Times New Roman"/>
                <w:i w:val="0"/>
                <w:iCs w:val="0"/>
                <w:color w:val="000000"/>
                <w:kern w:val="0"/>
                <w:sz w:val="20"/>
                <w:szCs w:val="20"/>
              </w:rPr>
            </w:pPr>
            <w:r>
              <w:rPr>
                <w:rFonts w:hint="default" w:ascii="Times New Roman" w:hAnsi="Times New Roman" w:eastAsia="黑体" w:cs="Times New Roman"/>
                <w:i w:val="0"/>
                <w:iCs w:val="0"/>
                <w:color w:val="000000"/>
                <w:kern w:val="0"/>
                <w:sz w:val="20"/>
                <w:szCs w:val="20"/>
              </w:rPr>
              <w:t>尚未</w:t>
            </w:r>
          </w:p>
          <w:p>
            <w:pPr>
              <w:widowControl/>
              <w:ind w:left="-118" w:leftChars="-56" w:right="-118" w:rightChars="-56"/>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hint="default" w:ascii="Times New Roman" w:hAnsi="Times New Roman" w:eastAsia="黑体" w:cs="Times New Roman"/>
                <w:i w:val="0"/>
                <w:iCs w:val="0"/>
                <w:color w:val="000000"/>
                <w:kern w:val="0"/>
                <w:sz w:val="20"/>
                <w:szCs w:val="20"/>
              </w:rPr>
            </w:pPr>
            <w:r>
              <w:rPr>
                <w:rFonts w:hint="default" w:ascii="Times New Roman" w:hAnsi="Times New Roman" w:eastAsia="黑体" w:cs="Times New Roman"/>
                <w:i w:val="0"/>
                <w:iCs w:val="0"/>
                <w:color w:val="000000"/>
                <w:kern w:val="0"/>
                <w:sz w:val="20"/>
                <w:szCs w:val="20"/>
              </w:rPr>
              <w:t>总</w:t>
            </w:r>
          </w:p>
          <w:p>
            <w:pPr>
              <w:widowControl/>
              <w:spacing w:line="320" w:lineRule="exact"/>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i w:val="0"/>
                <w:iCs w:val="0"/>
                <w:color w:val="000000"/>
              </w:rPr>
            </w:pPr>
            <w:bookmarkStart w:id="0" w:name="_Hlk67039688"/>
            <w:r>
              <w:rPr>
                <w:rFonts w:hint="default" w:ascii="Times New Roman" w:hAnsi="Times New Roman" w:eastAsia="黑体" w:cs="Times New Roman"/>
                <w:i w:val="0"/>
                <w:iCs w:val="0"/>
                <w:color w:val="000000"/>
                <w:kern w:val="0"/>
                <w:sz w:val="20"/>
                <w:szCs w:val="20"/>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i w:val="0"/>
                <w:iCs w:val="0"/>
                <w:color w:val="000000"/>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i w:val="0"/>
                <w:iCs w:val="0"/>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i w:val="0"/>
                <w:iCs w:val="0"/>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i w:val="0"/>
                <w:iCs w:val="0"/>
                <w:color w:val="000000"/>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i w:val="0"/>
                <w:iCs w:val="0"/>
                <w:color w:val="000000"/>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hint="default" w:ascii="Times New Roman" w:hAnsi="Times New Roman" w:eastAsia="黑体" w:cs="Times New Roman"/>
                <w:i w:val="0"/>
                <w:iCs w:val="0"/>
                <w:color w:val="000000"/>
                <w:kern w:val="0"/>
                <w:sz w:val="20"/>
                <w:szCs w:val="20"/>
              </w:rPr>
            </w:pPr>
            <w:r>
              <w:rPr>
                <w:rFonts w:hint="default" w:ascii="Times New Roman" w:hAnsi="Times New Roman" w:eastAsia="黑体" w:cs="Times New Roman"/>
                <w:i w:val="0"/>
                <w:iCs w:val="0"/>
                <w:color w:val="000000"/>
                <w:kern w:val="0"/>
                <w:sz w:val="20"/>
                <w:szCs w:val="20"/>
              </w:rPr>
              <w:t>其他</w:t>
            </w:r>
          </w:p>
          <w:p>
            <w:pPr>
              <w:widowControl/>
              <w:ind w:left="-126" w:leftChars="-60" w:right="-136" w:rightChars="-65"/>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hint="default" w:ascii="Times New Roman" w:hAnsi="Times New Roman" w:eastAsia="黑体" w:cs="Times New Roman"/>
                <w:i w:val="0"/>
                <w:iCs w:val="0"/>
                <w:color w:val="000000"/>
                <w:kern w:val="0"/>
                <w:sz w:val="20"/>
                <w:szCs w:val="20"/>
              </w:rPr>
            </w:pPr>
            <w:r>
              <w:rPr>
                <w:rFonts w:hint="default" w:ascii="Times New Roman" w:hAnsi="Times New Roman" w:eastAsia="黑体" w:cs="Times New Roman"/>
                <w:i w:val="0"/>
                <w:iCs w:val="0"/>
                <w:color w:val="000000"/>
                <w:kern w:val="0"/>
                <w:sz w:val="20"/>
                <w:szCs w:val="20"/>
              </w:rPr>
              <w:t>尚未</w:t>
            </w:r>
          </w:p>
          <w:p>
            <w:pPr>
              <w:widowControl/>
              <w:ind w:left="-164" w:leftChars="-78" w:right="-153" w:rightChars="-73"/>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hint="default" w:ascii="Times New Roman" w:hAnsi="Times New Roman" w:eastAsia="黑体" w:cs="Times New Roman"/>
                <w:i w:val="0"/>
                <w:iCs w:val="0"/>
                <w:color w:val="000000"/>
                <w:kern w:val="0"/>
                <w:sz w:val="20"/>
                <w:szCs w:val="20"/>
              </w:rPr>
            </w:pPr>
            <w:r>
              <w:rPr>
                <w:rFonts w:hint="default" w:ascii="Times New Roman" w:hAnsi="Times New Roman" w:eastAsia="黑体" w:cs="Times New Roman"/>
                <w:i w:val="0"/>
                <w:iCs w:val="0"/>
                <w:color w:val="000000"/>
                <w:kern w:val="0"/>
                <w:sz w:val="20"/>
                <w:szCs w:val="20"/>
              </w:rPr>
              <w:t>结果</w:t>
            </w:r>
          </w:p>
          <w:p>
            <w:pPr>
              <w:widowControl/>
              <w:ind w:left="-136" w:leftChars="-65" w:right="-124" w:rightChars="-59"/>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i w:val="0"/>
                <w:iCs w:val="0"/>
                <w:color w:val="000000"/>
                <w:kern w:val="0"/>
                <w:sz w:val="20"/>
                <w:szCs w:val="20"/>
              </w:rPr>
            </w:pPr>
            <w:r>
              <w:rPr>
                <w:rFonts w:hint="default" w:ascii="Times New Roman" w:hAnsi="Times New Roman" w:eastAsia="黑体" w:cs="Times New Roman"/>
                <w:i w:val="0"/>
                <w:iCs w:val="0"/>
                <w:color w:val="000000"/>
                <w:kern w:val="0"/>
                <w:sz w:val="20"/>
                <w:szCs w:val="20"/>
              </w:rPr>
              <w:t>其他</w:t>
            </w:r>
          </w:p>
          <w:p>
            <w:pPr>
              <w:widowControl/>
              <w:ind w:left="-173" w:leftChars="-83" w:right="-134" w:rightChars="-64" w:hanging="1"/>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i w:val="0"/>
                <w:iCs w:val="0"/>
                <w:color w:val="000000"/>
              </w:rPr>
            </w:pPr>
            <w:r>
              <w:rPr>
                <w:rFonts w:hint="default" w:ascii="Times New Roman" w:hAnsi="Times New Roman" w:eastAsia="黑体" w:cs="Times New Roman"/>
                <w:i w:val="0"/>
                <w:iCs w:val="0"/>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000000"/>
                <w:lang w:val="en-US" w:eastAsia="zh-CN"/>
              </w:rPr>
            </w:pPr>
            <w:r>
              <w:rPr>
                <w:rFonts w:hint="default" w:ascii="Times New Roman" w:hAnsi="Times New Roman" w:cs="Times New Roman"/>
                <w:i w:val="0"/>
                <w:iCs w:val="0"/>
                <w:color w:val="000000"/>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i w:val="0"/>
          <w:iCs w:val="0"/>
          <w:color w:val="000000"/>
          <w:sz w:val="32"/>
          <w:szCs w:val="32"/>
        </w:rPr>
      </w:pPr>
      <w:r>
        <w:rPr>
          <w:rFonts w:hint="default" w:ascii="Times New Roman" w:hAnsi="Times New Roman" w:eastAsia="方正黑体简体" w:cs="Times New Roman"/>
          <w:b/>
          <w:i w:val="0"/>
          <w:iCs w:val="0"/>
          <w:color w:val="00000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i w:val="0"/>
          <w:iCs w:val="0"/>
          <w:color w:val="000000"/>
          <w:sz w:val="32"/>
          <w:szCs w:val="32"/>
          <w:lang w:val="en-US" w:eastAsia="zh-CN"/>
        </w:rPr>
      </w:pPr>
      <w:r>
        <w:rPr>
          <w:rFonts w:hint="default" w:ascii="Times New Roman" w:hAnsi="Times New Roman" w:eastAsia="方正楷体简体" w:cs="Times New Roman"/>
          <w:b/>
          <w:i w:val="0"/>
          <w:iCs w:val="0"/>
          <w:color w:val="000000"/>
          <w:sz w:val="32"/>
          <w:szCs w:val="32"/>
          <w:lang w:val="en-US" w:eastAsia="zh-CN"/>
        </w:rPr>
        <w:t>存在问题：</w:t>
      </w:r>
      <w:r>
        <w:rPr>
          <w:rFonts w:hint="default" w:ascii="Times New Roman" w:hAnsi="Times New Roman" w:eastAsia="方正仿宋简体" w:cs="Times New Roman"/>
          <w:b/>
          <w:bCs/>
          <w:i w:val="0"/>
          <w:iCs w:val="0"/>
          <w:color w:val="000000"/>
          <w:sz w:val="32"/>
          <w:szCs w:val="32"/>
          <w:lang w:val="en-US" w:eastAsia="zh-CN"/>
        </w:rPr>
        <w:t>一是发布信息数量较少，涵盖领域还不够广，质量还需提高；二是认识不够到位，少数干部对实行政务公开的重要意义认识不足，工作被动应付，对群众的意见重视不够、研究不够。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i w:val="0"/>
          <w:iCs w:val="0"/>
          <w:color w:val="000000"/>
          <w:sz w:val="32"/>
          <w:szCs w:val="32"/>
          <w:lang w:val="en-US" w:eastAsia="zh-CN"/>
        </w:rPr>
      </w:pPr>
      <w:r>
        <w:rPr>
          <w:rFonts w:hint="default" w:ascii="Times New Roman" w:hAnsi="Times New Roman" w:eastAsia="方正楷体简体" w:cs="Times New Roman"/>
          <w:b/>
          <w:i w:val="0"/>
          <w:iCs w:val="0"/>
          <w:color w:val="000000"/>
          <w:sz w:val="32"/>
          <w:szCs w:val="32"/>
          <w:lang w:val="en-US" w:eastAsia="zh-CN"/>
        </w:rPr>
        <w:t>2025年，将从以下几个方面重点改进：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bCs/>
          <w:i w:val="0"/>
          <w:iCs w:val="0"/>
          <w:color w:val="000000"/>
          <w:sz w:val="32"/>
          <w:szCs w:val="32"/>
          <w:lang w:val="en-US" w:eastAsia="zh-CN"/>
        </w:rPr>
      </w:pPr>
      <w:r>
        <w:rPr>
          <w:rFonts w:hint="default" w:ascii="Times New Roman" w:hAnsi="Times New Roman" w:eastAsia="方正仿宋简体" w:cs="Times New Roman"/>
          <w:b/>
          <w:bCs/>
          <w:i w:val="0"/>
          <w:iCs w:val="0"/>
          <w:color w:val="000000"/>
          <w:sz w:val="32"/>
          <w:szCs w:val="32"/>
          <w:lang w:val="en-US" w:eastAsia="zh-CN"/>
        </w:rPr>
        <w:t>一是及时梳理栏目。根据栏目设置不同栏目需要的信息及时查找更新。二是进一步提高全单位对做好政务公开工作的认识，加强宣传教育。进一步加强对政务公开工作的领导和监督，层层落实责任，确保把政务公开工作落到实处。三是加强学习。努力提高自身业务能力，及时把握栏目信息更新方向，切实保障群众获取信息的权利。四是进一步健全和完善信息公开各项制度。规范和完善政务公开的内容、形式，对涉及公众关心的重大问题、重大决策应该公开的及时公开，同时有区别地抓好对内与对外公开，提高公开针对性、实效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i w:val="0"/>
          <w:iCs w:val="0"/>
          <w:color w:val="000000"/>
          <w:sz w:val="32"/>
          <w:szCs w:val="32"/>
        </w:rPr>
      </w:pPr>
      <w:r>
        <w:rPr>
          <w:rFonts w:hint="default" w:ascii="Times New Roman" w:hAnsi="Times New Roman" w:eastAsia="方正黑体简体" w:cs="Times New Roman"/>
          <w:b/>
          <w:i w:val="0"/>
          <w:iCs w:val="0"/>
          <w:color w:val="000000"/>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方正楷体简体" w:cs="Times New Roman"/>
          <w:b/>
          <w:i w:val="0"/>
          <w:iCs w:val="0"/>
          <w:color w:val="000000"/>
          <w:sz w:val="32"/>
          <w:szCs w:val="32"/>
        </w:rPr>
        <w:t>（一）依据《政府信息公开信息处理费管理办法》收取信息处理费的情况：</w:t>
      </w:r>
      <w:r>
        <w:rPr>
          <w:rFonts w:hint="default" w:ascii="Times New Roman" w:hAnsi="Times New Roman" w:eastAsia="方正楷体简体" w:cs="Times New Roman"/>
          <w:b/>
          <w:i w:val="0"/>
          <w:iCs w:val="0"/>
          <w:color w:val="000000"/>
          <w:sz w:val="32"/>
          <w:szCs w:val="32"/>
          <w:lang w:eastAsia="zh-CN"/>
        </w:rPr>
        <w:t>无</w:t>
      </w:r>
      <w:r>
        <w:rPr>
          <w:rFonts w:hint="default" w:ascii="Times New Roman" w:hAnsi="Times New Roman" w:eastAsia="仿宋_GB2312" w:cs="Times New Roman"/>
          <w:i w:val="0"/>
          <w:iCs w:val="0"/>
          <w:caps w:val="0"/>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i w:val="0"/>
          <w:iCs w:val="0"/>
          <w:color w:val="000000"/>
          <w:sz w:val="32"/>
          <w:szCs w:val="32"/>
        </w:rPr>
      </w:pPr>
      <w:r>
        <w:rPr>
          <w:rFonts w:hint="default" w:ascii="Times New Roman" w:hAnsi="Times New Roman" w:eastAsia="方正楷体简体" w:cs="Times New Roman"/>
          <w:b/>
          <w:i w:val="0"/>
          <w:iCs w:val="0"/>
          <w:color w:val="000000"/>
          <w:sz w:val="32"/>
          <w:szCs w:val="32"/>
        </w:rPr>
        <w:t>（二）本行政机关落实上级年度政务公开工作要点情况：</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i w:val="0"/>
          <w:iCs w:val="0"/>
          <w:color w:val="000000"/>
          <w:sz w:val="32"/>
          <w:szCs w:val="32"/>
          <w:lang w:val="en-US" w:eastAsia="zh-CN"/>
        </w:rPr>
      </w:pPr>
      <w:r>
        <w:rPr>
          <w:rFonts w:hint="default" w:ascii="Times New Roman" w:hAnsi="Times New Roman" w:eastAsia="方正仿宋简体" w:cs="Times New Roman"/>
          <w:b/>
          <w:bCs/>
          <w:i w:val="0"/>
          <w:iCs w:val="0"/>
          <w:color w:val="000000"/>
          <w:sz w:val="32"/>
          <w:szCs w:val="32"/>
          <w:lang w:val="en-US" w:eastAsia="zh-CN"/>
        </w:rPr>
        <w:t>认真抓好工作部署，按照</w:t>
      </w:r>
      <w:r>
        <w:rPr>
          <w:rFonts w:hint="eastAsia" w:ascii="Times New Roman" w:hAnsi="Times New Roman" w:eastAsia="方正仿宋简体" w:cs="Times New Roman"/>
          <w:b/>
          <w:bCs/>
          <w:i w:val="0"/>
          <w:iCs w:val="0"/>
          <w:color w:val="000000"/>
          <w:sz w:val="32"/>
          <w:szCs w:val="32"/>
          <w:lang w:val="en-US" w:eastAsia="zh-CN"/>
        </w:rPr>
        <w:t>上级</w:t>
      </w:r>
      <w:r>
        <w:rPr>
          <w:rFonts w:hint="default" w:ascii="Times New Roman" w:hAnsi="Times New Roman" w:eastAsia="方正仿宋简体" w:cs="Times New Roman"/>
          <w:b/>
          <w:bCs/>
          <w:i w:val="0"/>
          <w:iCs w:val="0"/>
          <w:color w:val="000000"/>
          <w:sz w:val="32"/>
          <w:szCs w:val="32"/>
          <w:lang w:val="en-US" w:eastAsia="zh-CN"/>
        </w:rPr>
        <w:t>通知要求，结合我局实际，按时开展工作</w:t>
      </w:r>
      <w:r>
        <w:rPr>
          <w:rFonts w:hint="eastAsia" w:ascii="Times New Roman" w:hAnsi="Times New Roman" w:eastAsia="方正仿宋简体" w:cs="Times New Roman"/>
          <w:b/>
          <w:bCs/>
          <w:i w:val="0"/>
          <w:iCs w:val="0"/>
          <w:color w:val="000000"/>
          <w:sz w:val="32"/>
          <w:szCs w:val="32"/>
          <w:lang w:val="en-US" w:eastAsia="zh-CN"/>
        </w:rPr>
        <w:t>，</w:t>
      </w:r>
      <w:r>
        <w:rPr>
          <w:rFonts w:hint="default" w:ascii="Times New Roman" w:hAnsi="Times New Roman" w:eastAsia="方正仿宋简体" w:cs="Times New Roman"/>
          <w:b/>
          <w:bCs/>
          <w:i w:val="0"/>
          <w:iCs w:val="0"/>
          <w:color w:val="000000"/>
          <w:sz w:val="32"/>
          <w:szCs w:val="32"/>
          <w:lang w:val="en-US" w:eastAsia="zh-CN"/>
        </w:rPr>
        <w:t>提升重点领域信息公开质量、提升基础信息公开质量、提升重大政策解读质量</w:t>
      </w:r>
      <w:r>
        <w:rPr>
          <w:rFonts w:hint="eastAsia" w:ascii="Times New Roman" w:hAnsi="Times New Roman" w:eastAsia="方正仿宋简体" w:cs="Times New Roman"/>
          <w:b/>
          <w:bCs/>
          <w:i w:val="0"/>
          <w:iCs w:val="0"/>
          <w:color w:val="000000"/>
          <w:sz w:val="32"/>
          <w:szCs w:val="32"/>
          <w:lang w:val="en-US" w:eastAsia="zh-CN"/>
        </w:rPr>
        <w:t>，</w:t>
      </w:r>
      <w:r>
        <w:rPr>
          <w:rFonts w:hint="default" w:ascii="Times New Roman" w:hAnsi="Times New Roman" w:eastAsia="方正仿宋简体" w:cs="Times New Roman"/>
          <w:b/>
          <w:bCs/>
          <w:i w:val="0"/>
          <w:iCs w:val="0"/>
          <w:color w:val="000000"/>
          <w:sz w:val="32"/>
          <w:szCs w:val="32"/>
          <w:lang w:val="en-US" w:eastAsia="zh-CN"/>
        </w:rPr>
        <w:t>对存在的问题找准症结、认真分析原因、有针对性地制定整改方案，切实增强做好政府信息公开工作的紧迫感和责任感。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i w:val="0"/>
          <w:iCs w:val="0"/>
          <w:color w:val="000000"/>
          <w:sz w:val="32"/>
          <w:szCs w:val="32"/>
        </w:rPr>
      </w:pPr>
      <w:r>
        <w:rPr>
          <w:rFonts w:hint="default" w:ascii="Times New Roman" w:hAnsi="Times New Roman" w:eastAsia="方正楷体简体" w:cs="Times New Roman"/>
          <w:b/>
          <w:i w:val="0"/>
          <w:iCs w:val="0"/>
          <w:color w:val="000000"/>
          <w:sz w:val="32"/>
          <w:szCs w:val="32"/>
        </w:rPr>
        <w:t>（三）人大代表建议和政协提案办理结果公开情况：</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3" w:firstLineChars="200"/>
        <w:textAlignment w:val="auto"/>
        <w:rPr>
          <w:rFonts w:hint="default" w:ascii="Times New Roman" w:hAnsi="Times New Roman" w:eastAsia="方正仿宋简体" w:cs="Times New Roman"/>
          <w:b/>
          <w:bCs/>
          <w:i w:val="0"/>
          <w:iCs w:val="0"/>
          <w:color w:val="000000"/>
          <w:kern w:val="2"/>
          <w:sz w:val="32"/>
          <w:szCs w:val="32"/>
          <w:lang w:val="en-US" w:eastAsia="zh-CN" w:bidi="ar-SA"/>
        </w:rPr>
      </w:pPr>
      <w:r>
        <w:rPr>
          <w:rFonts w:hint="default" w:ascii="Times New Roman" w:hAnsi="Times New Roman" w:eastAsia="方正仿宋简体" w:cs="Times New Roman"/>
          <w:b/>
          <w:bCs/>
          <w:i w:val="0"/>
          <w:iCs w:val="0"/>
          <w:color w:val="000000"/>
          <w:kern w:val="2"/>
          <w:sz w:val="32"/>
          <w:szCs w:val="32"/>
          <w:lang w:val="en-US" w:eastAsia="zh-CN" w:bidi="ar-SA"/>
        </w:rPr>
        <w:t>2024年</w:t>
      </w:r>
      <w:r>
        <w:rPr>
          <w:rFonts w:hint="eastAsia" w:ascii="Times New Roman" w:hAnsi="Times New Roman" w:eastAsia="方正仿宋简体" w:cs="Times New Roman"/>
          <w:b/>
          <w:bCs/>
          <w:i w:val="0"/>
          <w:iCs w:val="0"/>
          <w:color w:val="000000"/>
          <w:kern w:val="2"/>
          <w:sz w:val="32"/>
          <w:szCs w:val="32"/>
          <w:lang w:val="en-US" w:eastAsia="zh-CN" w:bidi="ar-SA"/>
        </w:rPr>
        <w:t>，</w:t>
      </w:r>
      <w:r>
        <w:rPr>
          <w:rFonts w:hint="default" w:ascii="Times New Roman" w:hAnsi="Times New Roman" w:eastAsia="方正仿宋简体" w:cs="Times New Roman"/>
          <w:b/>
          <w:bCs/>
          <w:i w:val="0"/>
          <w:iCs w:val="0"/>
          <w:color w:val="000000"/>
          <w:kern w:val="2"/>
          <w:sz w:val="32"/>
          <w:szCs w:val="32"/>
          <w:lang w:val="en-US" w:eastAsia="zh-CN" w:bidi="ar-SA"/>
        </w:rPr>
        <w:t>区科技局共收到政协提案2件，分别是：区政协十五届三次会议第9号提案（关于大力培育扶持高新技术企业发展的建议）、区政协十五届三次会议第10号提案（关于深化高校科技成果转化的建议）均已采纳、办结，答复率、满意率为100%，吸收采纳数量为2件，并在区政府</w:t>
      </w:r>
      <w:r>
        <w:rPr>
          <w:rFonts w:hint="eastAsia" w:ascii="Times New Roman" w:hAnsi="Times New Roman" w:eastAsia="方正仿宋简体" w:cs="Times New Roman"/>
          <w:b/>
          <w:bCs/>
          <w:i w:val="0"/>
          <w:iCs w:val="0"/>
          <w:color w:val="000000"/>
          <w:kern w:val="2"/>
          <w:sz w:val="32"/>
          <w:szCs w:val="32"/>
          <w:lang w:val="en-US" w:eastAsia="zh-CN" w:bidi="ar-SA"/>
        </w:rPr>
        <w:t>门户</w:t>
      </w:r>
      <w:r>
        <w:rPr>
          <w:rFonts w:hint="default" w:ascii="Times New Roman" w:hAnsi="Times New Roman" w:eastAsia="方正仿宋简体" w:cs="Times New Roman"/>
          <w:b/>
          <w:bCs/>
          <w:i w:val="0"/>
          <w:iCs w:val="0"/>
          <w:color w:val="000000"/>
          <w:kern w:val="2"/>
          <w:sz w:val="32"/>
          <w:szCs w:val="32"/>
          <w:lang w:val="en-US" w:eastAsia="zh-CN" w:bidi="ar-SA"/>
        </w:rPr>
        <w:t>网站公开，无人大建议。区科技局将做好建议提案办理工作作为提升科技创新工作的重要手段，结合工作实际，认真吸收采纳，不断改进工作，有力促进全区科技工作提质增效。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i w:val="0"/>
          <w:iCs w:val="0"/>
          <w:color w:val="000000"/>
          <w:sz w:val="32"/>
          <w:szCs w:val="32"/>
        </w:rPr>
      </w:pPr>
      <w:r>
        <w:rPr>
          <w:rFonts w:hint="default" w:ascii="Times New Roman" w:hAnsi="Times New Roman" w:eastAsia="方正楷体简体" w:cs="Times New Roman"/>
          <w:b/>
          <w:i w:val="0"/>
          <w:iCs w:val="0"/>
          <w:color w:val="000000"/>
          <w:sz w:val="32"/>
          <w:szCs w:val="32"/>
        </w:rPr>
        <w:t>（四）本行政机关年度政务公开工作创新情况：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i w:val="0"/>
          <w:iCs w:val="0"/>
          <w:color w:val="000000"/>
          <w:kern w:val="2"/>
          <w:sz w:val="32"/>
          <w:szCs w:val="32"/>
          <w:lang w:val="en-US" w:eastAsia="zh-CN" w:bidi="ar-SA"/>
        </w:rPr>
      </w:pPr>
      <w:r>
        <w:rPr>
          <w:rFonts w:hint="default" w:ascii="Times New Roman" w:hAnsi="Times New Roman" w:eastAsia="方正仿宋简体" w:cs="Times New Roman"/>
          <w:b/>
          <w:bCs/>
          <w:i w:val="0"/>
          <w:iCs w:val="0"/>
          <w:color w:val="000000"/>
          <w:kern w:val="2"/>
          <w:sz w:val="32"/>
          <w:szCs w:val="32"/>
          <w:lang w:val="en-US" w:eastAsia="zh-CN" w:bidi="ar-SA"/>
        </w:rPr>
        <w:t>为全区256家科技企业一企一策定制科技政策赋能包，确保信息公开靶向发力、政策惠及精准滴灌。联合区检验检测中心、邮政银行，依托“社区双报到”工作到社区开展政策宣传活动，提高人民群众对政策及党的创新理论的知晓度。打造“智汇领航 科创赋能”服务品牌，联合各“智汇品牌”承担科室做好政策宣传，对上争取等工作，提升企业满意度</w:t>
      </w:r>
      <w:r>
        <w:rPr>
          <w:rFonts w:hint="eastAsia" w:ascii="Times New Roman" w:hAnsi="Times New Roman" w:eastAsia="方正仿宋简体" w:cs="Times New Roman"/>
          <w:b/>
          <w:bCs/>
          <w:i w:val="0"/>
          <w:iCs w:val="0"/>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宋体" w:cs="Times New Roman"/>
          <w:b/>
          <w:i w:val="0"/>
          <w:iCs w:val="0"/>
          <w:color w:val="000000"/>
          <w:sz w:val="32"/>
          <w:szCs w:val="32"/>
          <w:lang w:eastAsia="zh-CN"/>
        </w:rPr>
      </w:pPr>
      <w:r>
        <w:rPr>
          <w:rFonts w:hint="default" w:ascii="Times New Roman" w:hAnsi="Times New Roman" w:eastAsia="方正楷体简体" w:cs="Times New Roman"/>
          <w:b/>
          <w:i w:val="0"/>
          <w:iCs w:val="0"/>
          <w:color w:val="000000"/>
          <w:sz w:val="32"/>
          <w:szCs w:val="32"/>
        </w:rPr>
        <w:t>（五）本行政机关政府信息公开工作年度报告数据统计需要说明的事项：</w:t>
      </w:r>
      <w:r>
        <w:rPr>
          <w:rFonts w:hint="default" w:ascii="Times New Roman" w:hAnsi="Times New Roman" w:eastAsia="方正仿宋简体" w:cs="Times New Roman"/>
          <w:b/>
          <w:i w:val="0"/>
          <w:iCs w:val="0"/>
          <w:color w:val="000000"/>
          <w:sz w:val="32"/>
          <w:szCs w:val="32"/>
        </w:rPr>
        <w:t>无</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宋体" w:cs="Times New Roman"/>
          <w:b/>
          <w:i w:val="0"/>
          <w:iCs w:val="0"/>
          <w:color w:val="000000"/>
          <w:sz w:val="32"/>
          <w:szCs w:val="32"/>
          <w:lang w:eastAsia="zh-CN"/>
        </w:rPr>
      </w:pPr>
      <w:r>
        <w:rPr>
          <w:rFonts w:hint="default" w:ascii="Times New Roman" w:hAnsi="Times New Roman" w:eastAsia="方正楷体简体" w:cs="Times New Roman"/>
          <w:b/>
          <w:i w:val="0"/>
          <w:iCs w:val="0"/>
          <w:color w:val="000000"/>
          <w:sz w:val="32"/>
          <w:szCs w:val="32"/>
        </w:rPr>
        <w:t>（六）本行政机关认为需要报告的其他事项：</w:t>
      </w:r>
      <w:r>
        <w:rPr>
          <w:rFonts w:hint="default" w:ascii="Times New Roman" w:hAnsi="Times New Roman" w:eastAsia="方正仿宋简体" w:cs="Times New Roman"/>
          <w:b/>
          <w:i w:val="0"/>
          <w:iCs w:val="0"/>
          <w:color w:val="000000"/>
          <w:sz w:val="32"/>
          <w:szCs w:val="32"/>
        </w:rPr>
        <w:t>无</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宋体" w:cs="Times New Roman"/>
          <w:b w:val="0"/>
          <w:bCs w:val="0"/>
          <w:i w:val="0"/>
          <w:iCs w:val="0"/>
          <w:color w:val="000000"/>
          <w:sz w:val="30"/>
          <w:szCs w:val="30"/>
          <w:lang w:val="en-US" w:eastAsia="zh-CN"/>
        </w:rPr>
      </w:pPr>
      <w:r>
        <w:rPr>
          <w:rFonts w:hint="default" w:ascii="Times New Roman" w:hAnsi="Times New Roman" w:eastAsia="方正楷体简体" w:cs="Times New Roman"/>
          <w:b/>
          <w:i w:val="0"/>
          <w:iCs w:val="0"/>
          <w:color w:val="000000"/>
          <w:sz w:val="32"/>
          <w:szCs w:val="32"/>
        </w:rPr>
        <w:t>（七）其他有关文件专门要求通过政府信息公开工作年度报告予以报告的事项：</w:t>
      </w:r>
      <w:r>
        <w:rPr>
          <w:rFonts w:hint="default" w:ascii="Times New Roman" w:hAnsi="Times New Roman" w:eastAsia="方正仿宋简体" w:cs="Times New Roman"/>
          <w:b/>
          <w:i w:val="0"/>
          <w:iCs w:val="0"/>
          <w:color w:val="000000"/>
          <w:sz w:val="32"/>
          <w:szCs w:val="32"/>
        </w:rPr>
        <w:t>无</w:t>
      </w:r>
      <w:r>
        <w:rPr>
          <w:rFonts w:hint="default" w:ascii="Times New Roman" w:hAnsi="Times New Roman" w:cs="Times New Roman"/>
          <w:sz w:val="32"/>
          <w:szCs w:val="32"/>
          <w:lang w:eastAsia="zh-CN"/>
        </w:rPr>
        <w:t>。</w:t>
      </w:r>
    </w:p>
    <w:sectPr>
      <w:footerReference r:id="rId3" w:type="default"/>
      <w:pgSz w:w="11906" w:h="16838"/>
      <w:pgMar w:top="1383" w:right="1576" w:bottom="1383" w:left="1576" w:header="851" w:footer="992" w:gutter="0"/>
      <w:pgBorders>
        <w:top w:val="none" w:sz="0" w:space="0"/>
        <w:left w:val="none" w:sz="0" w:space="0"/>
        <w:bottom w:val="none" w:sz="0" w:space="0"/>
        <w:right w:val="none" w:sz="0" w:space="0"/>
      </w:pgBorders>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B8764D-8C3D-418B-9BCA-49300FDCC4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rif">
    <w:altName w:val="思源黑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DEEE7E55-F2AD-4665-B833-056CE2246AEF}"/>
  </w:font>
  <w:font w:name="方正仿宋简体">
    <w:panose1 w:val="02000000000000000000"/>
    <w:charset w:val="86"/>
    <w:family w:val="auto"/>
    <w:pitch w:val="default"/>
    <w:sig w:usb0="A00002BF" w:usb1="184F6CFA" w:usb2="00000012" w:usb3="00000000" w:csb0="00040001" w:csb1="00000000"/>
    <w:embedRegular r:id="rId3" w:fontKey="{65BB730F-AA47-47C2-99AB-AA3B8A6A9FA5}"/>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4" w:fontKey="{98E9C44D-5C65-48DE-B864-2C568B674D2C}"/>
  </w:font>
  <w:font w:name="楷体">
    <w:panose1 w:val="02010609060101010101"/>
    <w:charset w:val="86"/>
    <w:family w:val="auto"/>
    <w:pitch w:val="default"/>
    <w:sig w:usb0="800002BF" w:usb1="38CF7CFA" w:usb2="00000016" w:usb3="00000000" w:csb0="00040001" w:csb1="00000000"/>
    <w:embedRegular r:id="rId5" w:fontKey="{CCCD53A6-562B-4BD1-BFDE-E295F97B48A0}"/>
  </w:font>
  <w:font w:name="仿宋_GB2312">
    <w:panose1 w:val="02010609030101010101"/>
    <w:charset w:val="86"/>
    <w:family w:val="modern"/>
    <w:pitch w:val="default"/>
    <w:sig w:usb0="00000001" w:usb1="080E0000" w:usb2="00000000" w:usb3="00000000" w:csb0="00040000" w:csb1="00000000"/>
    <w:embedRegular r:id="rId6" w:fontKey="{6A3AF27B-9DB9-4423-98DC-CAE91F7A39F2}"/>
  </w:font>
  <w:font w:name="楷体_GB2312">
    <w:panose1 w:val="02010609030101010101"/>
    <w:charset w:val="86"/>
    <w:family w:val="modern"/>
    <w:pitch w:val="default"/>
    <w:sig w:usb0="00000001" w:usb1="080E0000" w:usb2="00000000" w:usb3="00000000" w:csb0="00040000" w:csb1="00000000"/>
    <w:embedRegular r:id="rId7" w:fontKey="{C2B54689-0E7B-4854-AEF2-AD9010C466D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思源黑体">
    <w:panose1 w:val="020B050000000009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2</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9/0+cBAADH&#10;AwAADgAAAAAAAAABACAAAAAfAQAAZHJzL2Uyb0RvYy54bWxQSwUGAAAAAAYABgBZAQAAeAUAAAAA&#10;">
              <v:fill on="f" focussize="0,0"/>
              <v:stroke on="f" weight="0.5pt"/>
              <v:imagedata o:title=""/>
              <o:lock v:ext="edit" aspectratio="f"/>
              <v:textbox inset="0mm,0mm,0mm,0mm" style="mso-fit-shape-to-text:t;">
                <w:txbxContent>
                  <w:p>
                    <w:pPr>
                      <w:pStyle w:val="1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2</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D403"/>
    <w:multiLevelType w:val="singleLevel"/>
    <w:tmpl w:val="92AED403"/>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f5fc5bcc-1f16-48b5-870b-6997c69c9899"/>
  </w:docVars>
  <w:rsids>
    <w:rsidRoot w:val="00DA5B1B"/>
    <w:rsid w:val="000E789B"/>
    <w:rsid w:val="001802AD"/>
    <w:rsid w:val="00231742"/>
    <w:rsid w:val="002E5B02"/>
    <w:rsid w:val="003612E4"/>
    <w:rsid w:val="003C212E"/>
    <w:rsid w:val="00436DB3"/>
    <w:rsid w:val="00584960"/>
    <w:rsid w:val="00602E1E"/>
    <w:rsid w:val="00693033"/>
    <w:rsid w:val="006D112D"/>
    <w:rsid w:val="0071717F"/>
    <w:rsid w:val="00756A0A"/>
    <w:rsid w:val="007632E2"/>
    <w:rsid w:val="00805D01"/>
    <w:rsid w:val="008F1905"/>
    <w:rsid w:val="009D05DA"/>
    <w:rsid w:val="00AB16FD"/>
    <w:rsid w:val="00B21400"/>
    <w:rsid w:val="00D219AD"/>
    <w:rsid w:val="00DA5B1B"/>
    <w:rsid w:val="00DF2BB0"/>
    <w:rsid w:val="00E04A06"/>
    <w:rsid w:val="00F4729F"/>
    <w:rsid w:val="00F55E14"/>
    <w:rsid w:val="00F92DCA"/>
    <w:rsid w:val="01884AE0"/>
    <w:rsid w:val="01D44F1E"/>
    <w:rsid w:val="025D633B"/>
    <w:rsid w:val="034474D5"/>
    <w:rsid w:val="03B94152"/>
    <w:rsid w:val="04A82BEA"/>
    <w:rsid w:val="05DF491B"/>
    <w:rsid w:val="06485DC3"/>
    <w:rsid w:val="064F0B30"/>
    <w:rsid w:val="0B446AEB"/>
    <w:rsid w:val="0BC73774"/>
    <w:rsid w:val="0D03309E"/>
    <w:rsid w:val="0D2B374E"/>
    <w:rsid w:val="0DC63C31"/>
    <w:rsid w:val="0F3F1AA3"/>
    <w:rsid w:val="0FC86A3E"/>
    <w:rsid w:val="105B6CFB"/>
    <w:rsid w:val="1084298C"/>
    <w:rsid w:val="10BD3AC0"/>
    <w:rsid w:val="10F41EA1"/>
    <w:rsid w:val="116A2DD7"/>
    <w:rsid w:val="12206138"/>
    <w:rsid w:val="124E5235"/>
    <w:rsid w:val="12D4761C"/>
    <w:rsid w:val="139A7BF0"/>
    <w:rsid w:val="13CE7215"/>
    <w:rsid w:val="145F400C"/>
    <w:rsid w:val="157B75AD"/>
    <w:rsid w:val="170D6D08"/>
    <w:rsid w:val="17DA78C3"/>
    <w:rsid w:val="18A4506D"/>
    <w:rsid w:val="19566367"/>
    <w:rsid w:val="19B17EA5"/>
    <w:rsid w:val="1A74307F"/>
    <w:rsid w:val="1AA139D3"/>
    <w:rsid w:val="1ABB73DE"/>
    <w:rsid w:val="1CC932F4"/>
    <w:rsid w:val="1CCF76B6"/>
    <w:rsid w:val="1D350989"/>
    <w:rsid w:val="1DCD6F17"/>
    <w:rsid w:val="1F3D5AA3"/>
    <w:rsid w:val="1F9C5E64"/>
    <w:rsid w:val="214506C2"/>
    <w:rsid w:val="226E36D2"/>
    <w:rsid w:val="22C5630B"/>
    <w:rsid w:val="22C91DDD"/>
    <w:rsid w:val="23DA4D4A"/>
    <w:rsid w:val="256532C2"/>
    <w:rsid w:val="25FA3E8C"/>
    <w:rsid w:val="262B3E49"/>
    <w:rsid w:val="262B46D7"/>
    <w:rsid w:val="265A3B7B"/>
    <w:rsid w:val="26DC5ED0"/>
    <w:rsid w:val="275E619F"/>
    <w:rsid w:val="286F7009"/>
    <w:rsid w:val="28BD4CCA"/>
    <w:rsid w:val="29136AB1"/>
    <w:rsid w:val="295C4298"/>
    <w:rsid w:val="2A3711AD"/>
    <w:rsid w:val="2A604045"/>
    <w:rsid w:val="2AFE49AC"/>
    <w:rsid w:val="2B204ADD"/>
    <w:rsid w:val="2CAC715B"/>
    <w:rsid w:val="2D6A0CAB"/>
    <w:rsid w:val="2E1703E5"/>
    <w:rsid w:val="2E287697"/>
    <w:rsid w:val="2F425814"/>
    <w:rsid w:val="2FA30C66"/>
    <w:rsid w:val="2FEB2784"/>
    <w:rsid w:val="301E2735"/>
    <w:rsid w:val="3250264F"/>
    <w:rsid w:val="333948D8"/>
    <w:rsid w:val="335E03F9"/>
    <w:rsid w:val="33BA495D"/>
    <w:rsid w:val="33E13CE6"/>
    <w:rsid w:val="34E940DB"/>
    <w:rsid w:val="35F40FE6"/>
    <w:rsid w:val="36A209E6"/>
    <w:rsid w:val="36CB4B4F"/>
    <w:rsid w:val="38A350B2"/>
    <w:rsid w:val="39125528"/>
    <w:rsid w:val="3A243629"/>
    <w:rsid w:val="3A263B14"/>
    <w:rsid w:val="3C934141"/>
    <w:rsid w:val="3F7E0291"/>
    <w:rsid w:val="40190060"/>
    <w:rsid w:val="415B19A2"/>
    <w:rsid w:val="41880A27"/>
    <w:rsid w:val="41B07732"/>
    <w:rsid w:val="41D34CE2"/>
    <w:rsid w:val="42304548"/>
    <w:rsid w:val="42ED31B4"/>
    <w:rsid w:val="43090B1E"/>
    <w:rsid w:val="43D24822"/>
    <w:rsid w:val="440030D4"/>
    <w:rsid w:val="456A19D7"/>
    <w:rsid w:val="45B3476F"/>
    <w:rsid w:val="46354A57"/>
    <w:rsid w:val="470F4311"/>
    <w:rsid w:val="473C62CA"/>
    <w:rsid w:val="476E4693"/>
    <w:rsid w:val="47AE0621"/>
    <w:rsid w:val="47DC4E0E"/>
    <w:rsid w:val="486B6D9D"/>
    <w:rsid w:val="48BE0B50"/>
    <w:rsid w:val="49A14ED2"/>
    <w:rsid w:val="4B551D76"/>
    <w:rsid w:val="4BE657CA"/>
    <w:rsid w:val="4BF224D6"/>
    <w:rsid w:val="4F7879FF"/>
    <w:rsid w:val="4FBC7CE0"/>
    <w:rsid w:val="52007E97"/>
    <w:rsid w:val="52041260"/>
    <w:rsid w:val="56383854"/>
    <w:rsid w:val="56CB7685"/>
    <w:rsid w:val="58FA607C"/>
    <w:rsid w:val="590B22A1"/>
    <w:rsid w:val="59E200C2"/>
    <w:rsid w:val="5A0710D5"/>
    <w:rsid w:val="5ADC0FC8"/>
    <w:rsid w:val="5B626815"/>
    <w:rsid w:val="5D380DC9"/>
    <w:rsid w:val="5F4C7842"/>
    <w:rsid w:val="5F52091E"/>
    <w:rsid w:val="5FA0080A"/>
    <w:rsid w:val="60196D73"/>
    <w:rsid w:val="61014AFF"/>
    <w:rsid w:val="6142405C"/>
    <w:rsid w:val="622809F2"/>
    <w:rsid w:val="625744F2"/>
    <w:rsid w:val="63C964FD"/>
    <w:rsid w:val="640619BC"/>
    <w:rsid w:val="64BB2791"/>
    <w:rsid w:val="65015F01"/>
    <w:rsid w:val="65775058"/>
    <w:rsid w:val="668566F4"/>
    <w:rsid w:val="673D3DF5"/>
    <w:rsid w:val="67512A9E"/>
    <w:rsid w:val="67AF6668"/>
    <w:rsid w:val="686B3890"/>
    <w:rsid w:val="6AAA0382"/>
    <w:rsid w:val="6AED777A"/>
    <w:rsid w:val="6C00584C"/>
    <w:rsid w:val="6C0967F7"/>
    <w:rsid w:val="6C681306"/>
    <w:rsid w:val="6CAA2C97"/>
    <w:rsid w:val="6CB974C4"/>
    <w:rsid w:val="6CDC0A8D"/>
    <w:rsid w:val="6E05302D"/>
    <w:rsid w:val="6FA2547D"/>
    <w:rsid w:val="6FD92923"/>
    <w:rsid w:val="716B26C0"/>
    <w:rsid w:val="71767D61"/>
    <w:rsid w:val="71B34900"/>
    <w:rsid w:val="71D850BD"/>
    <w:rsid w:val="72DA02AA"/>
    <w:rsid w:val="75162369"/>
    <w:rsid w:val="758D407D"/>
    <w:rsid w:val="768C0CA0"/>
    <w:rsid w:val="76F471CE"/>
    <w:rsid w:val="7A3B262C"/>
    <w:rsid w:val="7BCB1569"/>
    <w:rsid w:val="7DD75311"/>
    <w:rsid w:val="7E476B1A"/>
    <w:rsid w:val="7F73518B"/>
    <w:rsid w:val="7FF77A37"/>
    <w:rsid w:val="AD7E3FC4"/>
    <w:rsid w:val="D75B01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uiPriority w:val="0"/>
    <w:pPr>
      <w:jc w:val="left"/>
    </w:pPr>
  </w:style>
  <w:style w:type="paragraph" w:styleId="6">
    <w:name w:val="Body Text"/>
    <w:basedOn w:val="1"/>
    <w:next w:val="1"/>
    <w:qFormat/>
    <w:uiPriority w:val="99"/>
    <w:pPr>
      <w:spacing w:after="120"/>
    </w:pPr>
    <w:rPr>
      <w:rFonts w:ascii="Calibri" w:hAnsi="Calibri" w:eastAsia="宋体" w:cs="Calibri"/>
    </w:rPr>
  </w:style>
  <w:style w:type="paragraph" w:styleId="7">
    <w:name w:val="Body Text Indent"/>
    <w:basedOn w:val="1"/>
    <w:next w:val="1"/>
    <w:qFormat/>
    <w:uiPriority w:val="0"/>
    <w:pPr>
      <w:spacing w:after="120" w:afterLines="0"/>
      <w:ind w:left="420" w:leftChars="200"/>
    </w:pPr>
  </w:style>
  <w:style w:type="paragraph" w:styleId="8">
    <w:name w:val="Plain Text"/>
    <w:basedOn w:val="1"/>
    <w:next w:val="9"/>
    <w:qFormat/>
    <w:uiPriority w:val="0"/>
    <w:rPr>
      <w:rFonts w:ascii="宋体" w:hAnsi="Courier New"/>
    </w:rPr>
  </w:style>
  <w:style w:type="paragraph" w:styleId="9">
    <w:name w:val="List Number 5"/>
    <w:basedOn w:val="1"/>
    <w:qFormat/>
    <w:uiPriority w:val="0"/>
    <w:pPr>
      <w:numPr>
        <w:ilvl w:val="0"/>
        <w:numId w:val="1"/>
      </w:numPr>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0"/>
    <w:pPr>
      <w:spacing w:beforeAutospacing="1" w:afterAutospacing="1"/>
      <w:jc w:val="left"/>
    </w:pPr>
    <w:rPr>
      <w:rFonts w:ascii="Calibri" w:hAnsi="Calibri" w:cs="Calibri"/>
      <w:kern w:val="0"/>
      <w:sz w:val="24"/>
    </w:rPr>
  </w:style>
  <w:style w:type="paragraph" w:styleId="14">
    <w:name w:val="Body Text First Indent 2"/>
    <w:basedOn w:val="7"/>
    <w:next w:val="1"/>
    <w:qFormat/>
    <w:uiPriority w:val="0"/>
    <w:pPr>
      <w:ind w:firstLine="420" w:firstLineChars="200"/>
    </w:pPr>
  </w:style>
  <w:style w:type="character" w:styleId="17">
    <w:name w:val="Strong"/>
    <w:basedOn w:val="16"/>
    <w:uiPriority w:val="0"/>
    <w:rPr>
      <w:b/>
    </w:rPr>
  </w:style>
  <w:style w:type="character" w:styleId="18">
    <w:name w:val="FollowedHyperlink"/>
    <w:basedOn w:val="16"/>
    <w:qFormat/>
    <w:uiPriority w:val="0"/>
    <w:rPr>
      <w:color w:val="338DE6"/>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Variable"/>
    <w:basedOn w:val="16"/>
    <w:qFormat/>
    <w:uiPriority w:val="0"/>
  </w:style>
  <w:style w:type="character" w:styleId="22">
    <w:name w:val="Hyperlink"/>
    <w:basedOn w:val="16"/>
    <w:qFormat/>
    <w:uiPriority w:val="0"/>
    <w:rPr>
      <w:color w:val="338DE6"/>
      <w:u w:val="none"/>
    </w:rPr>
  </w:style>
  <w:style w:type="character" w:styleId="23">
    <w:name w:val="HTML Code"/>
    <w:basedOn w:val="16"/>
    <w:qFormat/>
    <w:uiPriority w:val="0"/>
    <w:rPr>
      <w:rFonts w:hint="default" w:ascii="serif" w:hAnsi="serif" w:eastAsia="serif" w:cs="serif"/>
      <w:sz w:val="21"/>
      <w:szCs w:val="21"/>
    </w:rPr>
  </w:style>
  <w:style w:type="character" w:styleId="24">
    <w:name w:val="HTML Cite"/>
    <w:basedOn w:val="16"/>
    <w:qFormat/>
    <w:uiPriority w:val="0"/>
  </w:style>
  <w:style w:type="character" w:styleId="25">
    <w:name w:val="footnote reference"/>
    <w:basedOn w:val="16"/>
    <w:qFormat/>
    <w:uiPriority w:val="0"/>
    <w:rPr>
      <w:vertAlign w:val="superscript"/>
    </w:rPr>
  </w:style>
  <w:style w:type="character" w:styleId="26">
    <w:name w:val="HTML Keyboard"/>
    <w:basedOn w:val="16"/>
    <w:qFormat/>
    <w:uiPriority w:val="0"/>
    <w:rPr>
      <w:rFonts w:hint="default" w:ascii="serif" w:hAnsi="serif" w:eastAsia="serif" w:cs="serif"/>
      <w:sz w:val="21"/>
      <w:szCs w:val="21"/>
    </w:rPr>
  </w:style>
  <w:style w:type="character" w:styleId="27">
    <w:name w:val="HTML Sample"/>
    <w:basedOn w:val="16"/>
    <w:qFormat/>
    <w:uiPriority w:val="0"/>
    <w:rPr>
      <w:rFonts w:ascii="serif" w:hAnsi="serif" w:eastAsia="serif" w:cs="serif"/>
      <w:sz w:val="21"/>
      <w:szCs w:val="21"/>
    </w:rPr>
  </w:style>
  <w:style w:type="paragraph" w:customStyle="1" w:styleId="2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9">
    <w:name w:val="fontborder"/>
    <w:basedOn w:val="16"/>
    <w:qFormat/>
    <w:uiPriority w:val="0"/>
    <w:rPr>
      <w:bdr w:val="single" w:color="000000" w:sz="6" w:space="0"/>
    </w:rPr>
  </w:style>
  <w:style w:type="character" w:customStyle="1" w:styleId="30">
    <w:name w:val="fontstrikethrough"/>
    <w:basedOn w:val="16"/>
    <w:qFormat/>
    <w:uiPriority w:val="0"/>
    <w:rPr>
      <w:strike/>
    </w:rPr>
  </w:style>
  <w:style w:type="paragraph" w:customStyle="1" w:styleId="31">
    <w:name w:val="CM57"/>
    <w:basedOn w:val="1"/>
    <w:next w:val="1"/>
    <w:qFormat/>
    <w:uiPriority w:val="0"/>
    <w:pPr>
      <w:autoSpaceDE w:val="0"/>
      <w:autoSpaceDN w:val="0"/>
      <w:adjustRightInd w:val="0"/>
      <w:spacing w:after="843"/>
      <w:jc w:val="left"/>
    </w:pPr>
    <w:rPr>
      <w:rFonts w:ascii="方正小标宋简体" w:eastAsia="方正小标宋简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E:\&#21150;&#20844;&#23460;\&#38454;&#27573;&#24615;&#21453;&#39304;\2024\&#25919;&#24220;&#21150;\&#25919;&#21153;&#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rgbClr val="000000"/>
                </a:solidFill>
                <a:latin typeface="+mn-lt"/>
                <a:ea typeface="+mn-ea"/>
                <a:cs typeface="+mn-cs"/>
              </a:defRPr>
            </a:pPr>
            <a:r>
              <a:t>政务公开信息分布</a:t>
            </a:r>
          </a:p>
        </c:rich>
      </c:tx>
      <c:layout/>
      <c:overlay val="0"/>
      <c:spPr>
        <a:noFill/>
        <a:ln>
          <a:noFill/>
        </a:ln>
        <a:effectLst/>
      </c:spPr>
    </c:title>
    <c:autoTitleDeleted val="0"/>
    <c:plotArea>
      <c:layout/>
      <c:pieChart>
        <c:varyColors val="1"/>
        <c:ser>
          <c:idx val="0"/>
          <c:order val="0"/>
          <c:spPr>
            <a:ln w="15875">
              <a:solidFill>
                <a:srgbClr val="FFFFFF"/>
              </a:solidFill>
            </a:ln>
            <a:effectLst>
              <a:outerShdw blurRad="50800" dist="38100" dir="2700000" algn="tl" rotWithShape="0">
                <a:prstClr val="black">
                  <a:alpha val="40000"/>
                </a:prstClr>
              </a:outerShdw>
            </a:effectLst>
            <a:sp3d contourW="15875"/>
          </c:spPr>
          <c:explosion val="0"/>
          <c:dPt>
            <c:idx val="0"/>
            <c:bubble3D val="0"/>
            <c:spPr>
              <a:gradFill>
                <a:gsLst>
                  <a:gs pos="0">
                    <a:srgbClr val="95B3D7">
                      <a:lumMod val="60000"/>
                      <a:lumOff val="40000"/>
                    </a:srgbClr>
                  </a:gs>
                  <a:gs pos="70000">
                    <a:srgbClr val="4F81BD"/>
                  </a:gs>
                </a:gsLst>
                <a:lin ang="5400000" scaled="0"/>
              </a:gradFill>
              <a:ln w="15875">
                <a:solidFill>
                  <a:srgbClr val="FFFFFF"/>
                </a:solidFill>
              </a:ln>
              <a:effectLst>
                <a:outerShdw blurRad="50800" dist="38100" dir="2700000" algn="tl" rotWithShape="0">
                  <a:srgbClr val="254061">
                    <a:lumMod val="50000"/>
                    <a:alpha val="40000"/>
                  </a:srgbClr>
                </a:outerShdw>
              </a:effectLst>
              <a:sp3d contourW="15875"/>
            </c:spPr>
          </c:dPt>
          <c:dPt>
            <c:idx val="1"/>
            <c:bubble3D val="0"/>
            <c:spPr>
              <a:gradFill>
                <a:gsLst>
                  <a:gs pos="0">
                    <a:srgbClr val="D99694">
                      <a:lumMod val="60000"/>
                      <a:lumOff val="40000"/>
                    </a:srgbClr>
                  </a:gs>
                  <a:gs pos="70000">
                    <a:srgbClr val="C0504D"/>
                  </a:gs>
                </a:gsLst>
                <a:lin ang="5400000" scaled="0"/>
              </a:gradFill>
              <a:ln w="15875">
                <a:solidFill>
                  <a:srgbClr val="FFFFFF"/>
                </a:solidFill>
              </a:ln>
              <a:effectLst>
                <a:outerShdw blurRad="50800" dist="38100" dir="2700000" algn="tl" rotWithShape="0">
                  <a:srgbClr val="632523">
                    <a:lumMod val="50000"/>
                    <a:alpha val="40000"/>
                  </a:srgbClr>
                </a:outerShdw>
              </a:effectLst>
              <a:sp3d contourW="15875"/>
            </c:spPr>
          </c:dPt>
          <c:dPt>
            <c:idx val="2"/>
            <c:bubble3D val="0"/>
            <c:spPr>
              <a:pattFill prst="dkUpDiag">
                <a:fgClr>
                  <a:srgbClr val="9BBB59"/>
                </a:fgClr>
                <a:bgClr>
                  <a:srgbClr val="C3D69B">
                    <a:lumMod val="60000"/>
                    <a:lumOff val="40000"/>
                  </a:srgbClr>
                </a:bgClr>
              </a:pattFill>
              <a:ln w="19050">
                <a:solidFill>
                  <a:srgbClr val="FFFFFF"/>
                </a:solidFill>
              </a:ln>
              <a:effectLst>
                <a:outerShdw blurRad="50800" dist="38100" dir="2700000" algn="tl" rotWithShape="0">
                  <a:srgbClr val="4F6228">
                    <a:lumMod val="50000"/>
                    <a:alpha val="40000"/>
                  </a:srgbClr>
                </a:outerShdw>
              </a:effectLst>
              <a:sp3d contourW="19050"/>
            </c:spPr>
          </c:dPt>
          <c:dPt>
            <c:idx val="3"/>
            <c:bubble3D val="0"/>
            <c:spPr>
              <a:gradFill>
                <a:gsLst>
                  <a:gs pos="0">
                    <a:srgbClr val="B3A2C7">
                      <a:lumMod val="60000"/>
                      <a:lumOff val="40000"/>
                    </a:srgbClr>
                  </a:gs>
                  <a:gs pos="70000">
                    <a:srgbClr val="8064A2"/>
                  </a:gs>
                </a:gsLst>
                <a:lin ang="5400000" scaled="0"/>
              </a:gradFill>
              <a:ln w="15875">
                <a:solidFill>
                  <a:srgbClr val="FFFFFF"/>
                </a:solidFill>
              </a:ln>
              <a:effectLst>
                <a:outerShdw blurRad="50800" dist="38100" dir="2700000" algn="tl" rotWithShape="0">
                  <a:srgbClr val="403152">
                    <a:lumMod val="50000"/>
                    <a:alpha val="40000"/>
                  </a:srgbClr>
                </a:outerShdw>
              </a:effectLst>
              <a:sp3d contourW="15875"/>
            </c:spPr>
          </c:dPt>
          <c:dPt>
            <c:idx val="4"/>
            <c:bubble3D val="0"/>
            <c:spPr>
              <a:solidFill>
                <a:srgbClr val="4BACC6"/>
              </a:solidFill>
              <a:ln w="15875">
                <a:solidFill>
                  <a:srgbClr val="FFFFFF"/>
                </a:solidFill>
              </a:ln>
              <a:effectLst>
                <a:outerShdw blurRad="50800" dist="38100" dir="2700000" algn="tl" rotWithShape="0">
                  <a:prstClr val="black">
                    <a:alpha val="40000"/>
                  </a:prstClr>
                </a:outerShdw>
              </a:effectLst>
              <a:sp3d contourW="15875"/>
            </c:spPr>
          </c:dPt>
          <c:dPt>
            <c:idx val="5"/>
            <c:bubble3D val="0"/>
            <c:spPr>
              <a:solidFill>
                <a:srgbClr val="F79646"/>
              </a:solidFill>
              <a:ln w="15875">
                <a:solidFill>
                  <a:srgbClr val="FFFFFF"/>
                </a:solidFill>
              </a:ln>
              <a:effectLst>
                <a:outerShdw blurRad="50800" dist="38100" dir="2700000" algn="tl" rotWithShape="0">
                  <a:prstClr val="black">
                    <a:alpha val="40000"/>
                  </a:prstClr>
                </a:outerShdw>
              </a:effectLst>
              <a:sp3d contourW="15875"/>
            </c:spPr>
          </c:dPt>
          <c:dPt>
            <c:idx val="6"/>
            <c:bubble3D val="0"/>
            <c:spPr>
              <a:solidFill>
                <a:srgbClr val="2C4D75">
                  <a:lumMod val="60000"/>
                </a:srgbClr>
              </a:solidFill>
              <a:ln w="15875">
                <a:solidFill>
                  <a:srgbClr val="FFFFFF"/>
                </a:solidFill>
              </a:ln>
              <a:effectLst>
                <a:outerShdw blurRad="50800" dist="38100" dir="2700000" algn="tl" rotWithShape="0">
                  <a:prstClr val="black">
                    <a:alpha val="40000"/>
                  </a:prstClr>
                </a:outerShdw>
              </a:effectLst>
              <a:sp3d contourW="15875"/>
            </c:spPr>
          </c:dPt>
          <c:dPt>
            <c:idx val="7"/>
            <c:bubble3D val="0"/>
            <c:spPr>
              <a:solidFill>
                <a:srgbClr val="772C2A">
                  <a:lumMod val="60000"/>
                </a:srgbClr>
              </a:solidFill>
              <a:ln w="15875">
                <a:solidFill>
                  <a:srgbClr val="FFFFFF"/>
                </a:solidFill>
              </a:ln>
              <a:effectLst>
                <a:outerShdw blurRad="50800" dist="38100" dir="2700000" algn="tl" rotWithShape="0">
                  <a:prstClr val="black">
                    <a:alpha val="40000"/>
                  </a:prstClr>
                </a:outerShdw>
              </a:effectLst>
              <a:sp3d contourW="15875"/>
            </c:spPr>
          </c:dPt>
          <c:dPt>
            <c:idx val="8"/>
            <c:bubble3D val="0"/>
            <c:spPr>
              <a:solidFill>
                <a:srgbClr val="5F7530">
                  <a:lumMod val="60000"/>
                </a:srgbClr>
              </a:solidFill>
              <a:ln w="15875">
                <a:solidFill>
                  <a:srgbClr val="FFFFFF"/>
                </a:solidFill>
              </a:ln>
              <a:effectLst>
                <a:outerShdw blurRad="50800" dist="38100" dir="2700000" algn="tl" rotWithShape="0">
                  <a:prstClr val="black">
                    <a:alpha val="40000"/>
                  </a:prstClr>
                </a:outerShdw>
              </a:effectLst>
              <a:sp3d contourW="15875"/>
            </c:spPr>
          </c:dPt>
          <c:dPt>
            <c:idx val="9"/>
            <c:bubble3D val="0"/>
            <c:spPr>
              <a:solidFill>
                <a:srgbClr val="4D3B62">
                  <a:lumMod val="60000"/>
                </a:srgbClr>
              </a:solidFill>
              <a:ln w="15875">
                <a:solidFill>
                  <a:srgbClr val="FFFFFF"/>
                </a:solidFill>
              </a:ln>
              <a:effectLst>
                <a:outerShdw blurRad="50800" dist="38100" dir="2700000" algn="tl" rotWithShape="0">
                  <a:prstClr val="black">
                    <a:alpha val="40000"/>
                  </a:prstClr>
                </a:outerShdw>
              </a:effectLst>
              <a:sp3d contourW="1587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808080">
                        <a:lumMod val="50000"/>
                        <a:lumOff val="50000"/>
                      </a:srgbClr>
                    </a:solidFill>
                    <a:effectLst/>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工作表.xlsx]Sheet1'!$A$1:$A$10</c:f>
              <c:strCache>
                <c:ptCount val="10"/>
                <c:pt idx="0">
                  <c:v>政务动态</c:v>
                </c:pt>
                <c:pt idx="1">
                  <c:v>政策文件信息</c:v>
                </c:pt>
                <c:pt idx="2">
                  <c:v>机构职能</c:v>
                </c:pt>
                <c:pt idx="3">
                  <c:v>规划计划</c:v>
                </c:pt>
                <c:pt idx="4">
                  <c:v>财政预算决算</c:v>
                </c:pt>
                <c:pt idx="5">
                  <c:v>行政权力运行公开</c:v>
                </c:pt>
                <c:pt idx="6">
                  <c:v>重点领域信息</c:v>
                </c:pt>
                <c:pt idx="7">
                  <c:v>主动公开基本目录</c:v>
                </c:pt>
                <c:pt idx="8">
                  <c:v>组织管理</c:v>
                </c:pt>
                <c:pt idx="9">
                  <c:v>政府信息公开制度</c:v>
                </c:pt>
              </c:strCache>
            </c:strRef>
          </c:cat>
          <c:val>
            <c:numRef>
              <c:f>'[新建 XLSX 工作表.xlsx]Sheet1'!$B$1:$B$10</c:f>
              <c:numCache>
                <c:formatCode>General</c:formatCode>
                <c:ptCount val="10"/>
                <c:pt idx="0">
                  <c:v>4</c:v>
                </c:pt>
                <c:pt idx="1">
                  <c:v>1</c:v>
                </c:pt>
                <c:pt idx="2">
                  <c:v>1</c:v>
                </c:pt>
                <c:pt idx="3">
                  <c:v>1</c:v>
                </c:pt>
                <c:pt idx="4">
                  <c:v>2</c:v>
                </c:pt>
                <c:pt idx="5">
                  <c:v>7</c:v>
                </c:pt>
                <c:pt idx="6">
                  <c:v>16</c:v>
                </c:pt>
                <c:pt idx="7">
                  <c:v>1</c:v>
                </c:pt>
                <c:pt idx="8">
                  <c:v>1</c:v>
                </c:pt>
                <c:pt idx="9">
                  <c:v>3</c:v>
                </c:pt>
              </c:numCache>
            </c:numRef>
          </c:val>
        </c:ser>
        <c:dLbls>
          <c:showLegendKey val="0"/>
          <c:showVal val="1"/>
          <c:showCatName val="0"/>
          <c:showSerName val="0"/>
          <c:showPercent val="0"/>
          <c:showBubbleSize val="0"/>
          <c:showLeaderLines val="1"/>
        </c:dLbls>
        <c:firstSliceAng val="15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808080">
                  <a:lumMod val="50000"/>
                  <a:lumOff val="50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85000"/>
        </a:srgbClr>
      </a:solidFill>
      <a:round/>
    </a:ln>
    <a:effectLst>
      <a:outerShdw blurRad="63500" dist="37357" dir="2700000" sx="0" sy="0" rotWithShape="0">
        <a:scrgbClr r="0" g="0" b="0"/>
      </a:outerShdw>
    </a:effectLst>
  </c:spPr>
  <c:txPr>
    <a:bodyPr/>
    <a:lstStyle/>
    <a:p>
      <a:pPr>
        <a:defRPr lang="zh-CN"/>
      </a:pPr>
    </a:p>
  </c:txPr>
  <c:externalData r:id="rId1">
    <c:autoUpdate val="0"/>
  </c:externalData>
  <c:userShapes r:id="rId3"/>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0.00138</cdr:x>
      <cdr:y>0.00098</cdr:y>
    </cdr:from>
    <cdr:to>
      <cdr:x>1</cdr:x>
      <cdr:y>1</cdr:y>
    </cdr:to>
    <cdr:sp>
      <cdr:nvSpPr>
        <cdr:cNvPr id="2" name="任意多边形 1"/>
        <cdr:cNvSpPr/>
      </cdr:nvSpPr>
      <cdr:spPr xmlns:a="http://schemas.openxmlformats.org/drawingml/2006/main">
        <a:xfrm xmlns:a="http://schemas.openxmlformats.org/drawingml/2006/main">
          <a:off x="50800" y="50800"/>
          <a:ext cx="4853305" cy="2877185"/>
        </a:xfrm>
        <a:custGeom>
          <a:avLst/>
          <a:gdLst/>
          <a:ahLst/>
          <a:cxnLst>
            <a:cxn ang="3">
              <a:pos x="hc" y="t"/>
            </a:cxn>
            <a:cxn ang="cd2">
              <a:pos x="l" y="vc"/>
            </a:cxn>
            <a:cxn ang="cd4">
              <a:pos x="hc" y="b"/>
            </a:cxn>
            <a:cxn ang="0">
              <a:pos x="r" y="vc"/>
            </a:cxn>
          </a:cxnLst>
          <a:rect l="l" t="t" r="r" b="b"/>
          <a:pathLst>
            <a:path w="7898" h="4934">
              <a:moveTo>
                <a:pt x="370" y="136"/>
              </a:moveTo>
              <a:cubicBezTo>
                <a:pt x="236" y="136"/>
                <a:pt x="128" y="244"/>
                <a:pt x="128" y="378"/>
              </a:cubicBezTo>
              <a:lnTo>
                <a:pt x="128" y="4557"/>
              </a:lnTo>
              <a:cubicBezTo>
                <a:pt x="128" y="4690"/>
                <a:pt x="236" y="4799"/>
                <a:pt x="370" y="4799"/>
              </a:cubicBezTo>
              <a:lnTo>
                <a:pt x="7528" y="4799"/>
              </a:lnTo>
              <a:cubicBezTo>
                <a:pt x="7662" y="4799"/>
                <a:pt x="7770" y="4690"/>
                <a:pt x="7770" y="4557"/>
              </a:cubicBezTo>
              <a:lnTo>
                <a:pt x="7770" y="378"/>
              </a:lnTo>
              <a:cubicBezTo>
                <a:pt x="7770" y="244"/>
                <a:pt x="7662" y="136"/>
                <a:pt x="7528" y="136"/>
              </a:cubicBezTo>
              <a:lnTo>
                <a:pt x="370" y="136"/>
              </a:lnTo>
              <a:close/>
              <a:moveTo>
                <a:pt x="0" y="0"/>
              </a:moveTo>
              <a:lnTo>
                <a:pt x="7898" y="0"/>
              </a:lnTo>
              <a:lnTo>
                <a:pt x="7898" y="4934"/>
              </a:lnTo>
              <a:lnTo>
                <a:pt x="0" y="4934"/>
              </a:lnTo>
              <a:lnTo>
                <a:pt x="0" y="0"/>
              </a:lnTo>
              <a:close/>
            </a:path>
          </a:pathLst>
        </a:custGeom>
        <a:noFill/>
        <a:ln>
          <a:noFill/>
        </a:ln>
      </cdr:spPr>
      <cdr:style>
        <a:lnRef xmlns:a="http://schemas.openxmlformats.org/drawingml/2006/main" idx="2">
          <a:srgbClr val="1C334E">
            <a:shade val="15000"/>
          </a:srgbClr>
        </a:lnRef>
        <a:fillRef xmlns:a="http://schemas.openxmlformats.org/drawingml/2006/main" idx="1">
          <a:srgbClr val="4F81BD"/>
        </a:fillRef>
        <a:effectRef xmlns:a="http://schemas.openxmlformats.org/drawingml/2006/main" idx="0">
          <a:srgbClr val="4F81BD"/>
        </a:effectRef>
        <a:fontRef xmlns:a="http://schemas.openxmlformats.org/drawingml/2006/main" idx="minor">
          <a:srgbClr val="FFFFFF"/>
        </a:fontRef>
      </cdr:style>
      <cdr:txBody xmlns:a="http://schemas.openxmlformats.org/drawingml/2006/main">
        <a:bodyPr vert="horz" wrap="square" lIns="45720" tIns="45720" rIns="45720" bIns="45720" rtlCol="0" anchor="t" anchorCtr="0">
          <a:noAutofit/>
        </a:bodyPr>
        <a:lstStyle>
          <a:lvl1pPr marL="0" indent="0">
            <a:defRPr sz="1100">
              <a:solidFill>
                <a:srgbClr val="FFFFFF"/>
              </a:solidFill>
              <a:latin typeface="+mn-lt"/>
              <a:ea typeface="+mn-ea"/>
              <a:cs typeface="+mn-cs"/>
            </a:defRPr>
          </a:lvl1pPr>
          <a:lvl2pPr marL="457200" indent="0">
            <a:defRPr sz="1100">
              <a:solidFill>
                <a:srgbClr val="FFFFFF"/>
              </a:solidFill>
              <a:latin typeface="+mn-lt"/>
              <a:ea typeface="+mn-ea"/>
              <a:cs typeface="+mn-cs"/>
            </a:defRPr>
          </a:lvl2pPr>
          <a:lvl3pPr marL="914400" indent="0">
            <a:defRPr sz="1100">
              <a:solidFill>
                <a:srgbClr val="FFFFFF"/>
              </a:solidFill>
              <a:latin typeface="+mn-lt"/>
              <a:ea typeface="+mn-ea"/>
              <a:cs typeface="+mn-cs"/>
            </a:defRPr>
          </a:lvl3pPr>
          <a:lvl4pPr marL="1371600" indent="0">
            <a:defRPr sz="1100">
              <a:solidFill>
                <a:srgbClr val="FFFFFF"/>
              </a:solidFill>
              <a:latin typeface="+mn-lt"/>
              <a:ea typeface="+mn-ea"/>
              <a:cs typeface="+mn-cs"/>
            </a:defRPr>
          </a:lvl4pPr>
          <a:lvl5pPr marL="1828800" indent="0">
            <a:defRPr sz="1100">
              <a:solidFill>
                <a:srgbClr val="FFFFFF"/>
              </a:solidFill>
              <a:latin typeface="+mn-lt"/>
              <a:ea typeface="+mn-ea"/>
              <a:cs typeface="+mn-cs"/>
            </a:defRPr>
          </a:lvl5pPr>
          <a:lvl6pPr marL="2286000" indent="0">
            <a:defRPr sz="1100">
              <a:solidFill>
                <a:srgbClr val="FFFFFF"/>
              </a:solidFill>
              <a:latin typeface="+mn-lt"/>
              <a:ea typeface="+mn-ea"/>
              <a:cs typeface="+mn-cs"/>
            </a:defRPr>
          </a:lvl6pPr>
          <a:lvl7pPr marL="2743200" indent="0">
            <a:defRPr sz="1100">
              <a:solidFill>
                <a:srgbClr val="FFFFFF"/>
              </a:solidFill>
              <a:latin typeface="+mn-lt"/>
              <a:ea typeface="+mn-ea"/>
              <a:cs typeface="+mn-cs"/>
            </a:defRPr>
          </a:lvl7pPr>
          <a:lvl8pPr marL="3200400" indent="0">
            <a:defRPr sz="1100">
              <a:solidFill>
                <a:srgbClr val="FFFFFF"/>
              </a:solidFill>
              <a:latin typeface="+mn-lt"/>
              <a:ea typeface="+mn-ea"/>
              <a:cs typeface="+mn-cs"/>
            </a:defRPr>
          </a:lvl8pPr>
          <a:lvl9pPr marL="3657600" indent="0">
            <a:defRPr sz="1100">
              <a:solidFill>
                <a:srgbClr val="FFFFFF"/>
              </a:solidFill>
              <a:latin typeface="+mn-lt"/>
              <a:ea typeface="+mn-ea"/>
              <a:cs typeface="+mn-cs"/>
            </a:defRPr>
          </a:lvl9pPr>
        </a:lstStyle>
        <a:p>
          <a:pPr algn="l"/>
          <a:endParaRPr lang="zh-CN" altLang="en-US" sz="1100"/>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16.1">
    <a:dk1>
      <a:srgbClr val="000000"/>
    </a:dk1>
    <a:lt1>
      <a:srgbClr val="FFFFFF"/>
    </a:lt1>
    <a:dk2>
      <a:srgbClr val="0F1423"/>
    </a:dk2>
    <a:lt2>
      <a:srgbClr val="FFFFFF"/>
    </a:lt2>
    <a:accent1>
      <a:srgbClr val="7262FD"/>
    </a:accent1>
    <a:accent2>
      <a:srgbClr val="FF6637"/>
    </a:accent2>
    <a:accent3>
      <a:srgbClr val="FF860F"/>
    </a:accent3>
    <a:accent4>
      <a:srgbClr val="FFB607"/>
    </a:accent4>
    <a:accent5>
      <a:srgbClr val="45CBF1"/>
    </a:accent5>
    <a:accent6>
      <a:srgbClr val="41DDAC"/>
    </a:accent6>
    <a:hlink>
      <a:srgbClr val="0563C1"/>
    </a:hlink>
    <a:folHlink>
      <a:srgbClr val="954D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Pages>
  <Words>3194</Words>
  <Characters>3288</Characters>
  <Lines>2</Lines>
  <Paragraphs>1</Paragraphs>
  <TotalTime>14</TotalTime>
  <ScaleCrop>false</ScaleCrop>
  <LinksUpToDate>false</LinksUpToDate>
  <CharactersWithSpaces>3289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2019-06-15T17:57:00Z</dcterms:created>
  <dc:creator>1</dc:creator>
  <cp:lastModifiedBy>Administrator</cp:lastModifiedBy>
  <cp:lastPrinted>2024-12-17T06:18:00Z</cp:lastPrinted>
  <dcterms:modified xsi:type="dcterms:W3CDTF">2025-01-17T05:51:41Z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KSOSaveFontToCloudKey">
    <vt:lpwstr>509185331_btnclosed</vt:lpwstr>
  </property>
  <property fmtid="{D5CDD505-2E9C-101B-9397-08002B2CF9AE}" pid="4" name="ICV">
    <vt:lpwstr>654D534B8C4D4724BAD45E078B8CD2EE_13</vt:lpwstr>
  </property>
  <property fmtid="{D5CDD505-2E9C-101B-9397-08002B2CF9AE}" pid="5" name="KSOTemplateDocerSaveRecord">
    <vt:lpwstr>eyJoZGlkIjoiM2ZkOWNkM2I5Njc3YTc3ODY5ZDM2NzE2MzRlYWZmOGUiLCJ1c2VySWQiOiIxNTE3NjIxODA3In0=</vt:lpwstr>
  </property>
</Properties>
</file>